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6.xml" ContentType="application/vnd.openxmlformats-officedocument.wordprocessingml.header+xml"/>
  <Override PartName="/word/footer7.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
        <w:tblpPr w:leftFromText="187" w:rightFromText="187" w:vertAnchor="page" w:horzAnchor="page" w:tblpX="4253" w:tblpY="2838"/>
        <w:tblOverlap w:val="never"/>
        <w:tblW w:w="7110" w:type="dxa"/>
        <w:tblLook w:val="04A0" w:firstRow="1" w:lastRow="0" w:firstColumn="1" w:lastColumn="0" w:noHBand="0" w:noVBand="1"/>
      </w:tblPr>
      <w:tblGrid>
        <w:gridCol w:w="7110"/>
      </w:tblGrid>
      <w:tr w:rsidR="00A15D9E" w14:paraId="7F9698E8" w14:textId="77777777" w:rsidTr="00055EA0">
        <w:trPr>
          <w:trHeight w:val="346"/>
        </w:trPr>
        <w:tc>
          <w:tcPr>
            <w:tcW w:w="7110" w:type="dxa"/>
          </w:tcPr>
          <w:p w14:paraId="1D4873FE" w14:textId="65BDEE58" w:rsidR="00A15D9E" w:rsidRPr="006105FC" w:rsidRDefault="007278A4" w:rsidP="00086C2B">
            <w:pPr>
              <w:pStyle w:val="a6"/>
              <w:ind w:left="142"/>
              <w:rPr>
                <w:szCs w:val="40"/>
              </w:rPr>
            </w:pPr>
            <w:r>
              <w:rPr>
                <w:szCs w:val="40"/>
                <w:lang w:val="ru-RU"/>
              </w:rPr>
              <w:t>Форма заявки на финансирование</w:t>
            </w:r>
          </w:p>
        </w:tc>
      </w:tr>
      <w:tr w:rsidR="00DD1ABB" w:rsidRPr="00A26916" w14:paraId="56B36B08" w14:textId="77777777" w:rsidTr="00055EA0">
        <w:trPr>
          <w:trHeight w:val="20"/>
        </w:trPr>
        <w:tc>
          <w:tcPr>
            <w:tcW w:w="7110" w:type="dxa"/>
          </w:tcPr>
          <w:p w14:paraId="4F7500FB" w14:textId="7FFFE87B" w:rsidR="00DD1ABB" w:rsidRPr="00086C2B" w:rsidRDefault="00B62132" w:rsidP="00086C2B">
            <w:pPr>
              <w:pStyle w:val="a7"/>
              <w:spacing w:after="240"/>
              <w:ind w:left="142"/>
              <w:rPr>
                <w:color w:val="7F7F7F" w:themeColor="text1" w:themeTint="80"/>
                <w:sz w:val="32"/>
                <w:szCs w:val="32"/>
                <w:lang w:val="ru-RU"/>
              </w:rPr>
            </w:pPr>
            <w:r>
              <w:rPr>
                <w:color w:val="7F7F7F" w:themeColor="text1" w:themeTint="80"/>
                <w:sz w:val="32"/>
                <w:szCs w:val="32"/>
                <w:lang w:val="ru-RU"/>
              </w:rPr>
              <w:t>Для</w:t>
            </w:r>
            <w:r w:rsidRPr="00086C2B">
              <w:rPr>
                <w:color w:val="7F7F7F" w:themeColor="text1" w:themeTint="80"/>
                <w:sz w:val="32"/>
                <w:szCs w:val="32"/>
                <w:lang w:val="ru-RU"/>
              </w:rPr>
              <w:t xml:space="preserve"> </w:t>
            </w:r>
            <w:r>
              <w:rPr>
                <w:color w:val="7F7F7F" w:themeColor="text1" w:themeTint="80"/>
                <w:sz w:val="32"/>
                <w:szCs w:val="32"/>
                <w:lang w:val="ru-RU"/>
              </w:rPr>
              <w:t>целевых</w:t>
            </w:r>
            <w:r w:rsidRPr="00086C2B">
              <w:rPr>
                <w:color w:val="7F7F7F" w:themeColor="text1" w:themeTint="80"/>
                <w:sz w:val="32"/>
                <w:szCs w:val="32"/>
                <w:lang w:val="ru-RU"/>
              </w:rPr>
              <w:t xml:space="preserve"> </w:t>
            </w:r>
            <w:r>
              <w:rPr>
                <w:color w:val="7F7F7F" w:themeColor="text1" w:themeTint="80"/>
                <w:sz w:val="32"/>
                <w:szCs w:val="32"/>
                <w:lang w:val="ru-RU"/>
              </w:rPr>
              <w:t>портфелей</w:t>
            </w:r>
            <w:r w:rsidR="00086C2B" w:rsidRPr="00086C2B">
              <w:rPr>
                <w:color w:val="7F7F7F" w:themeColor="text1" w:themeTint="80"/>
                <w:sz w:val="32"/>
                <w:szCs w:val="32"/>
                <w:lang w:val="ru-RU"/>
              </w:rPr>
              <w:t xml:space="preserve"> </w:t>
            </w:r>
            <w:r w:rsidR="00345A35" w:rsidRPr="00086C2B">
              <w:rPr>
                <w:color w:val="7F7F7F" w:themeColor="text1" w:themeTint="80"/>
                <w:sz w:val="32"/>
                <w:szCs w:val="32"/>
                <w:lang w:val="ru-RU"/>
              </w:rPr>
              <w:br/>
            </w:r>
            <w:r w:rsidR="00086C2B">
              <w:rPr>
                <w:color w:val="7F7F7F" w:themeColor="text1" w:themeTint="80"/>
                <w:sz w:val="32"/>
                <w:szCs w:val="32"/>
                <w:lang w:val="ru-RU"/>
              </w:rPr>
              <w:t>и для перехода</w:t>
            </w:r>
            <w:r w:rsidR="00312B95" w:rsidRPr="00086C2B">
              <w:rPr>
                <w:color w:val="7F7F7F" w:themeColor="text1" w:themeTint="80"/>
                <w:sz w:val="32"/>
                <w:szCs w:val="32"/>
                <w:lang w:val="ru-RU"/>
              </w:rPr>
              <w:t xml:space="preserve"> </w:t>
            </w:r>
          </w:p>
        </w:tc>
      </w:tr>
      <w:tr w:rsidR="00A15D9E" w14:paraId="67144014" w14:textId="77777777" w:rsidTr="00055EA0">
        <w:trPr>
          <w:trHeight w:val="20"/>
        </w:trPr>
        <w:tc>
          <w:tcPr>
            <w:tcW w:w="7110" w:type="dxa"/>
          </w:tcPr>
          <w:p w14:paraId="3C1E078B" w14:textId="6E6098E4" w:rsidR="00A14F67" w:rsidRPr="006105FC" w:rsidRDefault="00086C2B" w:rsidP="00086C2B">
            <w:pPr>
              <w:pStyle w:val="a7"/>
              <w:spacing w:after="240"/>
              <w:ind w:left="142"/>
              <w:rPr>
                <w:rFonts w:asciiTheme="majorHAnsi" w:hAnsiTheme="majorHAnsi"/>
                <w:sz w:val="32"/>
                <w:szCs w:val="32"/>
              </w:rPr>
            </w:pPr>
            <w:r>
              <w:rPr>
                <w:rFonts w:asciiTheme="majorHAnsi" w:hAnsiTheme="majorHAnsi"/>
                <w:sz w:val="32"/>
                <w:szCs w:val="32"/>
                <w:lang w:val="ru-RU"/>
              </w:rPr>
              <w:t xml:space="preserve">Период финансирования: </w:t>
            </w:r>
            <w:r w:rsidR="005D49CA" w:rsidRPr="006105FC">
              <w:rPr>
                <w:rFonts w:asciiTheme="majorHAnsi" w:hAnsiTheme="majorHAnsi"/>
                <w:sz w:val="32"/>
                <w:szCs w:val="32"/>
              </w:rPr>
              <w:t>2023-2025</w:t>
            </w:r>
          </w:p>
        </w:tc>
      </w:tr>
    </w:tbl>
    <w:p w14:paraId="0DCF79FC" w14:textId="32F5E89A" w:rsidR="00A4453A" w:rsidRPr="00A83D4D" w:rsidRDefault="00F75102" w:rsidP="00E93557">
      <w:pPr>
        <w:pStyle w:val="1"/>
        <w:pageBreakBefore w:val="0"/>
        <w:spacing w:before="600" w:after="360"/>
        <w:ind w:left="1800" w:hanging="1800"/>
        <w:rPr>
          <w:rStyle w:val="10"/>
          <w:b/>
          <w:bCs/>
          <w:szCs w:val="28"/>
          <w:lang w:val="en-US"/>
        </w:rPr>
      </w:pPr>
      <w:bookmarkStart w:id="0" w:name="_Hlk14265541"/>
      <w:r>
        <w:rPr>
          <w:rStyle w:val="10"/>
          <w:b/>
          <w:bCs/>
          <w:szCs w:val="28"/>
          <w:lang w:val="ru-RU"/>
        </w:rPr>
        <w:t>Общая информация</w:t>
      </w:r>
    </w:p>
    <w:tbl>
      <w:tblPr>
        <w:tblStyle w:val="GlobalFundNoSpac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57" w:type="dxa"/>
          <w:bottom w:w="57" w:type="dxa"/>
          <w:right w:w="28" w:type="dxa"/>
        </w:tblCellMar>
        <w:tblLook w:val="0480" w:firstRow="0" w:lastRow="0" w:firstColumn="1" w:lastColumn="0" w:noHBand="0" w:noVBand="1"/>
      </w:tblPr>
      <w:tblGrid>
        <w:gridCol w:w="5760"/>
        <w:gridCol w:w="3712"/>
      </w:tblGrid>
      <w:tr w:rsidR="005D11A0" w:rsidRPr="00B271DB" w14:paraId="48F3DC0D" w14:textId="77777777" w:rsidTr="00892178">
        <w:trPr>
          <w:cnfStyle w:val="000000100000" w:firstRow="0" w:lastRow="0" w:firstColumn="0" w:lastColumn="0" w:oddVBand="0" w:evenVBand="0" w:oddHBand="1" w:evenHBand="0" w:firstRowFirstColumn="0" w:firstRowLastColumn="0" w:lastRowFirstColumn="0" w:lastRowLastColumn="0"/>
          <w:trHeight w:val="461"/>
        </w:trPr>
        <w:tc>
          <w:tcPr>
            <w:tcW w:w="5760" w:type="dxa"/>
            <w:shd w:val="clear" w:color="auto" w:fill="F2F2F2" w:themeFill="background1" w:themeFillShade="F2"/>
          </w:tcPr>
          <w:bookmarkEnd w:id="0"/>
          <w:p w14:paraId="1EE8E354" w14:textId="005C268F" w:rsidR="00504E65" w:rsidRPr="00955D30" w:rsidRDefault="00F75102" w:rsidP="005D11A0">
            <w:pPr>
              <w:pStyle w:val="BodyTextNoSpace"/>
              <w:rPr>
                <w:rFonts w:cs="Arial"/>
                <w:color w:val="000000" w:themeColor="text1"/>
                <w:sz w:val="22"/>
              </w:rPr>
            </w:pPr>
            <w:r>
              <w:rPr>
                <w:color w:val="000000" w:themeColor="text1"/>
                <w:sz w:val="22"/>
                <w:lang w:val="ru-RU"/>
              </w:rPr>
              <w:t>Страна/страны</w:t>
            </w:r>
          </w:p>
        </w:tc>
        <w:tc>
          <w:tcPr>
            <w:tcW w:w="3712" w:type="dxa"/>
          </w:tcPr>
          <w:p w14:paraId="6765D6F1" w14:textId="6C380370" w:rsidR="00504E65" w:rsidRPr="00E341B6" w:rsidRDefault="00E341B6" w:rsidP="005D11A0">
            <w:pPr>
              <w:pStyle w:val="BodyTextNoSpace"/>
              <w:rPr>
                <w:rFonts w:cs="Arial"/>
                <w:lang w:val="ru-RU"/>
              </w:rPr>
            </w:pPr>
            <w:r>
              <w:rPr>
                <w:rFonts w:cs="Arial"/>
                <w:lang w:val="ru-RU"/>
              </w:rPr>
              <w:t>Кыргызская Республика</w:t>
            </w:r>
          </w:p>
        </w:tc>
      </w:tr>
      <w:tr w:rsidR="005D11A0" w:rsidRPr="00B271DB" w14:paraId="7FE38F2D" w14:textId="77777777" w:rsidTr="00892178">
        <w:trPr>
          <w:cnfStyle w:val="000000010000" w:firstRow="0" w:lastRow="0" w:firstColumn="0" w:lastColumn="0" w:oddVBand="0" w:evenVBand="0" w:oddHBand="0" w:evenHBand="1" w:firstRowFirstColumn="0" w:firstRowLastColumn="0" w:lastRowFirstColumn="0" w:lastRowLastColumn="0"/>
          <w:trHeight w:val="461"/>
        </w:trPr>
        <w:tc>
          <w:tcPr>
            <w:tcW w:w="5760" w:type="dxa"/>
            <w:shd w:val="clear" w:color="auto" w:fill="F2F2F2" w:themeFill="background1" w:themeFillShade="F2"/>
          </w:tcPr>
          <w:p w14:paraId="4E4DCC44" w14:textId="1D4E0F7E" w:rsidR="00504E65" w:rsidRPr="00955D30" w:rsidRDefault="00F75102" w:rsidP="005D11A0">
            <w:pPr>
              <w:pStyle w:val="BodyTextNoSpace"/>
              <w:rPr>
                <w:rFonts w:cs="Arial"/>
                <w:color w:val="000000" w:themeColor="text1"/>
                <w:sz w:val="22"/>
              </w:rPr>
            </w:pPr>
            <w:r>
              <w:rPr>
                <w:color w:val="000000" w:themeColor="text1"/>
                <w:sz w:val="22"/>
                <w:lang w:val="ru-RU"/>
              </w:rPr>
              <w:t>Компонент</w:t>
            </w:r>
            <w:r w:rsidR="00504E65" w:rsidRPr="00955D30">
              <w:rPr>
                <w:color w:val="000000" w:themeColor="text1"/>
                <w:sz w:val="22"/>
              </w:rPr>
              <w:t>(</w:t>
            </w:r>
            <w:r>
              <w:rPr>
                <w:color w:val="000000" w:themeColor="text1"/>
                <w:sz w:val="22"/>
                <w:lang w:val="ru-RU"/>
              </w:rPr>
              <w:t>ы</w:t>
            </w:r>
            <w:r w:rsidR="00504E65" w:rsidRPr="00955D30">
              <w:rPr>
                <w:color w:val="000000" w:themeColor="text1"/>
                <w:sz w:val="22"/>
              </w:rPr>
              <w:t>)</w:t>
            </w:r>
          </w:p>
        </w:tc>
        <w:tc>
          <w:tcPr>
            <w:tcW w:w="3712" w:type="dxa"/>
          </w:tcPr>
          <w:p w14:paraId="19A23BF9" w14:textId="158238AB" w:rsidR="00504E65" w:rsidRPr="00E341B6" w:rsidRDefault="00E341B6" w:rsidP="005D11A0">
            <w:pPr>
              <w:pStyle w:val="BodyTextNoSpace"/>
              <w:rPr>
                <w:rFonts w:cs="Arial"/>
                <w:lang w:val="ru-RU"/>
              </w:rPr>
            </w:pPr>
            <w:r>
              <w:rPr>
                <w:rFonts w:cs="Arial"/>
                <w:lang w:val="ru-RU"/>
              </w:rPr>
              <w:t>ВИЧ+ТБ</w:t>
            </w:r>
          </w:p>
        </w:tc>
      </w:tr>
      <w:tr w:rsidR="005D11A0" w:rsidRPr="00E341B6" w14:paraId="51CB2E95" w14:textId="77777777" w:rsidTr="00892178">
        <w:trPr>
          <w:cnfStyle w:val="000000100000" w:firstRow="0" w:lastRow="0" w:firstColumn="0" w:lastColumn="0" w:oddVBand="0" w:evenVBand="0" w:oddHBand="1" w:evenHBand="0" w:firstRowFirstColumn="0" w:firstRowLastColumn="0" w:lastRowFirstColumn="0" w:lastRowLastColumn="0"/>
          <w:trHeight w:val="461"/>
        </w:trPr>
        <w:tc>
          <w:tcPr>
            <w:tcW w:w="5760" w:type="dxa"/>
            <w:shd w:val="clear" w:color="auto" w:fill="F2F2F2" w:themeFill="background1" w:themeFillShade="F2"/>
          </w:tcPr>
          <w:p w14:paraId="57F8BBBD" w14:textId="5F7F9135" w:rsidR="00504E65" w:rsidRPr="00A12A97" w:rsidRDefault="00A12A97" w:rsidP="005D11A0">
            <w:pPr>
              <w:pStyle w:val="BodyTextNoSpace"/>
              <w:rPr>
                <w:rFonts w:cs="Arial"/>
                <w:color w:val="000000" w:themeColor="text1"/>
                <w:sz w:val="22"/>
                <w:lang w:val="ru-RU"/>
              </w:rPr>
            </w:pPr>
            <w:bookmarkStart w:id="1" w:name="_Hlk123065289"/>
            <w:r>
              <w:rPr>
                <w:color w:val="000000" w:themeColor="text1"/>
                <w:sz w:val="22"/>
                <w:lang w:val="ru-RU"/>
              </w:rPr>
              <w:t>Запланированная</w:t>
            </w:r>
            <w:r w:rsidR="00C414EF">
              <w:rPr>
                <w:color w:val="000000" w:themeColor="text1"/>
                <w:sz w:val="22"/>
                <w:lang w:val="ru-RU"/>
              </w:rPr>
              <w:t>(-ые)</w:t>
            </w:r>
            <w:r>
              <w:rPr>
                <w:color w:val="000000" w:themeColor="text1"/>
                <w:sz w:val="22"/>
                <w:lang w:val="ru-RU"/>
              </w:rPr>
              <w:t xml:space="preserve"> дата</w:t>
            </w:r>
            <w:r w:rsidR="00C414EF">
              <w:rPr>
                <w:color w:val="000000" w:themeColor="text1"/>
                <w:sz w:val="22"/>
                <w:lang w:val="ru-RU"/>
              </w:rPr>
              <w:t>(-ы)</w:t>
            </w:r>
            <w:r>
              <w:rPr>
                <w:color w:val="000000" w:themeColor="text1"/>
                <w:sz w:val="22"/>
                <w:lang w:val="ru-RU"/>
              </w:rPr>
              <w:t xml:space="preserve"> начала срока гранта</w:t>
            </w:r>
            <w:r w:rsidR="00C414EF">
              <w:rPr>
                <w:color w:val="000000" w:themeColor="text1"/>
                <w:sz w:val="22"/>
                <w:lang w:val="ru-RU"/>
              </w:rPr>
              <w:t>(-ов)</w:t>
            </w:r>
            <w:bookmarkEnd w:id="1"/>
          </w:p>
        </w:tc>
        <w:tc>
          <w:tcPr>
            <w:tcW w:w="3712" w:type="dxa"/>
          </w:tcPr>
          <w:p w14:paraId="7C472E61" w14:textId="3FC4C393" w:rsidR="00504E65" w:rsidRPr="00A12A97" w:rsidRDefault="00E341B6" w:rsidP="005D11A0">
            <w:pPr>
              <w:pStyle w:val="BodyTextNoSpace"/>
              <w:rPr>
                <w:rFonts w:cs="Arial"/>
                <w:lang w:val="ru-RU"/>
              </w:rPr>
            </w:pPr>
            <w:r>
              <w:rPr>
                <w:rFonts w:cs="Arial"/>
                <w:lang w:val="ru-RU"/>
              </w:rPr>
              <w:t>01.01.2024 г.</w:t>
            </w:r>
          </w:p>
        </w:tc>
      </w:tr>
      <w:tr w:rsidR="005D11A0" w:rsidRPr="00E341B6" w14:paraId="4553171E" w14:textId="77777777" w:rsidTr="00892178">
        <w:trPr>
          <w:cnfStyle w:val="000000010000" w:firstRow="0" w:lastRow="0" w:firstColumn="0" w:lastColumn="0" w:oddVBand="0" w:evenVBand="0" w:oddHBand="0" w:evenHBand="1" w:firstRowFirstColumn="0" w:firstRowLastColumn="0" w:lastRowFirstColumn="0" w:lastRowLastColumn="0"/>
          <w:trHeight w:val="461"/>
        </w:trPr>
        <w:tc>
          <w:tcPr>
            <w:tcW w:w="5760" w:type="dxa"/>
            <w:shd w:val="clear" w:color="auto" w:fill="F2F2F2" w:themeFill="background1" w:themeFillShade="F2"/>
          </w:tcPr>
          <w:p w14:paraId="7AC6E0F8" w14:textId="20A692F4" w:rsidR="00504E65" w:rsidRPr="00C414EF" w:rsidRDefault="00C414EF" w:rsidP="005D11A0">
            <w:pPr>
              <w:pStyle w:val="BodyTextNoSpace"/>
              <w:rPr>
                <w:rFonts w:cs="Arial"/>
                <w:color w:val="000000" w:themeColor="text1"/>
                <w:sz w:val="22"/>
                <w:lang w:val="ru-RU"/>
              </w:rPr>
            </w:pPr>
            <w:r>
              <w:rPr>
                <w:color w:val="000000" w:themeColor="text1"/>
                <w:sz w:val="22"/>
                <w:lang w:val="ru-RU"/>
              </w:rPr>
              <w:t>Запланированная(-ые) дата(-ы) окончания срока гранта(-ов)</w:t>
            </w:r>
          </w:p>
        </w:tc>
        <w:tc>
          <w:tcPr>
            <w:tcW w:w="3712" w:type="dxa"/>
          </w:tcPr>
          <w:p w14:paraId="3AB177F0" w14:textId="7A8FB4DE" w:rsidR="00504E65" w:rsidRPr="00C414EF" w:rsidRDefault="00E341B6" w:rsidP="005D11A0">
            <w:pPr>
              <w:pStyle w:val="BodyTextNoSpace"/>
              <w:rPr>
                <w:rFonts w:cs="Arial"/>
                <w:lang w:val="ru-RU"/>
              </w:rPr>
            </w:pPr>
            <w:r>
              <w:rPr>
                <w:rFonts w:cs="Arial"/>
                <w:lang w:val="ru-RU"/>
              </w:rPr>
              <w:t>31.12.2026 г.</w:t>
            </w:r>
          </w:p>
        </w:tc>
      </w:tr>
      <w:tr w:rsidR="006A0139" w:rsidRPr="006A0139" w14:paraId="38154DBF" w14:textId="77777777" w:rsidTr="00892178">
        <w:trPr>
          <w:cnfStyle w:val="000000100000" w:firstRow="0" w:lastRow="0" w:firstColumn="0" w:lastColumn="0" w:oddVBand="0" w:evenVBand="0" w:oddHBand="1" w:evenHBand="0" w:firstRowFirstColumn="0" w:firstRowLastColumn="0" w:lastRowFirstColumn="0" w:lastRowLastColumn="0"/>
          <w:trHeight w:val="461"/>
        </w:trPr>
        <w:tc>
          <w:tcPr>
            <w:tcW w:w="5760" w:type="dxa"/>
            <w:shd w:val="clear" w:color="auto" w:fill="F2F2F2" w:themeFill="background1" w:themeFillShade="F2"/>
          </w:tcPr>
          <w:p w14:paraId="1FAAA714" w14:textId="537DE4DF" w:rsidR="00504E65" w:rsidRPr="00955D30" w:rsidRDefault="00C414EF" w:rsidP="005D11A0">
            <w:pPr>
              <w:pStyle w:val="BodyTextNoSpace"/>
              <w:rPr>
                <w:rFonts w:cs="Arial"/>
                <w:color w:val="000000" w:themeColor="text1"/>
                <w:sz w:val="22"/>
              </w:rPr>
            </w:pPr>
            <w:r>
              <w:rPr>
                <w:color w:val="000000" w:themeColor="text1"/>
                <w:sz w:val="22"/>
                <w:lang w:val="ru-RU"/>
              </w:rPr>
              <w:t>Главные реципиенты</w:t>
            </w:r>
            <w:r w:rsidR="00504E65" w:rsidRPr="00955D30">
              <w:rPr>
                <w:color w:val="000000" w:themeColor="text1"/>
                <w:sz w:val="22"/>
              </w:rPr>
              <w:t xml:space="preserve"> </w:t>
            </w:r>
          </w:p>
        </w:tc>
        <w:tc>
          <w:tcPr>
            <w:tcW w:w="3712" w:type="dxa"/>
          </w:tcPr>
          <w:p w14:paraId="70D8612F" w14:textId="34065F68" w:rsidR="00504E65" w:rsidRPr="00283814" w:rsidRDefault="00283814" w:rsidP="005D11A0">
            <w:pPr>
              <w:pStyle w:val="BodyTextNoSpace"/>
              <w:rPr>
                <w:rFonts w:cs="Arial"/>
                <w:lang w:val="ru-RU"/>
              </w:rPr>
            </w:pPr>
            <w:r>
              <w:rPr>
                <w:rFonts w:cs="Arial"/>
                <w:lang w:val="ru-RU"/>
              </w:rPr>
              <w:t>ПРООН</w:t>
            </w:r>
          </w:p>
        </w:tc>
      </w:tr>
      <w:tr w:rsidR="005D11A0" w:rsidRPr="00B271DB" w14:paraId="6656FBC9" w14:textId="77777777" w:rsidTr="00892178">
        <w:trPr>
          <w:cnfStyle w:val="000000010000" w:firstRow="0" w:lastRow="0" w:firstColumn="0" w:lastColumn="0" w:oddVBand="0" w:evenVBand="0" w:oddHBand="0" w:evenHBand="1" w:firstRowFirstColumn="0" w:firstRowLastColumn="0" w:lastRowFirstColumn="0" w:lastRowLastColumn="0"/>
          <w:trHeight w:val="461"/>
        </w:trPr>
        <w:tc>
          <w:tcPr>
            <w:tcW w:w="5760" w:type="dxa"/>
            <w:shd w:val="clear" w:color="auto" w:fill="F2F2F2" w:themeFill="background1" w:themeFillShade="F2"/>
          </w:tcPr>
          <w:p w14:paraId="24547407" w14:textId="2B620948" w:rsidR="00504E65" w:rsidRPr="00955D30" w:rsidRDefault="00C414EF" w:rsidP="005D11A0">
            <w:pPr>
              <w:pStyle w:val="BodyTextNoSpace"/>
              <w:rPr>
                <w:rFonts w:cs="Arial"/>
                <w:color w:val="000000" w:themeColor="text1"/>
                <w:sz w:val="22"/>
              </w:rPr>
            </w:pPr>
            <w:r>
              <w:rPr>
                <w:color w:val="000000" w:themeColor="text1"/>
                <w:sz w:val="22"/>
                <w:lang w:val="ru-RU"/>
              </w:rPr>
              <w:t>Валюта</w:t>
            </w:r>
          </w:p>
        </w:tc>
        <w:tc>
          <w:tcPr>
            <w:tcW w:w="3712" w:type="dxa"/>
          </w:tcPr>
          <w:p w14:paraId="56F3E9A3" w14:textId="6F27716E" w:rsidR="00504E65" w:rsidRPr="00E341B6" w:rsidRDefault="00E341B6" w:rsidP="005D11A0">
            <w:pPr>
              <w:pStyle w:val="BodyTextNoSpace"/>
              <w:rPr>
                <w:rFonts w:cs="Arial"/>
                <w:lang w:val="ru-RU"/>
              </w:rPr>
            </w:pPr>
            <w:r>
              <w:rPr>
                <w:rFonts w:cs="Arial"/>
                <w:lang w:val="en-US"/>
              </w:rPr>
              <w:t>$</w:t>
            </w:r>
            <w:r>
              <w:rPr>
                <w:rFonts w:cs="Arial"/>
                <w:lang w:val="ru-RU"/>
              </w:rPr>
              <w:t>-Доллары США</w:t>
            </w:r>
          </w:p>
        </w:tc>
      </w:tr>
      <w:tr w:rsidR="004F0E9A" w:rsidRPr="00A26916" w14:paraId="3F8B8ECE" w14:textId="77777777" w:rsidTr="00892178">
        <w:trPr>
          <w:cnfStyle w:val="000000100000" w:firstRow="0" w:lastRow="0" w:firstColumn="0" w:lastColumn="0" w:oddVBand="0" w:evenVBand="0" w:oddHBand="1" w:evenHBand="0" w:firstRowFirstColumn="0" w:firstRowLastColumn="0" w:lastRowFirstColumn="0" w:lastRowLastColumn="0"/>
          <w:trHeight w:val="461"/>
        </w:trPr>
        <w:tc>
          <w:tcPr>
            <w:tcW w:w="5760" w:type="dxa"/>
            <w:shd w:val="clear" w:color="auto" w:fill="F2F2F2" w:themeFill="background1" w:themeFillShade="F2"/>
          </w:tcPr>
          <w:p w14:paraId="29A4F0A3" w14:textId="039BD30C" w:rsidR="00784B31" w:rsidRPr="00E23A2A" w:rsidRDefault="00E23A2A" w:rsidP="005D11A0">
            <w:pPr>
              <w:pStyle w:val="BodyTextNoSpace"/>
              <w:rPr>
                <w:sz w:val="22"/>
                <w:lang w:val="ru-RU"/>
              </w:rPr>
            </w:pPr>
            <w:r>
              <w:rPr>
                <w:color w:val="000000" w:themeColor="text1"/>
                <w:sz w:val="22"/>
                <w:lang w:val="ru-RU"/>
              </w:rPr>
              <w:t>Направления</w:t>
            </w:r>
            <w:r w:rsidRPr="00E23A2A">
              <w:rPr>
                <w:color w:val="000000" w:themeColor="text1"/>
                <w:sz w:val="22"/>
                <w:lang w:val="ru-RU"/>
              </w:rPr>
              <w:t xml:space="preserve">, </w:t>
            </w:r>
            <w:r>
              <w:rPr>
                <w:color w:val="000000" w:themeColor="text1"/>
                <w:sz w:val="22"/>
                <w:lang w:val="ru-RU"/>
              </w:rPr>
              <w:t>которые</w:t>
            </w:r>
            <w:r w:rsidRPr="00E23A2A">
              <w:rPr>
                <w:color w:val="000000" w:themeColor="text1"/>
                <w:sz w:val="22"/>
                <w:lang w:val="ru-RU"/>
              </w:rPr>
              <w:t xml:space="preserve"> </w:t>
            </w:r>
            <w:r>
              <w:rPr>
                <w:color w:val="000000" w:themeColor="text1"/>
                <w:sz w:val="22"/>
                <w:lang w:val="ru-RU"/>
              </w:rPr>
              <w:t>охватывает</w:t>
            </w:r>
            <w:r w:rsidRPr="00E23A2A">
              <w:rPr>
                <w:color w:val="000000" w:themeColor="text1"/>
                <w:sz w:val="22"/>
                <w:lang w:val="ru-RU"/>
              </w:rPr>
              <w:t xml:space="preserve"> </w:t>
            </w:r>
            <w:r>
              <w:rPr>
                <w:color w:val="000000" w:themeColor="text1"/>
                <w:sz w:val="22"/>
                <w:lang w:val="ru-RU"/>
              </w:rPr>
              <w:t>данная</w:t>
            </w:r>
            <w:r w:rsidRPr="00E23A2A">
              <w:rPr>
                <w:color w:val="000000" w:themeColor="text1"/>
                <w:sz w:val="22"/>
                <w:lang w:val="ru-RU"/>
              </w:rPr>
              <w:t xml:space="preserve"> </w:t>
            </w:r>
            <w:r>
              <w:rPr>
                <w:color w:val="000000" w:themeColor="text1"/>
                <w:sz w:val="22"/>
                <w:lang w:val="ru-RU"/>
              </w:rPr>
              <w:t>Заявка</w:t>
            </w:r>
            <w:r w:rsidRPr="00E23A2A">
              <w:rPr>
                <w:color w:val="000000" w:themeColor="text1"/>
                <w:sz w:val="22"/>
                <w:lang w:val="ru-RU"/>
              </w:rPr>
              <w:t xml:space="preserve"> </w:t>
            </w:r>
            <w:r>
              <w:rPr>
                <w:color w:val="000000" w:themeColor="text1"/>
                <w:sz w:val="22"/>
                <w:lang w:val="ru-RU"/>
              </w:rPr>
              <w:t>на</w:t>
            </w:r>
            <w:r w:rsidRPr="00E23A2A">
              <w:rPr>
                <w:color w:val="000000" w:themeColor="text1"/>
                <w:sz w:val="22"/>
                <w:lang w:val="ru-RU"/>
              </w:rPr>
              <w:t xml:space="preserve"> </w:t>
            </w:r>
            <w:r>
              <w:rPr>
                <w:color w:val="000000" w:themeColor="text1"/>
                <w:sz w:val="22"/>
                <w:lang w:val="ru-RU"/>
              </w:rPr>
              <w:t>финансирование</w:t>
            </w:r>
            <w:r w:rsidR="004F0E9A" w:rsidRPr="00E23A2A">
              <w:rPr>
                <w:color w:val="000000" w:themeColor="text1"/>
                <w:sz w:val="22"/>
                <w:lang w:val="ru-RU"/>
              </w:rPr>
              <w:t xml:space="preserve"> </w:t>
            </w:r>
          </w:p>
          <w:p w14:paraId="695633DF" w14:textId="72C36C66" w:rsidR="004F0E9A" w:rsidRPr="00E23A2A" w:rsidRDefault="004F0E9A" w:rsidP="005D11A0">
            <w:pPr>
              <w:pStyle w:val="BodyTextNoSpace"/>
              <w:rPr>
                <w:color w:val="000000" w:themeColor="text1"/>
                <w:sz w:val="22"/>
                <w:lang w:val="ru-RU"/>
              </w:rPr>
            </w:pPr>
            <w:r w:rsidRPr="00E23A2A">
              <w:rPr>
                <w:color w:val="000000" w:themeColor="text1"/>
                <w:sz w:val="22"/>
                <w:lang w:val="ru-RU"/>
              </w:rPr>
              <w:t>(</w:t>
            </w:r>
            <w:r w:rsidR="00E23A2A">
              <w:rPr>
                <w:color w:val="000000" w:themeColor="text1"/>
                <w:sz w:val="22"/>
                <w:lang w:val="ru-RU"/>
              </w:rPr>
              <w:t>как</w:t>
            </w:r>
            <w:r w:rsidR="00E23A2A" w:rsidRPr="00E23A2A">
              <w:rPr>
                <w:color w:val="000000" w:themeColor="text1"/>
                <w:sz w:val="22"/>
                <w:lang w:val="ru-RU"/>
              </w:rPr>
              <w:t xml:space="preserve"> </w:t>
            </w:r>
            <w:r w:rsidR="00E23A2A">
              <w:rPr>
                <w:color w:val="000000" w:themeColor="text1"/>
                <w:sz w:val="22"/>
                <w:lang w:val="ru-RU"/>
              </w:rPr>
              <w:t>указано</w:t>
            </w:r>
            <w:r w:rsidR="00E23A2A" w:rsidRPr="00E23A2A">
              <w:rPr>
                <w:color w:val="000000" w:themeColor="text1"/>
                <w:sz w:val="22"/>
                <w:lang w:val="ru-RU"/>
              </w:rPr>
              <w:t xml:space="preserve"> </w:t>
            </w:r>
            <w:r w:rsidR="00E23A2A">
              <w:rPr>
                <w:color w:val="000000" w:themeColor="text1"/>
                <w:sz w:val="22"/>
                <w:lang w:val="ru-RU"/>
              </w:rPr>
              <w:t>в</w:t>
            </w:r>
            <w:r w:rsidR="00E23A2A" w:rsidRPr="00E23A2A">
              <w:rPr>
                <w:color w:val="000000" w:themeColor="text1"/>
                <w:sz w:val="22"/>
                <w:lang w:val="ru-RU"/>
              </w:rPr>
              <w:t xml:space="preserve"> </w:t>
            </w:r>
            <w:r w:rsidR="00E23A2A">
              <w:rPr>
                <w:color w:val="000000" w:themeColor="text1"/>
                <w:sz w:val="22"/>
                <w:lang w:val="ru-RU"/>
              </w:rPr>
              <w:t>письме</w:t>
            </w:r>
            <w:r w:rsidR="00E23A2A" w:rsidRPr="00E23A2A">
              <w:rPr>
                <w:color w:val="000000" w:themeColor="text1"/>
                <w:sz w:val="22"/>
                <w:lang w:val="ru-RU"/>
              </w:rPr>
              <w:t xml:space="preserve"> </w:t>
            </w:r>
            <w:r w:rsidR="00E23A2A">
              <w:rPr>
                <w:color w:val="000000" w:themeColor="text1"/>
                <w:sz w:val="22"/>
                <w:lang w:val="ru-RU"/>
              </w:rPr>
              <w:t>о</w:t>
            </w:r>
            <w:r w:rsidR="00E23A2A" w:rsidRPr="00E23A2A">
              <w:rPr>
                <w:color w:val="000000" w:themeColor="text1"/>
                <w:sz w:val="22"/>
                <w:lang w:val="ru-RU"/>
              </w:rPr>
              <w:t xml:space="preserve"> </w:t>
            </w:r>
            <w:r w:rsidR="00E23A2A">
              <w:rPr>
                <w:color w:val="000000" w:themeColor="text1"/>
                <w:sz w:val="22"/>
                <w:lang w:val="ru-RU"/>
              </w:rPr>
              <w:t>финансировании</w:t>
            </w:r>
            <w:r w:rsidR="00E23A2A" w:rsidRPr="00E23A2A">
              <w:rPr>
                <w:color w:val="000000" w:themeColor="text1"/>
                <w:sz w:val="22"/>
                <w:lang w:val="ru-RU"/>
              </w:rPr>
              <w:t xml:space="preserve"> </w:t>
            </w:r>
            <w:r w:rsidR="00E23A2A">
              <w:rPr>
                <w:color w:val="000000" w:themeColor="text1"/>
                <w:sz w:val="22"/>
                <w:lang w:val="ru-RU"/>
              </w:rPr>
              <w:t>или</w:t>
            </w:r>
            <w:r w:rsidR="00E23A2A" w:rsidRPr="00E23A2A">
              <w:rPr>
                <w:color w:val="000000" w:themeColor="text1"/>
                <w:sz w:val="22"/>
                <w:lang w:val="ru-RU"/>
              </w:rPr>
              <w:t xml:space="preserve"> </w:t>
            </w:r>
            <w:r w:rsidR="00E23A2A">
              <w:rPr>
                <w:color w:val="000000" w:themeColor="text1"/>
                <w:sz w:val="22"/>
                <w:lang w:val="ru-RU"/>
              </w:rPr>
              <w:t>иначе согласовано</w:t>
            </w:r>
            <w:r w:rsidR="00E23A2A" w:rsidRPr="00E23A2A">
              <w:rPr>
                <w:color w:val="000000" w:themeColor="text1"/>
                <w:sz w:val="22"/>
                <w:lang w:val="ru-RU"/>
              </w:rPr>
              <w:t xml:space="preserve"> </w:t>
            </w:r>
            <w:r w:rsidR="00E23A2A">
              <w:rPr>
                <w:color w:val="000000" w:themeColor="text1"/>
                <w:sz w:val="22"/>
                <w:lang w:val="ru-RU"/>
              </w:rPr>
              <w:t>с</w:t>
            </w:r>
            <w:r w:rsidR="00E23A2A" w:rsidRPr="00E23A2A">
              <w:rPr>
                <w:color w:val="000000" w:themeColor="text1"/>
                <w:sz w:val="22"/>
                <w:lang w:val="ru-RU"/>
              </w:rPr>
              <w:t xml:space="preserve"> </w:t>
            </w:r>
            <w:r w:rsidR="00E23A2A">
              <w:rPr>
                <w:color w:val="000000" w:themeColor="text1"/>
                <w:sz w:val="22"/>
                <w:lang w:val="ru-RU"/>
              </w:rPr>
              <w:t>Глобальным</w:t>
            </w:r>
            <w:r w:rsidR="00E23A2A" w:rsidRPr="00E23A2A">
              <w:rPr>
                <w:color w:val="000000" w:themeColor="text1"/>
                <w:sz w:val="22"/>
                <w:lang w:val="ru-RU"/>
              </w:rPr>
              <w:t xml:space="preserve"> </w:t>
            </w:r>
            <w:r w:rsidR="00E23A2A">
              <w:rPr>
                <w:color w:val="000000" w:themeColor="text1"/>
                <w:sz w:val="22"/>
                <w:lang w:val="ru-RU"/>
              </w:rPr>
              <w:t>фондом</w:t>
            </w:r>
            <w:r w:rsidRPr="00E23A2A">
              <w:rPr>
                <w:color w:val="000000" w:themeColor="text1"/>
                <w:sz w:val="22"/>
                <w:lang w:val="ru-RU"/>
              </w:rPr>
              <w:t>)</w:t>
            </w:r>
          </w:p>
        </w:tc>
        <w:tc>
          <w:tcPr>
            <w:tcW w:w="3712" w:type="dxa"/>
          </w:tcPr>
          <w:p w14:paraId="2B10D36C" w14:textId="70D2A376" w:rsidR="004F0E9A" w:rsidRPr="00283814" w:rsidRDefault="00283814" w:rsidP="005D11A0">
            <w:pPr>
              <w:pStyle w:val="BodyTextNoSpace"/>
              <w:rPr>
                <w:rFonts w:cs="Arial"/>
                <w:sz w:val="20"/>
                <w:szCs w:val="20"/>
                <w:lang w:val="ru-RU"/>
              </w:rPr>
            </w:pPr>
            <w:r w:rsidRPr="00283814">
              <w:rPr>
                <w:rFonts w:cs="Arial"/>
                <w:sz w:val="20"/>
                <w:szCs w:val="20"/>
                <w:lang w:val="ru-RU"/>
              </w:rPr>
              <w:t>Фокусные мероприятия для КУГН, которые вносят наибольший вклад в развитие эпидемий ВИЧ и ТБ, с учетом гендерных аспектов и прав человека</w:t>
            </w:r>
          </w:p>
        </w:tc>
      </w:tr>
      <w:tr w:rsidR="005D11A0" w:rsidRPr="00B271DB" w14:paraId="2A6E9275" w14:textId="77777777" w:rsidTr="00892178">
        <w:trPr>
          <w:cnfStyle w:val="000000010000" w:firstRow="0" w:lastRow="0" w:firstColumn="0" w:lastColumn="0" w:oddVBand="0" w:evenVBand="0" w:oddHBand="0" w:evenHBand="1" w:firstRowFirstColumn="0" w:firstRowLastColumn="0" w:lastRowFirstColumn="0" w:lastRowLastColumn="0"/>
          <w:trHeight w:val="461"/>
        </w:trPr>
        <w:tc>
          <w:tcPr>
            <w:tcW w:w="5760" w:type="dxa"/>
            <w:shd w:val="clear" w:color="auto" w:fill="F2F2F2" w:themeFill="background1" w:themeFillShade="F2"/>
          </w:tcPr>
          <w:p w14:paraId="32064B9A" w14:textId="115FA9B3" w:rsidR="00504E65" w:rsidRPr="00955D30" w:rsidRDefault="00AD675F" w:rsidP="005D11A0">
            <w:pPr>
              <w:pStyle w:val="BodyTextNoSpace"/>
              <w:rPr>
                <w:rFonts w:cs="Arial"/>
                <w:color w:val="000000" w:themeColor="text1"/>
                <w:sz w:val="22"/>
              </w:rPr>
            </w:pPr>
            <w:r>
              <w:rPr>
                <w:color w:val="000000" w:themeColor="text1"/>
                <w:sz w:val="22"/>
                <w:lang w:val="ru-RU"/>
              </w:rPr>
              <w:t>Сумма Заявки на финансирование</w:t>
            </w:r>
          </w:p>
        </w:tc>
        <w:tc>
          <w:tcPr>
            <w:tcW w:w="3712" w:type="dxa"/>
          </w:tcPr>
          <w:p w14:paraId="368F16E8" w14:textId="5A93D603" w:rsidR="00504E65" w:rsidRPr="00283814" w:rsidRDefault="00283814" w:rsidP="005D11A0">
            <w:pPr>
              <w:pStyle w:val="BodyTextNoSpace"/>
              <w:rPr>
                <w:rFonts w:cs="Arial"/>
                <w:lang w:val="ru-RU"/>
              </w:rPr>
            </w:pPr>
            <w:r>
              <w:rPr>
                <w:rFonts w:cs="Arial"/>
                <w:lang w:val="ru-RU"/>
              </w:rPr>
              <w:t>27,400,758 $</w:t>
            </w:r>
          </w:p>
        </w:tc>
      </w:tr>
      <w:tr w:rsidR="005D11A0" w:rsidRPr="00283814" w14:paraId="0C67160D" w14:textId="77777777" w:rsidTr="00892178">
        <w:trPr>
          <w:cnfStyle w:val="000000100000" w:firstRow="0" w:lastRow="0" w:firstColumn="0" w:lastColumn="0" w:oddVBand="0" w:evenVBand="0" w:oddHBand="1" w:evenHBand="0" w:firstRowFirstColumn="0" w:firstRowLastColumn="0" w:lastRowFirstColumn="0" w:lastRowLastColumn="0"/>
          <w:trHeight w:val="461"/>
        </w:trPr>
        <w:tc>
          <w:tcPr>
            <w:tcW w:w="5760" w:type="dxa"/>
            <w:shd w:val="clear" w:color="auto" w:fill="F2F2F2" w:themeFill="background1" w:themeFillShade="F2"/>
          </w:tcPr>
          <w:p w14:paraId="6EF5539D" w14:textId="149FCED7" w:rsidR="00504E65" w:rsidRPr="008A3830" w:rsidRDefault="008A3830" w:rsidP="005D11A0">
            <w:pPr>
              <w:pStyle w:val="BodyTextNoSpace"/>
              <w:rPr>
                <w:rFonts w:cs="Arial"/>
                <w:color w:val="000000" w:themeColor="text1"/>
                <w:sz w:val="22"/>
                <w:lang w:val="ru-RU"/>
              </w:rPr>
            </w:pPr>
            <w:r>
              <w:rPr>
                <w:color w:val="000000" w:themeColor="text1"/>
                <w:sz w:val="22"/>
                <w:lang w:val="ru-RU"/>
              </w:rPr>
              <w:t>Сумма</w:t>
            </w:r>
            <w:r w:rsidRPr="008A3830">
              <w:rPr>
                <w:color w:val="000000" w:themeColor="text1"/>
                <w:sz w:val="22"/>
                <w:lang w:val="ru-RU"/>
              </w:rPr>
              <w:t xml:space="preserve"> </w:t>
            </w:r>
            <w:bookmarkStart w:id="2" w:name="_Hlk123072526"/>
            <w:r>
              <w:rPr>
                <w:lang w:val="ru-RU"/>
              </w:rPr>
              <w:t>Приоритетной</w:t>
            </w:r>
            <w:r w:rsidRPr="008A3830">
              <w:rPr>
                <w:lang w:val="ru-RU"/>
              </w:rPr>
              <w:t xml:space="preserve"> </w:t>
            </w:r>
            <w:r>
              <w:rPr>
                <w:lang w:val="ru-RU"/>
              </w:rPr>
              <w:t>заявки</w:t>
            </w:r>
            <w:r w:rsidRPr="008A3830">
              <w:rPr>
                <w:lang w:val="ru-RU"/>
              </w:rPr>
              <w:t xml:space="preserve"> </w:t>
            </w:r>
            <w:r>
              <w:rPr>
                <w:lang w:val="ru-RU"/>
              </w:rPr>
              <w:t>на</w:t>
            </w:r>
            <w:r w:rsidRPr="008A3830">
              <w:rPr>
                <w:lang w:val="ru-RU"/>
              </w:rPr>
              <w:t xml:space="preserve"> </w:t>
            </w:r>
            <w:r>
              <w:rPr>
                <w:lang w:val="ru-RU"/>
              </w:rPr>
              <w:t>средства</w:t>
            </w:r>
            <w:r w:rsidRPr="008A3830">
              <w:rPr>
                <w:lang w:val="ru-RU"/>
              </w:rPr>
              <w:t xml:space="preserve"> </w:t>
            </w:r>
            <w:r>
              <w:rPr>
                <w:lang w:val="ru-RU"/>
              </w:rPr>
              <w:t>сверх</w:t>
            </w:r>
            <w:r w:rsidRPr="008A3830">
              <w:rPr>
                <w:lang w:val="ru-RU"/>
              </w:rPr>
              <w:t xml:space="preserve"> </w:t>
            </w:r>
            <w:r>
              <w:rPr>
                <w:lang w:val="ru-RU"/>
              </w:rPr>
              <w:t>финансирования</w:t>
            </w:r>
            <w:r w:rsidRPr="008A3830">
              <w:rPr>
                <w:lang w:val="ru-RU"/>
              </w:rPr>
              <w:t xml:space="preserve"> (</w:t>
            </w:r>
            <w:r>
              <w:rPr>
                <w:lang w:val="ru-RU"/>
              </w:rPr>
              <w:t>ПЗССФ</w:t>
            </w:r>
            <w:r w:rsidRPr="008A3830">
              <w:rPr>
                <w:lang w:val="ru-RU"/>
              </w:rPr>
              <w:t>)</w:t>
            </w:r>
            <w:bookmarkEnd w:id="2"/>
            <w:r w:rsidR="00504E65" w:rsidRPr="008A3830">
              <w:rPr>
                <w:color w:val="000000" w:themeColor="text1"/>
                <w:sz w:val="22"/>
                <w:lang w:val="ru-RU"/>
              </w:rPr>
              <w:t xml:space="preserve"> </w:t>
            </w:r>
          </w:p>
        </w:tc>
        <w:tc>
          <w:tcPr>
            <w:tcW w:w="3712" w:type="dxa"/>
          </w:tcPr>
          <w:p w14:paraId="5495A851" w14:textId="0FA278AD" w:rsidR="00504E65" w:rsidRPr="008A3830" w:rsidRDefault="001966F9" w:rsidP="005D11A0">
            <w:pPr>
              <w:pStyle w:val="BodyTextNoSpace"/>
              <w:rPr>
                <w:rFonts w:cs="Arial"/>
                <w:lang w:val="ru-RU"/>
              </w:rPr>
            </w:pPr>
            <w:r>
              <w:rPr>
                <w:rFonts w:cs="Arial"/>
                <w:lang w:val="ru-RU"/>
              </w:rPr>
              <w:t>± 8,220,230 $</w:t>
            </w:r>
          </w:p>
        </w:tc>
      </w:tr>
      <w:tr w:rsidR="00524004" w:rsidRPr="00B271DB" w14:paraId="2ACA69DF" w14:textId="77777777" w:rsidTr="00892178">
        <w:trPr>
          <w:cnfStyle w:val="000000010000" w:firstRow="0" w:lastRow="0" w:firstColumn="0" w:lastColumn="0" w:oddVBand="0" w:evenVBand="0" w:oddHBand="0" w:evenHBand="1" w:firstRowFirstColumn="0" w:firstRowLastColumn="0" w:lastRowFirstColumn="0" w:lastRowLastColumn="0"/>
          <w:trHeight w:val="461"/>
        </w:trPr>
        <w:tc>
          <w:tcPr>
            <w:tcW w:w="5760" w:type="dxa"/>
            <w:shd w:val="clear" w:color="auto" w:fill="F2F2F2" w:themeFill="background1" w:themeFillShade="F2"/>
          </w:tcPr>
          <w:p w14:paraId="69C5B667" w14:textId="490EF112" w:rsidR="00524004" w:rsidRPr="008A3830" w:rsidRDefault="008A3830" w:rsidP="00524004">
            <w:pPr>
              <w:pStyle w:val="BodyTextNoSpace"/>
              <w:rPr>
                <w:color w:val="000000" w:themeColor="text1"/>
                <w:sz w:val="22"/>
                <w:lang w:val="ru-RU"/>
              </w:rPr>
            </w:pPr>
            <w:r>
              <w:rPr>
                <w:color w:val="000000" w:themeColor="text1"/>
                <w:sz w:val="22"/>
                <w:lang w:val="ru-RU"/>
              </w:rPr>
              <w:t>Сумма</w:t>
            </w:r>
            <w:r w:rsidRPr="008A3830">
              <w:rPr>
                <w:color w:val="000000" w:themeColor="text1"/>
                <w:sz w:val="22"/>
                <w:lang w:val="ru-RU"/>
              </w:rPr>
              <w:t xml:space="preserve"> </w:t>
            </w:r>
            <w:r>
              <w:rPr>
                <w:color w:val="000000" w:themeColor="text1"/>
                <w:sz w:val="22"/>
                <w:lang w:val="ru-RU"/>
              </w:rPr>
              <w:t>заявки</w:t>
            </w:r>
            <w:r w:rsidRPr="008A3830">
              <w:rPr>
                <w:color w:val="000000" w:themeColor="text1"/>
                <w:sz w:val="22"/>
                <w:lang w:val="ru-RU"/>
              </w:rPr>
              <w:t xml:space="preserve"> </w:t>
            </w:r>
            <w:r>
              <w:rPr>
                <w:color w:val="000000" w:themeColor="text1"/>
                <w:sz w:val="22"/>
                <w:lang w:val="ru-RU"/>
              </w:rPr>
              <w:t>на средства встречных</w:t>
            </w:r>
            <w:r w:rsidRPr="008A3830">
              <w:rPr>
                <w:color w:val="000000" w:themeColor="text1"/>
                <w:sz w:val="22"/>
                <w:lang w:val="ru-RU"/>
              </w:rPr>
              <w:t xml:space="preserve"> </w:t>
            </w:r>
            <w:r>
              <w:rPr>
                <w:color w:val="000000" w:themeColor="text1"/>
                <w:sz w:val="22"/>
                <w:lang w:val="ru-RU"/>
              </w:rPr>
              <w:t>фондов</w:t>
            </w:r>
          </w:p>
          <w:p w14:paraId="60F38AC5" w14:textId="2F471F54" w:rsidR="00524004" w:rsidRPr="00955D30" w:rsidRDefault="00524004" w:rsidP="00524004">
            <w:pPr>
              <w:pStyle w:val="BodyTextNoSpace"/>
              <w:rPr>
                <w:rFonts w:cs="Arial"/>
                <w:color w:val="000000" w:themeColor="text1"/>
                <w:sz w:val="22"/>
              </w:rPr>
            </w:pPr>
            <w:r w:rsidRPr="00955D30">
              <w:rPr>
                <w:color w:val="000000" w:themeColor="text1"/>
                <w:sz w:val="22"/>
              </w:rPr>
              <w:t>(</w:t>
            </w:r>
            <w:r w:rsidR="008A3830">
              <w:rPr>
                <w:color w:val="000000" w:themeColor="text1"/>
                <w:sz w:val="22"/>
                <w:lang w:val="ru-RU"/>
              </w:rPr>
              <w:t>если применимо</w:t>
            </w:r>
            <w:r w:rsidRPr="00955D30">
              <w:rPr>
                <w:color w:val="000000" w:themeColor="text1"/>
                <w:sz w:val="22"/>
              </w:rPr>
              <w:t>)</w:t>
            </w:r>
          </w:p>
        </w:tc>
        <w:tc>
          <w:tcPr>
            <w:tcW w:w="3712" w:type="dxa"/>
          </w:tcPr>
          <w:p w14:paraId="7A1FA358" w14:textId="4631640D" w:rsidR="00524004" w:rsidRPr="00E341B6" w:rsidRDefault="00E341B6" w:rsidP="00524004">
            <w:pPr>
              <w:pStyle w:val="BodyTextNoSpace"/>
              <w:rPr>
                <w:rFonts w:cs="Arial"/>
                <w:lang w:val="en-US"/>
              </w:rPr>
            </w:pPr>
            <w:r>
              <w:rPr>
                <w:rFonts w:cs="Arial"/>
                <w:lang w:val="ru-RU"/>
              </w:rPr>
              <w:t>500</w:t>
            </w:r>
            <w:r w:rsidR="001D7801">
              <w:rPr>
                <w:rFonts w:cs="Arial"/>
                <w:lang w:val="en-US"/>
              </w:rPr>
              <w:t>,</w:t>
            </w:r>
            <w:r>
              <w:rPr>
                <w:rFonts w:cs="Arial"/>
                <w:lang w:val="ru-RU"/>
              </w:rPr>
              <w:t>000</w:t>
            </w:r>
            <w:r>
              <w:rPr>
                <w:rFonts w:cs="Arial"/>
                <w:lang w:val="en-US"/>
              </w:rPr>
              <w:t xml:space="preserve"> $</w:t>
            </w:r>
          </w:p>
        </w:tc>
      </w:tr>
    </w:tbl>
    <w:p w14:paraId="1588F177" w14:textId="4C54931E" w:rsidR="006764CA" w:rsidRPr="00A36719" w:rsidRDefault="008A3BDC" w:rsidP="007446CE">
      <w:pPr>
        <w:pStyle w:val="a1"/>
        <w:spacing w:before="120"/>
        <w:jc w:val="both"/>
        <w:rPr>
          <w:color w:val="000000" w:themeColor="text1"/>
          <w:lang w:val="ru-RU"/>
        </w:rPr>
      </w:pPr>
      <w:r>
        <w:rPr>
          <w:color w:val="000000" w:themeColor="text1"/>
          <w:szCs w:val="24"/>
          <w:lang w:val="ru-RU"/>
        </w:rPr>
        <w:t xml:space="preserve">Подробно об </w:t>
      </w:r>
      <w:r w:rsidR="00680618">
        <w:rPr>
          <w:color w:val="000000" w:themeColor="text1"/>
          <w:szCs w:val="24"/>
          <w:lang w:val="ru-RU"/>
        </w:rPr>
        <w:t xml:space="preserve">элементах, относящихся к каждому вопросу, который нужно решить, чтобы мера считалась реализованной, см. в </w:t>
      </w:r>
      <w:hyperlink r:id="rId14" w:history="1">
        <w:r w:rsidR="00680618" w:rsidRPr="002F4A23">
          <w:rPr>
            <w:rStyle w:val="afe"/>
            <w:szCs w:val="24"/>
            <w:lang w:val="ru-RU"/>
          </w:rPr>
          <w:t xml:space="preserve">Инструкциях </w:t>
        </w:r>
        <w:r w:rsidR="002F4A23" w:rsidRPr="002F4A23">
          <w:rPr>
            <w:rStyle w:val="afe"/>
            <w:szCs w:val="24"/>
            <w:lang w:val="ru-RU"/>
          </w:rPr>
          <w:t>по заявкам для целевых портфелей</w:t>
        </w:r>
      </w:hyperlink>
      <w:r w:rsidR="002F4A23">
        <w:rPr>
          <w:color w:val="000000" w:themeColor="text1"/>
          <w:szCs w:val="24"/>
          <w:lang w:val="ru-RU"/>
        </w:rPr>
        <w:t xml:space="preserve">. </w:t>
      </w:r>
      <w:r w:rsidR="0084083A">
        <w:rPr>
          <w:color w:val="000000" w:themeColor="text1"/>
          <w:szCs w:val="24"/>
          <w:lang w:val="ru-RU"/>
        </w:rPr>
        <w:t>Инструкции</w:t>
      </w:r>
      <w:r w:rsidR="0084083A" w:rsidRPr="00A36719">
        <w:rPr>
          <w:color w:val="000000" w:themeColor="text1"/>
          <w:szCs w:val="24"/>
          <w:lang w:val="ru-RU"/>
        </w:rPr>
        <w:t xml:space="preserve"> </w:t>
      </w:r>
      <w:r w:rsidR="0084083A">
        <w:rPr>
          <w:color w:val="000000" w:themeColor="text1"/>
          <w:szCs w:val="24"/>
          <w:lang w:val="ru-RU"/>
        </w:rPr>
        <w:t>также</w:t>
      </w:r>
      <w:r w:rsidR="0084083A" w:rsidRPr="00A36719">
        <w:rPr>
          <w:color w:val="000000" w:themeColor="text1"/>
          <w:szCs w:val="24"/>
          <w:lang w:val="ru-RU"/>
        </w:rPr>
        <w:t xml:space="preserve"> </w:t>
      </w:r>
      <w:r w:rsidR="0084083A">
        <w:rPr>
          <w:color w:val="000000" w:themeColor="text1"/>
          <w:szCs w:val="24"/>
          <w:lang w:val="ru-RU"/>
        </w:rPr>
        <w:t>содержат</w:t>
      </w:r>
      <w:r w:rsidR="0084083A" w:rsidRPr="00A36719">
        <w:rPr>
          <w:color w:val="000000" w:themeColor="text1"/>
          <w:szCs w:val="24"/>
          <w:lang w:val="ru-RU"/>
        </w:rPr>
        <w:t xml:space="preserve"> </w:t>
      </w:r>
      <w:r w:rsidR="0084083A">
        <w:rPr>
          <w:color w:val="000000" w:themeColor="text1"/>
          <w:szCs w:val="24"/>
          <w:lang w:val="ru-RU"/>
        </w:rPr>
        <w:t>информацию</w:t>
      </w:r>
      <w:r w:rsidR="00A36719" w:rsidRPr="00A36719">
        <w:rPr>
          <w:color w:val="000000" w:themeColor="text1"/>
          <w:szCs w:val="24"/>
          <w:lang w:val="ru-RU"/>
        </w:rPr>
        <w:t xml:space="preserve">, </w:t>
      </w:r>
      <w:r w:rsidR="00A36719">
        <w:rPr>
          <w:color w:val="000000" w:themeColor="text1"/>
          <w:szCs w:val="24"/>
          <w:lang w:val="ru-RU"/>
        </w:rPr>
        <w:t>материалы</w:t>
      </w:r>
      <w:r w:rsidR="00A36719" w:rsidRPr="00A36719">
        <w:rPr>
          <w:color w:val="000000" w:themeColor="text1"/>
          <w:szCs w:val="24"/>
          <w:lang w:val="ru-RU"/>
        </w:rPr>
        <w:t xml:space="preserve"> </w:t>
      </w:r>
      <w:r w:rsidR="00A36719">
        <w:rPr>
          <w:color w:val="000000" w:themeColor="text1"/>
          <w:szCs w:val="24"/>
          <w:lang w:val="ru-RU"/>
        </w:rPr>
        <w:t>и</w:t>
      </w:r>
      <w:r w:rsidR="00A36719" w:rsidRPr="00A36719">
        <w:rPr>
          <w:color w:val="000000" w:themeColor="text1"/>
          <w:szCs w:val="24"/>
          <w:lang w:val="ru-RU"/>
        </w:rPr>
        <w:t xml:space="preserve"> </w:t>
      </w:r>
      <w:r w:rsidR="00A36719">
        <w:rPr>
          <w:color w:val="000000" w:themeColor="text1"/>
          <w:szCs w:val="24"/>
          <w:lang w:val="ru-RU"/>
        </w:rPr>
        <w:t>описание</w:t>
      </w:r>
      <w:r w:rsidR="00A36719" w:rsidRPr="00A36719">
        <w:rPr>
          <w:color w:val="000000" w:themeColor="text1"/>
          <w:szCs w:val="24"/>
          <w:lang w:val="ru-RU"/>
        </w:rPr>
        <w:t xml:space="preserve"> </w:t>
      </w:r>
      <w:r w:rsidR="00A36719">
        <w:rPr>
          <w:color w:val="000000" w:themeColor="text1"/>
          <w:szCs w:val="24"/>
          <w:lang w:val="ru-RU"/>
        </w:rPr>
        <w:t>необходимых</w:t>
      </w:r>
      <w:r w:rsidR="00A36719" w:rsidRPr="00A36719">
        <w:rPr>
          <w:color w:val="000000" w:themeColor="text1"/>
          <w:szCs w:val="24"/>
          <w:lang w:val="ru-RU"/>
        </w:rPr>
        <w:t xml:space="preserve"> </w:t>
      </w:r>
      <w:r w:rsidR="00A36719">
        <w:rPr>
          <w:color w:val="000000" w:themeColor="text1"/>
          <w:szCs w:val="24"/>
          <w:lang w:val="ru-RU"/>
        </w:rPr>
        <w:t>документов, которые следует подать вместе с данной формой</w:t>
      </w:r>
      <w:r w:rsidR="006764CA" w:rsidRPr="00A36719">
        <w:rPr>
          <w:color w:val="000000" w:themeColor="text1"/>
          <w:szCs w:val="24"/>
          <w:lang w:val="ru-RU"/>
        </w:rPr>
        <w:t>.</w:t>
      </w:r>
    </w:p>
    <w:p w14:paraId="62346D9E" w14:textId="77777777" w:rsidR="00411FE1" w:rsidRPr="00A36719" w:rsidRDefault="00411FE1" w:rsidP="00411FE1">
      <w:pPr>
        <w:spacing w:after="200"/>
        <w:jc w:val="both"/>
        <w:rPr>
          <w:color w:val="000000" w:themeColor="text1"/>
          <w:lang w:val="ru-RU"/>
        </w:rPr>
        <w:sectPr w:rsidR="00411FE1" w:rsidRPr="00A36719" w:rsidSect="00E06F3C">
          <w:headerReference w:type="default" r:id="rId15"/>
          <w:footerReference w:type="even" r:id="rId16"/>
          <w:footerReference w:type="default" r:id="rId17"/>
          <w:headerReference w:type="first" r:id="rId18"/>
          <w:footerReference w:type="first" r:id="rId19"/>
          <w:type w:val="continuous"/>
          <w:pgSz w:w="11906" w:h="16838" w:code="9"/>
          <w:pgMar w:top="850" w:right="1584" w:bottom="1872" w:left="850" w:header="288" w:footer="288" w:gutter="0"/>
          <w:cols w:space="708"/>
          <w:titlePg/>
          <w:docGrid w:linePitch="360"/>
        </w:sectPr>
      </w:pPr>
    </w:p>
    <w:p w14:paraId="18BBF2F8" w14:textId="6FFF7852" w:rsidR="00411FE1" w:rsidRPr="00A36719" w:rsidRDefault="00411FE1" w:rsidP="00233BE6">
      <w:pPr>
        <w:spacing w:after="200"/>
        <w:rPr>
          <w:color w:val="000000" w:themeColor="text1"/>
          <w:lang w:val="ru-RU"/>
        </w:rPr>
        <w:sectPr w:rsidR="00411FE1" w:rsidRPr="00A36719" w:rsidSect="00E06F3C">
          <w:headerReference w:type="default" r:id="rId20"/>
          <w:footerReference w:type="default" r:id="rId21"/>
          <w:headerReference w:type="first" r:id="rId22"/>
          <w:footerReference w:type="first" r:id="rId23"/>
          <w:type w:val="continuous"/>
          <w:pgSz w:w="11906" w:h="16838" w:code="9"/>
          <w:pgMar w:top="850" w:right="1584" w:bottom="1872" w:left="850" w:header="288" w:footer="288" w:gutter="0"/>
          <w:cols w:space="708"/>
          <w:titlePg/>
          <w:docGrid w:linePitch="360"/>
        </w:sectPr>
      </w:pPr>
    </w:p>
    <w:p w14:paraId="4D5CAC92" w14:textId="10E33D55" w:rsidR="002138FE" w:rsidRPr="00F30AE3" w:rsidRDefault="00F30AE3" w:rsidP="00DE65EB">
      <w:pPr>
        <w:pStyle w:val="1"/>
        <w:spacing w:before="600"/>
        <w:rPr>
          <w:lang w:val="ru-RU"/>
        </w:rPr>
      </w:pPr>
      <w:r>
        <w:rPr>
          <w:lang w:val="ru-RU"/>
        </w:rPr>
        <w:lastRenderedPageBreak/>
        <w:t>Раздел 1. Заявка на финансирование и обоснование</w:t>
      </w:r>
    </w:p>
    <w:p w14:paraId="4D2DB431" w14:textId="7FFD66D4" w:rsidR="005A7F14" w:rsidRDefault="005A7F14" w:rsidP="005A7F14">
      <w:pPr>
        <w:pStyle w:val="a1"/>
        <w:numPr>
          <w:ilvl w:val="1"/>
          <w:numId w:val="27"/>
        </w:numPr>
        <w:jc w:val="both"/>
        <w:rPr>
          <w:b/>
          <w:bCs/>
          <w:color w:val="000000" w:themeColor="text1"/>
          <w:lang w:val="ru-RU"/>
        </w:rPr>
      </w:pPr>
      <w:r>
        <w:rPr>
          <w:b/>
          <w:bCs/>
          <w:color w:val="000000" w:themeColor="text1"/>
          <w:lang w:val="ru-RU"/>
        </w:rPr>
        <w:t>Заявка по приоритетам</w:t>
      </w:r>
      <w:r>
        <w:rPr>
          <w:color w:val="000000" w:themeColor="text1"/>
        </w:rPr>
        <w:t>:</w:t>
      </w:r>
    </w:p>
    <w:p w14:paraId="76B5DBA7" w14:textId="1A97F0F0" w:rsidR="00C4455F" w:rsidRPr="005A7F14" w:rsidRDefault="005A7F14" w:rsidP="005A7F14">
      <w:pPr>
        <w:pStyle w:val="a1"/>
        <w:spacing w:after="0"/>
        <w:jc w:val="both"/>
        <w:rPr>
          <w:color w:val="000000" w:themeColor="text1"/>
          <w:lang w:val="ru-RU"/>
        </w:rPr>
      </w:pPr>
      <w:r w:rsidRPr="005A7F14">
        <w:rPr>
          <w:b/>
          <w:bCs/>
          <w:color w:val="000000" w:themeColor="text1"/>
          <w:lang w:val="ru-RU"/>
        </w:rPr>
        <w:t xml:space="preserve">A: Если применимо, для каждого модуля предоставьте информацию о финансировании, запрашиваемом у </w:t>
      </w:r>
      <w:r>
        <w:rPr>
          <w:b/>
          <w:bCs/>
          <w:color w:val="000000" w:themeColor="text1"/>
          <w:lang w:val="ru-RU"/>
        </w:rPr>
        <w:t>ГФ</w:t>
      </w:r>
    </w:p>
    <w:tbl>
      <w:tblPr>
        <w:tblStyle w:val="110"/>
        <w:tblpPr w:leftFromText="181" w:rightFromText="181" w:vertAnchor="page" w:horzAnchor="margin" w:tblpY="3573"/>
        <w:tblW w:w="15163" w:type="dxa"/>
        <w:tblLook w:val="04A0" w:firstRow="1" w:lastRow="0" w:firstColumn="1" w:lastColumn="0" w:noHBand="0" w:noVBand="1"/>
      </w:tblPr>
      <w:tblGrid>
        <w:gridCol w:w="2138"/>
        <w:gridCol w:w="13025"/>
      </w:tblGrid>
      <w:tr w:rsidR="00175304" w:rsidRPr="00A26916" w14:paraId="3DC47A0F" w14:textId="77777777" w:rsidTr="00EA6D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64E1D0EB" w14:textId="4A212E61" w:rsidR="00175304" w:rsidRDefault="00162220" w:rsidP="00175304">
            <w:pPr>
              <w:pStyle w:val="a1"/>
            </w:pPr>
            <w:r>
              <w:rPr>
                <w:lang w:val="ru-RU"/>
              </w:rPr>
              <w:t>Модуль №</w:t>
            </w:r>
            <w:r w:rsidR="008D1A1F">
              <w:t xml:space="preserve"> 1</w:t>
            </w:r>
          </w:p>
        </w:tc>
        <w:tc>
          <w:tcPr>
            <w:tcW w:w="13025" w:type="dxa"/>
          </w:tcPr>
          <w:p w14:paraId="4618BAD6" w14:textId="164C9A61" w:rsidR="00175304" w:rsidRPr="008D1A1F" w:rsidRDefault="008D1A1F" w:rsidP="00175304">
            <w:pPr>
              <w:pStyle w:val="a1"/>
              <w:cnfStyle w:val="100000000000" w:firstRow="1" w:lastRow="0" w:firstColumn="0" w:lastColumn="0" w:oddVBand="0" w:evenVBand="0" w:oddHBand="0" w:evenHBand="0" w:firstRowFirstColumn="0" w:firstRowLastColumn="0" w:lastRowFirstColumn="0" w:lastRowLastColumn="0"/>
              <w:rPr>
                <w:lang w:val="ru-RU"/>
              </w:rPr>
            </w:pPr>
            <w:r w:rsidRPr="00BA2441">
              <w:rPr>
                <w:szCs w:val="24"/>
              </w:rPr>
              <w:t>RSSH</w:t>
            </w:r>
            <w:r w:rsidRPr="008D1A1F">
              <w:rPr>
                <w:szCs w:val="24"/>
                <w:lang w:val="ru-RU"/>
              </w:rPr>
              <w:t>: Планирование и управление сектором здравоохранения для интегрированных услуг, ориентированных на людей</w:t>
            </w:r>
          </w:p>
        </w:tc>
      </w:tr>
      <w:tr w:rsidR="00175304" w:rsidRPr="00A26916" w14:paraId="6FEC5DFA" w14:textId="77777777" w:rsidTr="00EA6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358B74E1" w14:textId="0819F7C6" w:rsidR="00175304" w:rsidRDefault="00491E6E" w:rsidP="00175304">
            <w:pPr>
              <w:pStyle w:val="a1"/>
            </w:pPr>
            <w:r>
              <w:rPr>
                <w:lang w:val="ru-RU"/>
              </w:rPr>
              <w:t>Вмешательства</w:t>
            </w:r>
          </w:p>
        </w:tc>
        <w:tc>
          <w:tcPr>
            <w:tcW w:w="13025" w:type="dxa"/>
          </w:tcPr>
          <w:p w14:paraId="24D8E5E4" w14:textId="3CE6978A" w:rsidR="00491E6E" w:rsidRDefault="00491E6E" w:rsidP="00491E6E">
            <w:pPr>
              <w:pStyle w:val="a1"/>
              <w:ind w:left="14"/>
              <w:jc w:val="both"/>
              <w:cnfStyle w:val="000000100000" w:firstRow="0" w:lastRow="0" w:firstColumn="0" w:lastColumn="0" w:oddVBand="0" w:evenVBand="0" w:oddHBand="1" w:evenHBand="0" w:firstRowFirstColumn="0" w:firstRowLastColumn="0" w:lastRowFirstColumn="0" w:lastRowLastColumn="0"/>
              <w:rPr>
                <w:b/>
                <w:bCs/>
                <w:sz w:val="22"/>
                <w:szCs w:val="20"/>
                <w:lang w:val="ru-RU"/>
              </w:rPr>
            </w:pPr>
            <w:r w:rsidRPr="00491E6E">
              <w:rPr>
                <w:b/>
                <w:bCs/>
                <w:sz w:val="22"/>
                <w:szCs w:val="20"/>
                <w:lang w:val="ru-RU"/>
              </w:rPr>
              <w:t>Интеграция/координация между программами по заболеваниям и на уровне предоставления услуг</w:t>
            </w:r>
          </w:p>
          <w:p w14:paraId="75505183" w14:textId="2355AC22" w:rsidR="00595E29" w:rsidRDefault="00B85EEC" w:rsidP="00491E6E">
            <w:pPr>
              <w:pStyle w:val="a1"/>
              <w:ind w:left="14"/>
              <w:jc w:val="both"/>
              <w:cnfStyle w:val="000000100000" w:firstRow="0" w:lastRow="0" w:firstColumn="0" w:lastColumn="0" w:oddVBand="0" w:evenVBand="0" w:oddHBand="1" w:evenHBand="0" w:firstRowFirstColumn="0" w:firstRowLastColumn="0" w:lastRowFirstColumn="0" w:lastRowLastColumn="0"/>
              <w:rPr>
                <w:bCs/>
                <w:sz w:val="22"/>
                <w:szCs w:val="20"/>
                <w:lang w:val="ru-RU"/>
              </w:rPr>
            </w:pPr>
            <w:r>
              <w:rPr>
                <w:bCs/>
                <w:sz w:val="22"/>
                <w:szCs w:val="20"/>
                <w:lang w:val="ru-RU"/>
              </w:rPr>
              <w:t>В 2021-2022 гг. в КР произошли существенные изменения законодательства страны, принята новая Конституция, пересмотрен ряд базовых кодексов и законов, в том числе в Кабинете Министров для передачи в парламент находятся 3 ключевых закона в сфере здравоохранения – «Об общественном здравоохранении»</w:t>
            </w:r>
            <w:r w:rsidR="00E175EC">
              <w:rPr>
                <w:rStyle w:val="aff1"/>
                <w:bCs/>
                <w:sz w:val="22"/>
                <w:szCs w:val="20"/>
                <w:lang w:val="ru-RU"/>
              </w:rPr>
              <w:footnoteReference w:id="2"/>
            </w:r>
            <w:r>
              <w:rPr>
                <w:bCs/>
                <w:sz w:val="22"/>
                <w:szCs w:val="20"/>
                <w:lang w:val="ru-RU"/>
              </w:rPr>
              <w:t>, «Об охране здоровья граждан»</w:t>
            </w:r>
            <w:r w:rsidR="00E175EC">
              <w:rPr>
                <w:rStyle w:val="aff1"/>
                <w:bCs/>
                <w:sz w:val="22"/>
                <w:szCs w:val="20"/>
                <w:lang w:val="ru-RU"/>
              </w:rPr>
              <w:footnoteReference w:id="3"/>
            </w:r>
            <w:r>
              <w:rPr>
                <w:bCs/>
                <w:sz w:val="22"/>
                <w:szCs w:val="20"/>
                <w:lang w:val="ru-RU"/>
              </w:rPr>
              <w:t xml:space="preserve"> и «Об обращении лекарственных средств», которые включили в себя 15 действующих законов, включая законы «О ВИЧ/СПИДе в КР» и «О защите населения от туберкулеза». </w:t>
            </w:r>
            <w:r w:rsidR="00283814">
              <w:rPr>
                <w:bCs/>
                <w:sz w:val="22"/>
                <w:szCs w:val="20"/>
                <w:lang w:val="ru-RU"/>
              </w:rPr>
              <w:t>В рамках гранта будут осуществлены</w:t>
            </w:r>
            <w:r>
              <w:rPr>
                <w:bCs/>
                <w:sz w:val="22"/>
                <w:szCs w:val="20"/>
                <w:lang w:val="ru-RU"/>
              </w:rPr>
              <w:t xml:space="preserve"> </w:t>
            </w:r>
            <w:r w:rsidR="00283814">
              <w:rPr>
                <w:bCs/>
                <w:sz w:val="22"/>
                <w:szCs w:val="20"/>
                <w:lang w:val="ru-RU"/>
              </w:rPr>
              <w:t xml:space="preserve">(а) </w:t>
            </w:r>
            <w:r w:rsidRPr="000D60B0">
              <w:rPr>
                <w:b/>
                <w:bCs/>
                <w:sz w:val="22"/>
                <w:szCs w:val="20"/>
                <w:lang w:val="ru-RU"/>
              </w:rPr>
              <w:t>пересмотр всех подзаконных нормативных актов</w:t>
            </w:r>
            <w:r w:rsidR="00283814">
              <w:rPr>
                <w:b/>
                <w:bCs/>
                <w:sz w:val="22"/>
                <w:szCs w:val="20"/>
                <w:lang w:val="ru-RU"/>
              </w:rPr>
              <w:t xml:space="preserve"> для обеспечения </w:t>
            </w:r>
            <w:r w:rsidRPr="000D60B0">
              <w:rPr>
                <w:b/>
                <w:bCs/>
                <w:sz w:val="22"/>
                <w:szCs w:val="20"/>
                <w:lang w:val="ru-RU"/>
              </w:rPr>
              <w:t>расширен</w:t>
            </w:r>
            <w:r w:rsidR="00283814">
              <w:rPr>
                <w:b/>
                <w:bCs/>
                <w:sz w:val="22"/>
                <w:szCs w:val="20"/>
                <w:lang w:val="ru-RU"/>
              </w:rPr>
              <w:t>ия</w:t>
            </w:r>
            <w:r w:rsidRPr="000D60B0">
              <w:rPr>
                <w:b/>
                <w:bCs/>
                <w:sz w:val="22"/>
                <w:szCs w:val="20"/>
                <w:lang w:val="ru-RU"/>
              </w:rPr>
              <w:t xml:space="preserve"> гаранти</w:t>
            </w:r>
            <w:r w:rsidR="00283814">
              <w:rPr>
                <w:b/>
                <w:bCs/>
                <w:sz w:val="22"/>
                <w:szCs w:val="20"/>
                <w:lang w:val="ru-RU"/>
              </w:rPr>
              <w:t>й</w:t>
            </w:r>
            <w:r w:rsidRPr="000D60B0">
              <w:rPr>
                <w:b/>
                <w:bCs/>
                <w:sz w:val="22"/>
                <w:szCs w:val="20"/>
                <w:lang w:val="ru-RU"/>
              </w:rPr>
              <w:t xml:space="preserve"> услуг в связи с ВИЧ</w:t>
            </w:r>
            <w:r w:rsidR="00283814">
              <w:rPr>
                <w:b/>
                <w:bCs/>
                <w:sz w:val="22"/>
                <w:szCs w:val="20"/>
                <w:lang w:val="ru-RU"/>
              </w:rPr>
              <w:t xml:space="preserve"> и</w:t>
            </w:r>
            <w:r w:rsidRPr="000D60B0">
              <w:rPr>
                <w:b/>
                <w:bCs/>
                <w:sz w:val="22"/>
                <w:szCs w:val="20"/>
                <w:lang w:val="ru-RU"/>
              </w:rPr>
              <w:t xml:space="preserve"> ТБ</w:t>
            </w:r>
            <w:r w:rsidR="00283814">
              <w:rPr>
                <w:bCs/>
                <w:sz w:val="22"/>
                <w:szCs w:val="20"/>
                <w:lang w:val="ru-RU"/>
              </w:rPr>
              <w:t>,</w:t>
            </w:r>
            <w:r>
              <w:rPr>
                <w:bCs/>
                <w:sz w:val="22"/>
                <w:szCs w:val="20"/>
                <w:lang w:val="ru-RU"/>
              </w:rPr>
              <w:t xml:space="preserve"> </w:t>
            </w:r>
            <w:r w:rsidR="00283814">
              <w:rPr>
                <w:bCs/>
                <w:sz w:val="22"/>
                <w:szCs w:val="20"/>
                <w:lang w:val="ru-RU"/>
              </w:rPr>
              <w:t xml:space="preserve">(б) </w:t>
            </w:r>
            <w:r w:rsidRPr="000D60B0">
              <w:rPr>
                <w:b/>
                <w:bCs/>
                <w:sz w:val="22"/>
                <w:szCs w:val="20"/>
                <w:lang w:val="ru-RU"/>
              </w:rPr>
              <w:t>пересмотр программы государственных гарантий, перечня жизненно-важных лекарственных средств, внедрения закупок лекарственных средств через международные платформы, институализации программ снижения вреда и др</w:t>
            </w:r>
            <w:r>
              <w:rPr>
                <w:bCs/>
                <w:sz w:val="22"/>
                <w:szCs w:val="20"/>
                <w:lang w:val="ru-RU"/>
              </w:rPr>
              <w:t>.</w:t>
            </w:r>
          </w:p>
          <w:p w14:paraId="6E3A3B94" w14:textId="2A23D7AE" w:rsidR="00A468DC" w:rsidRDefault="00A468DC" w:rsidP="00491E6E">
            <w:pPr>
              <w:pStyle w:val="a1"/>
              <w:ind w:left="14"/>
              <w:jc w:val="both"/>
              <w:cnfStyle w:val="000000100000" w:firstRow="0" w:lastRow="0" w:firstColumn="0" w:lastColumn="0" w:oddVBand="0" w:evenVBand="0" w:oddHBand="1" w:evenHBand="0" w:firstRowFirstColumn="0" w:firstRowLastColumn="0" w:lastRowFirstColumn="0" w:lastRowLastColumn="0"/>
              <w:rPr>
                <w:bCs/>
                <w:sz w:val="22"/>
                <w:szCs w:val="20"/>
                <w:lang w:val="ru-RU"/>
              </w:rPr>
            </w:pPr>
            <w:r>
              <w:rPr>
                <w:bCs/>
                <w:sz w:val="22"/>
                <w:szCs w:val="20"/>
                <w:lang w:val="ru-RU"/>
              </w:rPr>
              <w:t>Следуя обязательствам по расширению государственного финансирования программ ВИЧ и ТБ с 2021 года в стране более 80% АРВ-препаратов закупается из государственных средств</w:t>
            </w:r>
            <w:r w:rsidR="00E175EC">
              <w:rPr>
                <w:rStyle w:val="aff1"/>
                <w:bCs/>
                <w:sz w:val="22"/>
                <w:szCs w:val="20"/>
                <w:lang w:val="ru-RU"/>
              </w:rPr>
              <w:footnoteReference w:id="4"/>
            </w:r>
            <w:r>
              <w:rPr>
                <w:bCs/>
                <w:sz w:val="22"/>
                <w:szCs w:val="20"/>
                <w:lang w:val="ru-RU"/>
              </w:rPr>
              <w:t xml:space="preserve">, увеличивается объем </w:t>
            </w:r>
            <w:r w:rsidR="007D1DE7">
              <w:rPr>
                <w:bCs/>
                <w:sz w:val="22"/>
                <w:szCs w:val="20"/>
                <w:lang w:val="ru-RU"/>
              </w:rPr>
              <w:t xml:space="preserve">выделяемых </w:t>
            </w:r>
            <w:r>
              <w:rPr>
                <w:bCs/>
                <w:sz w:val="22"/>
                <w:szCs w:val="20"/>
                <w:lang w:val="ru-RU"/>
              </w:rPr>
              <w:t>средств на диагностику и мониторинг лечения ВИЧ, в 2023 году начато финансирование программ заместительной терапии</w:t>
            </w:r>
            <w:r w:rsidR="00E175EC">
              <w:rPr>
                <w:rStyle w:val="aff1"/>
                <w:bCs/>
                <w:sz w:val="22"/>
                <w:szCs w:val="20"/>
                <w:lang w:val="ru-RU"/>
              </w:rPr>
              <w:footnoteReference w:id="5"/>
            </w:r>
            <w:r>
              <w:rPr>
                <w:bCs/>
                <w:sz w:val="22"/>
                <w:szCs w:val="20"/>
                <w:lang w:val="ru-RU"/>
              </w:rPr>
              <w:t>, закупаются противотуберкулезные препараты 2-й линии</w:t>
            </w:r>
            <w:r w:rsidR="00E175EC">
              <w:rPr>
                <w:rStyle w:val="aff1"/>
                <w:bCs/>
                <w:sz w:val="22"/>
                <w:szCs w:val="20"/>
                <w:lang w:val="ru-RU"/>
              </w:rPr>
              <w:footnoteReference w:id="6"/>
            </w:r>
            <w:r>
              <w:rPr>
                <w:bCs/>
                <w:sz w:val="22"/>
                <w:szCs w:val="20"/>
                <w:lang w:val="ru-RU"/>
              </w:rPr>
              <w:t xml:space="preserve">, в сфере ВИЧ и ТБ внедряется государственный социальный заказ. </w:t>
            </w:r>
            <w:r w:rsidR="00A96B2E">
              <w:rPr>
                <w:bCs/>
                <w:sz w:val="22"/>
                <w:szCs w:val="20"/>
                <w:lang w:val="ru-RU"/>
              </w:rPr>
              <w:t>Для поддержания и интенсификации работы по этим направлениям в рамках гранта будут проведены (а)</w:t>
            </w:r>
            <w:r>
              <w:rPr>
                <w:bCs/>
                <w:sz w:val="22"/>
                <w:szCs w:val="20"/>
                <w:lang w:val="ru-RU"/>
              </w:rPr>
              <w:t xml:space="preserve"> </w:t>
            </w:r>
            <w:r w:rsidRPr="00897AE2">
              <w:rPr>
                <w:b/>
                <w:bCs/>
                <w:sz w:val="22"/>
                <w:szCs w:val="20"/>
                <w:lang w:val="ru-RU"/>
              </w:rPr>
              <w:t>пересм</w:t>
            </w:r>
            <w:r w:rsidR="00A96B2E">
              <w:rPr>
                <w:b/>
                <w:bCs/>
                <w:sz w:val="22"/>
                <w:szCs w:val="20"/>
                <w:lang w:val="ru-RU"/>
              </w:rPr>
              <w:t>отр</w:t>
            </w:r>
            <w:r w:rsidRPr="00897AE2">
              <w:rPr>
                <w:b/>
                <w:bCs/>
                <w:sz w:val="22"/>
                <w:szCs w:val="20"/>
                <w:lang w:val="ru-RU"/>
              </w:rPr>
              <w:t xml:space="preserve"> национальны</w:t>
            </w:r>
            <w:r w:rsidR="00A96B2E">
              <w:rPr>
                <w:b/>
                <w:bCs/>
                <w:sz w:val="22"/>
                <w:szCs w:val="20"/>
                <w:lang w:val="ru-RU"/>
              </w:rPr>
              <w:t>х</w:t>
            </w:r>
            <w:r w:rsidRPr="00897AE2">
              <w:rPr>
                <w:b/>
                <w:bCs/>
                <w:sz w:val="22"/>
                <w:szCs w:val="20"/>
                <w:lang w:val="ru-RU"/>
              </w:rPr>
              <w:t xml:space="preserve"> план</w:t>
            </w:r>
            <w:r w:rsidR="00A96B2E">
              <w:rPr>
                <w:b/>
                <w:bCs/>
                <w:sz w:val="22"/>
                <w:szCs w:val="20"/>
                <w:lang w:val="ru-RU"/>
              </w:rPr>
              <w:t>ов</w:t>
            </w:r>
            <w:r w:rsidRPr="00897AE2">
              <w:rPr>
                <w:b/>
                <w:bCs/>
                <w:sz w:val="22"/>
                <w:szCs w:val="20"/>
                <w:lang w:val="ru-RU"/>
              </w:rPr>
              <w:t xml:space="preserve"> перехода на государственное финансирование,</w:t>
            </w:r>
            <w:r w:rsidR="00A96B2E">
              <w:rPr>
                <w:b/>
                <w:bCs/>
                <w:sz w:val="22"/>
                <w:szCs w:val="20"/>
                <w:lang w:val="ru-RU"/>
              </w:rPr>
              <w:t xml:space="preserve"> (б) адвокация</w:t>
            </w:r>
            <w:r w:rsidRPr="00897AE2">
              <w:rPr>
                <w:b/>
                <w:bCs/>
                <w:sz w:val="22"/>
                <w:szCs w:val="20"/>
                <w:lang w:val="ru-RU"/>
              </w:rPr>
              <w:t xml:space="preserve"> регистрации лекарственных </w:t>
            </w:r>
            <w:r w:rsidRPr="00897AE2">
              <w:rPr>
                <w:b/>
                <w:bCs/>
                <w:sz w:val="22"/>
                <w:szCs w:val="20"/>
                <w:lang w:val="ru-RU"/>
              </w:rPr>
              <w:lastRenderedPageBreak/>
              <w:t>средств и диагностических тестов</w:t>
            </w:r>
            <w:r w:rsidR="007D1DE7" w:rsidRPr="00897AE2">
              <w:rPr>
                <w:b/>
                <w:bCs/>
                <w:sz w:val="22"/>
                <w:szCs w:val="20"/>
                <w:lang w:val="ru-RU"/>
              </w:rPr>
              <w:t xml:space="preserve"> для лечения ВИЧ, ТБ, терапии агонистами опиоидов, наркологических расстройств</w:t>
            </w:r>
            <w:r w:rsidRPr="00897AE2">
              <w:rPr>
                <w:b/>
                <w:bCs/>
                <w:sz w:val="22"/>
                <w:szCs w:val="20"/>
                <w:lang w:val="ru-RU"/>
              </w:rPr>
              <w:t xml:space="preserve"> для создания возможностей государственных закупок, </w:t>
            </w:r>
            <w:r w:rsidR="00A96B2E">
              <w:rPr>
                <w:b/>
                <w:bCs/>
                <w:sz w:val="22"/>
                <w:szCs w:val="20"/>
                <w:lang w:val="ru-RU"/>
              </w:rPr>
              <w:t xml:space="preserve">(в) </w:t>
            </w:r>
            <w:r w:rsidR="00A96B2E" w:rsidRPr="007E6536">
              <w:rPr>
                <w:sz w:val="22"/>
                <w:szCs w:val="20"/>
                <w:lang w:val="ru-RU"/>
              </w:rPr>
              <w:t xml:space="preserve">для </w:t>
            </w:r>
            <w:r w:rsidRPr="007E6536">
              <w:rPr>
                <w:sz w:val="22"/>
                <w:szCs w:val="20"/>
                <w:lang w:val="ru-RU"/>
              </w:rPr>
              <w:t>расшир</w:t>
            </w:r>
            <w:r w:rsidR="00A96B2E" w:rsidRPr="007E6536">
              <w:rPr>
                <w:sz w:val="22"/>
                <w:szCs w:val="20"/>
                <w:lang w:val="ru-RU"/>
              </w:rPr>
              <w:t>ения</w:t>
            </w:r>
            <w:r w:rsidRPr="007E6536">
              <w:rPr>
                <w:sz w:val="22"/>
                <w:szCs w:val="20"/>
                <w:lang w:val="ru-RU"/>
              </w:rPr>
              <w:t xml:space="preserve"> </w:t>
            </w:r>
            <w:r w:rsidR="007D1DE7" w:rsidRPr="007E6536">
              <w:rPr>
                <w:sz w:val="22"/>
                <w:szCs w:val="20"/>
                <w:lang w:val="ru-RU"/>
              </w:rPr>
              <w:t>реализаци</w:t>
            </w:r>
            <w:r w:rsidR="00A96B2E" w:rsidRPr="007E6536">
              <w:rPr>
                <w:sz w:val="22"/>
                <w:szCs w:val="20"/>
                <w:lang w:val="ru-RU"/>
              </w:rPr>
              <w:t>и</w:t>
            </w:r>
            <w:r w:rsidRPr="007E6536">
              <w:rPr>
                <w:sz w:val="22"/>
                <w:szCs w:val="20"/>
                <w:lang w:val="ru-RU"/>
              </w:rPr>
              <w:t xml:space="preserve"> программ госу</w:t>
            </w:r>
            <w:r w:rsidR="007D1DE7" w:rsidRPr="007E6536">
              <w:rPr>
                <w:sz w:val="22"/>
                <w:szCs w:val="20"/>
                <w:lang w:val="ru-RU"/>
              </w:rPr>
              <w:t>дарственного социального заказа</w:t>
            </w:r>
            <w:r w:rsidR="007D1DE7" w:rsidRPr="00A96B2E">
              <w:rPr>
                <w:sz w:val="22"/>
                <w:szCs w:val="20"/>
                <w:lang w:val="ru-RU"/>
              </w:rPr>
              <w:t>,</w:t>
            </w:r>
            <w:r w:rsidR="007D1DE7">
              <w:rPr>
                <w:bCs/>
                <w:sz w:val="22"/>
                <w:szCs w:val="20"/>
                <w:lang w:val="ru-RU"/>
              </w:rPr>
              <w:t xml:space="preserve"> в том числе в сфере ТБ, институтах пробации и на уровне ПМСП</w:t>
            </w:r>
            <w:r w:rsidR="00A96B2E">
              <w:rPr>
                <w:bCs/>
                <w:sz w:val="22"/>
                <w:szCs w:val="20"/>
                <w:lang w:val="ru-RU"/>
              </w:rPr>
              <w:t>,</w:t>
            </w:r>
            <w:r w:rsidR="007D1DE7">
              <w:rPr>
                <w:bCs/>
                <w:sz w:val="22"/>
                <w:szCs w:val="20"/>
                <w:lang w:val="ru-RU"/>
              </w:rPr>
              <w:t xml:space="preserve"> </w:t>
            </w:r>
            <w:r w:rsidR="007D1DE7" w:rsidRPr="00897AE2">
              <w:rPr>
                <w:b/>
                <w:bCs/>
                <w:sz w:val="22"/>
                <w:szCs w:val="20"/>
                <w:lang w:val="ru-RU"/>
              </w:rPr>
              <w:t>регулярный пересмотр программ государственного социального заказа, разработка и утверждение нормативов оплаты труда, обеспечения непрерывности финансирования, повышение потенциала заказчиков услуг и НПО по механизмам ГСЗ</w:t>
            </w:r>
            <w:r w:rsidR="007D1DE7">
              <w:rPr>
                <w:bCs/>
                <w:sz w:val="22"/>
                <w:szCs w:val="20"/>
                <w:lang w:val="ru-RU"/>
              </w:rPr>
              <w:t>.</w:t>
            </w:r>
            <w:r w:rsidR="006B1DD0">
              <w:rPr>
                <w:bCs/>
                <w:sz w:val="22"/>
                <w:szCs w:val="20"/>
                <w:lang w:val="ru-RU"/>
              </w:rPr>
              <w:t xml:space="preserve"> На регулярной основе </w:t>
            </w:r>
            <w:r w:rsidR="00A96B2E">
              <w:rPr>
                <w:bCs/>
                <w:sz w:val="22"/>
                <w:szCs w:val="20"/>
                <w:lang w:val="ru-RU"/>
              </w:rPr>
              <w:t xml:space="preserve">будет </w:t>
            </w:r>
            <w:r w:rsidR="006B1DD0">
              <w:rPr>
                <w:bCs/>
                <w:sz w:val="22"/>
                <w:szCs w:val="20"/>
                <w:lang w:val="ru-RU"/>
              </w:rPr>
              <w:t>проводить</w:t>
            </w:r>
            <w:r w:rsidR="00A96B2E">
              <w:rPr>
                <w:bCs/>
                <w:sz w:val="22"/>
                <w:szCs w:val="20"/>
                <w:lang w:val="ru-RU"/>
              </w:rPr>
              <w:t>ся</w:t>
            </w:r>
            <w:r w:rsidR="006B1DD0">
              <w:rPr>
                <w:bCs/>
                <w:sz w:val="22"/>
                <w:szCs w:val="20"/>
                <w:lang w:val="ru-RU"/>
              </w:rPr>
              <w:t xml:space="preserve"> оценк</w:t>
            </w:r>
            <w:r w:rsidR="00A96B2E">
              <w:rPr>
                <w:bCs/>
                <w:sz w:val="22"/>
                <w:szCs w:val="20"/>
                <w:lang w:val="ru-RU"/>
              </w:rPr>
              <w:t>а</w:t>
            </w:r>
            <w:r w:rsidR="006B1DD0">
              <w:rPr>
                <w:bCs/>
                <w:sz w:val="22"/>
                <w:szCs w:val="20"/>
                <w:lang w:val="ru-RU"/>
              </w:rPr>
              <w:t xml:space="preserve"> прогресса </w:t>
            </w:r>
            <w:r w:rsidR="006B1DD0" w:rsidRPr="006B1DD0">
              <w:rPr>
                <w:bCs/>
                <w:sz w:val="22"/>
                <w:szCs w:val="20"/>
                <w:lang w:val="ru-RU"/>
              </w:rPr>
              <w:t>в реализации плана перехода на государственное финансирование программ в связи с ВИЧ и ТБ</w:t>
            </w:r>
            <w:r w:rsidR="006B1DD0">
              <w:rPr>
                <w:bCs/>
                <w:sz w:val="22"/>
                <w:szCs w:val="20"/>
                <w:lang w:val="ru-RU"/>
              </w:rPr>
              <w:t>.</w:t>
            </w:r>
          </w:p>
          <w:p w14:paraId="41F3FFDB" w14:textId="098B37DD" w:rsidR="0085376B" w:rsidRPr="00B76E2E" w:rsidRDefault="006B1DD0" w:rsidP="006B1DD0">
            <w:pPr>
              <w:pStyle w:val="a1"/>
              <w:ind w:left="14"/>
              <w:jc w:val="both"/>
              <w:cnfStyle w:val="000000100000" w:firstRow="0" w:lastRow="0" w:firstColumn="0" w:lastColumn="0" w:oddVBand="0" w:evenVBand="0" w:oddHBand="1" w:evenHBand="0" w:firstRowFirstColumn="0" w:firstRowLastColumn="0" w:lastRowFirstColumn="0" w:lastRowLastColumn="0"/>
              <w:rPr>
                <w:b/>
                <w:sz w:val="22"/>
                <w:szCs w:val="20"/>
                <w:lang w:val="ru-RU"/>
              </w:rPr>
            </w:pPr>
            <w:r>
              <w:rPr>
                <w:bCs/>
                <w:sz w:val="22"/>
                <w:szCs w:val="20"/>
                <w:lang w:val="ru-RU"/>
              </w:rPr>
              <w:t xml:space="preserve">Реализуется Программа Правительства по </w:t>
            </w:r>
            <w:r w:rsidR="0085376B">
              <w:rPr>
                <w:sz w:val="22"/>
                <w:szCs w:val="20"/>
                <w:lang w:val="ru-RU"/>
              </w:rPr>
              <w:t>оптимизации противотуберкулезной службы</w:t>
            </w:r>
            <w:r w:rsidR="00E175EC">
              <w:rPr>
                <w:rStyle w:val="aff1"/>
                <w:sz w:val="22"/>
                <w:szCs w:val="20"/>
                <w:lang w:val="ru-RU"/>
              </w:rPr>
              <w:footnoteReference w:id="7"/>
            </w:r>
            <w:r>
              <w:rPr>
                <w:sz w:val="22"/>
                <w:szCs w:val="20"/>
                <w:lang w:val="ru-RU"/>
              </w:rPr>
              <w:t xml:space="preserve">. </w:t>
            </w:r>
            <w:r w:rsidR="00A96B2E">
              <w:rPr>
                <w:sz w:val="22"/>
                <w:szCs w:val="20"/>
                <w:lang w:val="ru-RU"/>
              </w:rPr>
              <w:t>Для интенсификации</w:t>
            </w:r>
            <w:r>
              <w:rPr>
                <w:sz w:val="22"/>
                <w:szCs w:val="20"/>
                <w:lang w:val="ru-RU"/>
              </w:rPr>
              <w:t xml:space="preserve"> усили</w:t>
            </w:r>
            <w:r w:rsidR="00A96B2E">
              <w:rPr>
                <w:sz w:val="22"/>
                <w:szCs w:val="20"/>
                <w:lang w:val="ru-RU"/>
              </w:rPr>
              <w:t>й</w:t>
            </w:r>
            <w:r>
              <w:rPr>
                <w:sz w:val="22"/>
                <w:szCs w:val="20"/>
                <w:lang w:val="ru-RU"/>
              </w:rPr>
              <w:t xml:space="preserve"> по данному направлению, </w:t>
            </w:r>
            <w:r w:rsidR="00A96B2E">
              <w:rPr>
                <w:sz w:val="22"/>
                <w:szCs w:val="20"/>
                <w:lang w:val="ru-RU"/>
              </w:rPr>
              <w:t xml:space="preserve">минимизации </w:t>
            </w:r>
            <w:r>
              <w:rPr>
                <w:sz w:val="22"/>
                <w:szCs w:val="20"/>
                <w:lang w:val="ru-RU"/>
              </w:rPr>
              <w:t>риск</w:t>
            </w:r>
            <w:r w:rsidR="00A96B2E">
              <w:rPr>
                <w:sz w:val="22"/>
                <w:szCs w:val="20"/>
                <w:lang w:val="ru-RU"/>
              </w:rPr>
              <w:t>ов</w:t>
            </w:r>
            <w:r>
              <w:rPr>
                <w:sz w:val="22"/>
                <w:szCs w:val="20"/>
                <w:lang w:val="ru-RU"/>
              </w:rPr>
              <w:t xml:space="preserve"> потери кадрового и лабораторного потенциала при ликвидации учреждений, </w:t>
            </w:r>
            <w:r w:rsidR="00A96B2E">
              <w:rPr>
                <w:sz w:val="22"/>
                <w:szCs w:val="20"/>
                <w:lang w:val="ru-RU"/>
              </w:rPr>
              <w:t xml:space="preserve">усиления </w:t>
            </w:r>
            <w:r>
              <w:rPr>
                <w:sz w:val="22"/>
                <w:szCs w:val="20"/>
                <w:lang w:val="ru-RU"/>
              </w:rPr>
              <w:t>координаци</w:t>
            </w:r>
            <w:r w:rsidR="00A96B2E">
              <w:rPr>
                <w:sz w:val="22"/>
                <w:szCs w:val="20"/>
                <w:lang w:val="ru-RU"/>
              </w:rPr>
              <w:t>и</w:t>
            </w:r>
            <w:r>
              <w:rPr>
                <w:sz w:val="22"/>
                <w:szCs w:val="20"/>
                <w:lang w:val="ru-RU"/>
              </w:rPr>
              <w:t xml:space="preserve"> между ТБ центрами и ПМСП </w:t>
            </w:r>
            <w:r w:rsidR="00A96B2E">
              <w:rPr>
                <w:sz w:val="22"/>
                <w:szCs w:val="20"/>
                <w:lang w:val="ru-RU"/>
              </w:rPr>
              <w:t>будет</w:t>
            </w:r>
            <w:r>
              <w:rPr>
                <w:sz w:val="22"/>
                <w:szCs w:val="20"/>
                <w:lang w:val="ru-RU"/>
              </w:rPr>
              <w:t xml:space="preserve"> </w:t>
            </w:r>
            <w:r w:rsidRPr="00B76E2E">
              <w:rPr>
                <w:b/>
                <w:sz w:val="22"/>
                <w:szCs w:val="20"/>
                <w:lang w:val="ru-RU"/>
              </w:rPr>
              <w:t>разработ</w:t>
            </w:r>
            <w:r w:rsidR="00A96B2E">
              <w:rPr>
                <w:b/>
                <w:sz w:val="22"/>
                <w:szCs w:val="20"/>
                <w:lang w:val="ru-RU"/>
              </w:rPr>
              <w:t>ана</w:t>
            </w:r>
            <w:r w:rsidRPr="00B76E2E">
              <w:rPr>
                <w:b/>
                <w:sz w:val="22"/>
                <w:szCs w:val="20"/>
                <w:lang w:val="ru-RU"/>
              </w:rPr>
              <w:t xml:space="preserve"> и реализ</w:t>
            </w:r>
            <w:r w:rsidR="00A96B2E">
              <w:rPr>
                <w:b/>
                <w:sz w:val="22"/>
                <w:szCs w:val="20"/>
                <w:lang w:val="ru-RU"/>
              </w:rPr>
              <w:t>ована</w:t>
            </w:r>
            <w:r w:rsidRPr="00B76E2E">
              <w:rPr>
                <w:b/>
                <w:sz w:val="22"/>
                <w:szCs w:val="20"/>
                <w:lang w:val="ru-RU"/>
              </w:rPr>
              <w:t xml:space="preserve"> детальн</w:t>
            </w:r>
            <w:r w:rsidR="00A96B2E">
              <w:rPr>
                <w:b/>
                <w:sz w:val="22"/>
                <w:szCs w:val="20"/>
                <w:lang w:val="ru-RU"/>
              </w:rPr>
              <w:t>ая</w:t>
            </w:r>
            <w:r w:rsidR="0085376B" w:rsidRPr="00B76E2E">
              <w:rPr>
                <w:b/>
                <w:sz w:val="22"/>
                <w:szCs w:val="20"/>
                <w:lang w:val="ru-RU"/>
              </w:rPr>
              <w:t xml:space="preserve"> дорожн</w:t>
            </w:r>
            <w:r w:rsidR="00A96B2E">
              <w:rPr>
                <w:b/>
                <w:sz w:val="22"/>
                <w:szCs w:val="20"/>
                <w:lang w:val="ru-RU"/>
              </w:rPr>
              <w:t>ая</w:t>
            </w:r>
            <w:r w:rsidR="0085376B" w:rsidRPr="00B76E2E">
              <w:rPr>
                <w:b/>
                <w:sz w:val="22"/>
                <w:szCs w:val="20"/>
                <w:lang w:val="ru-RU"/>
              </w:rPr>
              <w:t xml:space="preserve"> карт</w:t>
            </w:r>
            <w:r w:rsidR="00A96B2E">
              <w:rPr>
                <w:b/>
                <w:sz w:val="22"/>
                <w:szCs w:val="20"/>
                <w:lang w:val="ru-RU"/>
              </w:rPr>
              <w:t>а</w:t>
            </w:r>
            <w:r w:rsidR="0085376B" w:rsidRPr="00B76E2E">
              <w:rPr>
                <w:b/>
                <w:sz w:val="22"/>
                <w:szCs w:val="20"/>
                <w:lang w:val="ru-RU"/>
              </w:rPr>
              <w:t xml:space="preserve"> по </w:t>
            </w:r>
            <w:r w:rsidRPr="00B76E2E">
              <w:rPr>
                <w:b/>
                <w:sz w:val="22"/>
                <w:szCs w:val="20"/>
                <w:lang w:val="ru-RU"/>
              </w:rPr>
              <w:t xml:space="preserve">оптимизации службы и </w:t>
            </w:r>
            <w:r w:rsidR="0085376B" w:rsidRPr="00B76E2E">
              <w:rPr>
                <w:b/>
                <w:sz w:val="22"/>
                <w:szCs w:val="20"/>
                <w:lang w:val="ru-RU"/>
              </w:rPr>
              <w:t>переходу на амбулаторное лечение ТБ.</w:t>
            </w:r>
          </w:p>
          <w:p w14:paraId="0F519A46" w14:textId="1E6960F0" w:rsidR="00027544" w:rsidRDefault="00027544" w:rsidP="006B1DD0">
            <w:pPr>
              <w:pStyle w:val="a1"/>
              <w:ind w:left="14"/>
              <w:jc w:val="both"/>
              <w:cnfStyle w:val="000000100000" w:firstRow="0" w:lastRow="0" w:firstColumn="0" w:lastColumn="0" w:oddVBand="0" w:evenVBand="0" w:oddHBand="1" w:evenHBand="0" w:firstRowFirstColumn="0" w:firstRowLastColumn="0" w:lastRowFirstColumn="0" w:lastRowLastColumn="0"/>
              <w:rPr>
                <w:sz w:val="22"/>
                <w:szCs w:val="20"/>
                <w:lang w:val="ru-RU"/>
              </w:rPr>
            </w:pPr>
            <w:r>
              <w:rPr>
                <w:sz w:val="22"/>
                <w:szCs w:val="20"/>
                <w:lang w:val="ru-RU"/>
              </w:rPr>
              <w:t>Диагностика и лечение ВИЧ, ТБ осуществляется в соответствии с последними рекомендациями ВОЗ, расширяется применение режима Бипал</w:t>
            </w:r>
            <w:r w:rsidR="00E175EC">
              <w:rPr>
                <w:rStyle w:val="aff1"/>
                <w:sz w:val="22"/>
                <w:szCs w:val="20"/>
                <w:lang w:val="ru-RU"/>
              </w:rPr>
              <w:footnoteReference w:id="8"/>
            </w:r>
            <w:r>
              <w:rPr>
                <w:sz w:val="22"/>
                <w:szCs w:val="20"/>
                <w:lang w:val="ru-RU"/>
              </w:rPr>
              <w:t xml:space="preserve">, индивидуальных и краткосрочных схем лечения ТБ. </w:t>
            </w:r>
            <w:r w:rsidR="0047385F">
              <w:rPr>
                <w:sz w:val="22"/>
                <w:szCs w:val="20"/>
                <w:lang w:val="ru-RU"/>
              </w:rPr>
              <w:t>Для включения</w:t>
            </w:r>
            <w:r>
              <w:rPr>
                <w:sz w:val="22"/>
                <w:szCs w:val="20"/>
                <w:lang w:val="ru-RU"/>
              </w:rPr>
              <w:t xml:space="preserve"> претоманид</w:t>
            </w:r>
            <w:r w:rsidR="0047385F">
              <w:rPr>
                <w:sz w:val="22"/>
                <w:szCs w:val="20"/>
                <w:lang w:val="ru-RU"/>
              </w:rPr>
              <w:t>а</w:t>
            </w:r>
            <w:r>
              <w:rPr>
                <w:sz w:val="22"/>
                <w:szCs w:val="20"/>
                <w:lang w:val="ru-RU"/>
              </w:rPr>
              <w:t xml:space="preserve"> и бидаквилин</w:t>
            </w:r>
            <w:r w:rsidR="0047385F">
              <w:rPr>
                <w:sz w:val="22"/>
                <w:szCs w:val="20"/>
                <w:lang w:val="ru-RU"/>
              </w:rPr>
              <w:t>а</w:t>
            </w:r>
            <w:r>
              <w:rPr>
                <w:sz w:val="22"/>
                <w:szCs w:val="20"/>
                <w:lang w:val="ru-RU"/>
              </w:rPr>
              <w:t xml:space="preserve"> </w:t>
            </w:r>
            <w:r w:rsidR="0047385F">
              <w:rPr>
                <w:sz w:val="22"/>
                <w:szCs w:val="20"/>
                <w:lang w:val="ru-RU"/>
              </w:rPr>
              <w:t>в</w:t>
            </w:r>
            <w:r>
              <w:rPr>
                <w:sz w:val="22"/>
                <w:szCs w:val="20"/>
                <w:lang w:val="ru-RU"/>
              </w:rPr>
              <w:t xml:space="preserve"> основны</w:t>
            </w:r>
            <w:r w:rsidR="0047385F">
              <w:rPr>
                <w:sz w:val="22"/>
                <w:szCs w:val="20"/>
                <w:lang w:val="ru-RU"/>
              </w:rPr>
              <w:t>е</w:t>
            </w:r>
            <w:r>
              <w:rPr>
                <w:sz w:val="22"/>
                <w:szCs w:val="20"/>
                <w:lang w:val="ru-RU"/>
              </w:rPr>
              <w:t xml:space="preserve"> рутинны</w:t>
            </w:r>
            <w:r w:rsidR="0047385F">
              <w:rPr>
                <w:sz w:val="22"/>
                <w:szCs w:val="20"/>
                <w:lang w:val="ru-RU"/>
              </w:rPr>
              <w:t>е</w:t>
            </w:r>
            <w:r>
              <w:rPr>
                <w:sz w:val="22"/>
                <w:szCs w:val="20"/>
                <w:lang w:val="ru-RU"/>
              </w:rPr>
              <w:t xml:space="preserve"> схем</w:t>
            </w:r>
            <w:r w:rsidR="0047385F">
              <w:rPr>
                <w:sz w:val="22"/>
                <w:szCs w:val="20"/>
                <w:lang w:val="ru-RU"/>
              </w:rPr>
              <w:t>ы</w:t>
            </w:r>
            <w:r>
              <w:rPr>
                <w:sz w:val="22"/>
                <w:szCs w:val="20"/>
                <w:lang w:val="ru-RU"/>
              </w:rPr>
              <w:t xml:space="preserve"> лечения, увелич</w:t>
            </w:r>
            <w:r w:rsidR="0047385F">
              <w:rPr>
                <w:sz w:val="22"/>
                <w:szCs w:val="20"/>
                <w:lang w:val="ru-RU"/>
              </w:rPr>
              <w:t>ения</w:t>
            </w:r>
            <w:r>
              <w:rPr>
                <w:sz w:val="22"/>
                <w:szCs w:val="20"/>
                <w:lang w:val="ru-RU"/>
              </w:rPr>
              <w:t xml:space="preserve"> выдач</w:t>
            </w:r>
            <w:r w:rsidR="0047385F">
              <w:rPr>
                <w:sz w:val="22"/>
                <w:szCs w:val="20"/>
                <w:lang w:val="ru-RU"/>
              </w:rPr>
              <w:t>и</w:t>
            </w:r>
            <w:r>
              <w:rPr>
                <w:sz w:val="22"/>
                <w:szCs w:val="20"/>
                <w:lang w:val="ru-RU"/>
              </w:rPr>
              <w:t xml:space="preserve"> АРВ и ТБ препаратов на более длительные сроки, </w:t>
            </w:r>
            <w:r w:rsidR="0047385F">
              <w:rPr>
                <w:sz w:val="22"/>
                <w:szCs w:val="20"/>
                <w:lang w:val="ru-RU"/>
              </w:rPr>
              <w:t xml:space="preserve">расширения  перечня доступных препаратов в </w:t>
            </w:r>
            <w:r>
              <w:rPr>
                <w:sz w:val="22"/>
                <w:szCs w:val="20"/>
                <w:lang w:val="ru-RU"/>
              </w:rPr>
              <w:t>программ</w:t>
            </w:r>
            <w:r w:rsidR="0047385F">
              <w:rPr>
                <w:sz w:val="22"/>
                <w:szCs w:val="20"/>
                <w:lang w:val="ru-RU"/>
              </w:rPr>
              <w:t>ах</w:t>
            </w:r>
            <w:r>
              <w:rPr>
                <w:sz w:val="22"/>
                <w:szCs w:val="20"/>
                <w:lang w:val="ru-RU"/>
              </w:rPr>
              <w:t xml:space="preserve"> терапии агонистами опиоидов </w:t>
            </w:r>
            <w:r w:rsidRPr="00B76E2E">
              <w:rPr>
                <w:b/>
                <w:sz w:val="22"/>
                <w:szCs w:val="20"/>
                <w:lang w:val="ru-RU"/>
              </w:rPr>
              <w:t>будут пересм</w:t>
            </w:r>
            <w:r w:rsidR="0047385F">
              <w:rPr>
                <w:b/>
                <w:sz w:val="22"/>
                <w:szCs w:val="20"/>
                <w:lang w:val="ru-RU"/>
              </w:rPr>
              <w:t>отрены</w:t>
            </w:r>
            <w:r w:rsidRPr="00B76E2E">
              <w:rPr>
                <w:b/>
                <w:sz w:val="22"/>
                <w:szCs w:val="20"/>
                <w:lang w:val="ru-RU"/>
              </w:rPr>
              <w:t xml:space="preserve"> клинические протоколы по диагностике и лечению ВИЧ, ТБ, ПТАО.</w:t>
            </w:r>
          </w:p>
          <w:p w14:paraId="48E1C20F" w14:textId="3F0268CD" w:rsidR="00027544" w:rsidRPr="00B76E2E" w:rsidRDefault="00027544" w:rsidP="006B1DD0">
            <w:pPr>
              <w:pStyle w:val="a1"/>
              <w:ind w:left="14"/>
              <w:jc w:val="both"/>
              <w:cnfStyle w:val="000000100000" w:firstRow="0" w:lastRow="0" w:firstColumn="0" w:lastColumn="0" w:oddVBand="0" w:evenVBand="0" w:oddHBand="1" w:evenHBand="0" w:firstRowFirstColumn="0" w:firstRowLastColumn="0" w:lastRowFirstColumn="0" w:lastRowLastColumn="0"/>
              <w:rPr>
                <w:b/>
                <w:bCs/>
                <w:sz w:val="22"/>
                <w:szCs w:val="20"/>
                <w:lang w:val="ru-RU"/>
              </w:rPr>
            </w:pPr>
            <w:r>
              <w:rPr>
                <w:sz w:val="22"/>
                <w:szCs w:val="20"/>
                <w:lang w:val="ru-RU"/>
              </w:rPr>
              <w:t>В 2023 году Кыргызстан</w:t>
            </w:r>
            <w:r w:rsidR="007C2DE2">
              <w:rPr>
                <w:sz w:val="22"/>
                <w:szCs w:val="20"/>
                <w:lang w:val="ru-RU"/>
              </w:rPr>
              <w:t>, руководствуясь новой стратегией ВОЗ по борьбе с ВИЧ, гепатитами и ИППП,</w:t>
            </w:r>
            <w:r>
              <w:rPr>
                <w:sz w:val="22"/>
                <w:szCs w:val="20"/>
                <w:lang w:val="ru-RU"/>
              </w:rPr>
              <w:t xml:space="preserve"> утвердит объединенную Программу Правительства по борьбе с эпидемиями ВИЧ и парентеральными гепатитами</w:t>
            </w:r>
            <w:r w:rsidR="00E175EC">
              <w:rPr>
                <w:rStyle w:val="aff1"/>
                <w:sz w:val="22"/>
                <w:szCs w:val="20"/>
                <w:lang w:val="ru-RU"/>
              </w:rPr>
              <w:footnoteReference w:id="9"/>
            </w:r>
            <w:r>
              <w:rPr>
                <w:sz w:val="22"/>
                <w:szCs w:val="20"/>
                <w:lang w:val="ru-RU"/>
              </w:rPr>
              <w:t>, служба СПИДа в 2022 году преобразована в Центр по контролю за гемоконтактными вирусными гепатитами и ВИЧ</w:t>
            </w:r>
            <w:r w:rsidR="00E175EC">
              <w:rPr>
                <w:rStyle w:val="aff1"/>
                <w:sz w:val="22"/>
                <w:szCs w:val="20"/>
                <w:lang w:val="ru-RU"/>
              </w:rPr>
              <w:footnoteReference w:id="10"/>
            </w:r>
            <w:r>
              <w:rPr>
                <w:sz w:val="22"/>
                <w:szCs w:val="20"/>
                <w:lang w:val="ru-RU"/>
              </w:rPr>
              <w:t>, из государственного бюджета на 2023 год выделено более 2 млн.долларов на закупку тестов, реагентов для диагностики ВГ и препараты для их лечения</w:t>
            </w:r>
            <w:r w:rsidR="00E175EC">
              <w:rPr>
                <w:rStyle w:val="aff1"/>
                <w:sz w:val="22"/>
                <w:szCs w:val="20"/>
                <w:lang w:val="ru-RU"/>
              </w:rPr>
              <w:footnoteReference w:id="11"/>
            </w:r>
            <w:r>
              <w:rPr>
                <w:sz w:val="22"/>
                <w:szCs w:val="20"/>
                <w:lang w:val="ru-RU"/>
              </w:rPr>
              <w:t xml:space="preserve">. </w:t>
            </w:r>
            <w:r w:rsidR="007C2DE2">
              <w:rPr>
                <w:sz w:val="22"/>
                <w:szCs w:val="20"/>
                <w:lang w:val="ru-RU"/>
              </w:rPr>
              <w:t>Для реализации данного направления Министерство здравоохранения разработало перечень населения</w:t>
            </w:r>
            <w:r w:rsidR="00E175EC">
              <w:rPr>
                <w:rStyle w:val="aff1"/>
                <w:sz w:val="22"/>
                <w:szCs w:val="20"/>
                <w:lang w:val="ru-RU"/>
              </w:rPr>
              <w:footnoteReference w:id="12"/>
            </w:r>
            <w:r w:rsidR="007C2DE2">
              <w:rPr>
                <w:sz w:val="22"/>
                <w:szCs w:val="20"/>
                <w:lang w:val="ru-RU"/>
              </w:rPr>
              <w:t>, которые в первую очередь получат доступ к услугам по диагностике и лечению ВГ. ЛЖВ, заключенные, больные туберкулезом, ЛУИН с циррозом печени вошли в первую категорию, которым будет предоставлено бесплатное лечение ВГВ и ВГС уже в 2023 году. ЛУИН, МСМ и другие ключевые группы также смогут получить бесплатное лечение ВГВ и ВГС после расширения программы. Все без исключения представители ключевых групп смогут пройти бесплатное экспресс-тестирование на ВГС и вакцинацию от ВГВ. В то же время</w:t>
            </w:r>
            <w:r>
              <w:rPr>
                <w:sz w:val="22"/>
                <w:szCs w:val="20"/>
                <w:lang w:val="ru-RU"/>
              </w:rPr>
              <w:t xml:space="preserve">, </w:t>
            </w:r>
            <w:r w:rsidR="007C2DE2">
              <w:rPr>
                <w:sz w:val="22"/>
                <w:szCs w:val="20"/>
                <w:lang w:val="ru-RU"/>
              </w:rPr>
              <w:t xml:space="preserve">для быстрого расширения программы и оказания услуг ключевым </w:t>
            </w:r>
            <w:r w:rsidR="007C2DE2">
              <w:rPr>
                <w:sz w:val="22"/>
                <w:szCs w:val="20"/>
                <w:lang w:val="ru-RU"/>
              </w:rPr>
              <w:lastRenderedPageBreak/>
              <w:t xml:space="preserve">группам населения </w:t>
            </w:r>
            <w:r w:rsidRPr="00B76E2E">
              <w:rPr>
                <w:b/>
                <w:sz w:val="22"/>
                <w:szCs w:val="20"/>
                <w:lang w:val="ru-RU"/>
              </w:rPr>
              <w:t>необходимо формировать национальную систему оказания услуг в связи с ВГ, разрабатывать и внедрять механизмы оказания услуг в связи с ВГ, в том числе и для ключевых групп населения.</w:t>
            </w:r>
          </w:p>
          <w:p w14:paraId="280D3128" w14:textId="17CBDAB5" w:rsidR="009E6A7D" w:rsidRDefault="00224788" w:rsidP="00224788">
            <w:pPr>
              <w:pStyle w:val="a1"/>
              <w:jc w:val="both"/>
              <w:cnfStyle w:val="000000100000" w:firstRow="0" w:lastRow="0" w:firstColumn="0" w:lastColumn="0" w:oddVBand="0" w:evenVBand="0" w:oddHBand="1" w:evenHBand="0" w:firstRowFirstColumn="0" w:firstRowLastColumn="0" w:lastRowFirstColumn="0" w:lastRowLastColumn="0"/>
              <w:rPr>
                <w:sz w:val="22"/>
                <w:szCs w:val="20"/>
                <w:lang w:val="ru-RU"/>
              </w:rPr>
            </w:pPr>
            <w:r w:rsidRPr="00B76E2E">
              <w:rPr>
                <w:b/>
                <w:sz w:val="22"/>
                <w:szCs w:val="20"/>
                <w:lang w:val="ru-RU"/>
              </w:rPr>
              <w:t>Расширение</w:t>
            </w:r>
            <w:r w:rsidR="00F1658B" w:rsidRPr="00B76E2E">
              <w:rPr>
                <w:b/>
                <w:sz w:val="22"/>
                <w:szCs w:val="20"/>
                <w:lang w:val="ru-RU"/>
              </w:rPr>
              <w:t xml:space="preserve"> системы электронного слежения за ВИЧ, включая слежение за реализацией программ по профилактике, уходу </w:t>
            </w:r>
            <w:r w:rsidRPr="00B76E2E">
              <w:rPr>
                <w:b/>
                <w:sz w:val="22"/>
                <w:szCs w:val="20"/>
                <w:lang w:val="ru-RU"/>
              </w:rPr>
              <w:t xml:space="preserve">и поддержке, </w:t>
            </w:r>
            <w:r w:rsidR="00F1658B" w:rsidRPr="00B76E2E">
              <w:rPr>
                <w:b/>
                <w:sz w:val="22"/>
                <w:szCs w:val="20"/>
                <w:lang w:val="ru-RU"/>
              </w:rPr>
              <w:t>мониторинг</w:t>
            </w:r>
            <w:r w:rsidRPr="00B76E2E">
              <w:rPr>
                <w:b/>
                <w:sz w:val="22"/>
                <w:szCs w:val="20"/>
                <w:lang w:val="ru-RU"/>
              </w:rPr>
              <w:t>у</w:t>
            </w:r>
            <w:r w:rsidR="00F1658B" w:rsidRPr="00B76E2E">
              <w:rPr>
                <w:b/>
                <w:sz w:val="22"/>
                <w:szCs w:val="20"/>
                <w:lang w:val="ru-RU"/>
              </w:rPr>
              <w:t xml:space="preserve"> управления запасами лекарств и привер</w:t>
            </w:r>
            <w:r w:rsidRPr="00B76E2E">
              <w:rPr>
                <w:b/>
                <w:sz w:val="22"/>
                <w:szCs w:val="20"/>
                <w:lang w:val="ru-RU"/>
              </w:rPr>
              <w:t>женности к лечению ВИЧ-инфекции</w:t>
            </w:r>
            <w:r w:rsidR="0094124C">
              <w:rPr>
                <w:b/>
                <w:sz w:val="22"/>
                <w:szCs w:val="20"/>
                <w:lang w:val="ru-RU"/>
              </w:rPr>
              <w:t xml:space="preserve"> через интеграцию модуля лечения, действующего в службе СПИДа, с программами </w:t>
            </w:r>
            <w:r w:rsidR="0094124C">
              <w:rPr>
                <w:b/>
                <w:sz w:val="22"/>
                <w:szCs w:val="20"/>
                <w:lang w:val="en-US"/>
              </w:rPr>
              <w:t>MIS</w:t>
            </w:r>
            <w:r w:rsidR="0094124C">
              <w:rPr>
                <w:b/>
                <w:sz w:val="22"/>
                <w:szCs w:val="20"/>
                <w:lang w:val="ru-RU"/>
              </w:rPr>
              <w:t>, используемых ГФ/ПРООН для учета профилактических услуг, а в дальнейшем всей системы услуг в связи с ВИЧ в систему центра электронного здравоохранения при Министерстве здравоохранения КР</w:t>
            </w:r>
            <w:r>
              <w:rPr>
                <w:sz w:val="22"/>
                <w:szCs w:val="20"/>
                <w:lang w:val="ru-RU"/>
              </w:rPr>
              <w:t xml:space="preserve"> позволит осуществлять комплексное управление программами в связи с ВИЧ и осуществить</w:t>
            </w:r>
            <w:r w:rsidR="00F1658B" w:rsidRPr="00F1658B">
              <w:rPr>
                <w:sz w:val="22"/>
                <w:szCs w:val="20"/>
                <w:lang w:val="ru-RU"/>
              </w:rPr>
              <w:t xml:space="preserve"> интеграцию системы ЭС за ВИЧ в единую информационную систему </w:t>
            </w:r>
            <w:r>
              <w:rPr>
                <w:sz w:val="22"/>
                <w:szCs w:val="20"/>
                <w:lang w:val="ru-RU"/>
              </w:rPr>
              <w:t>здравоохранения страны.</w:t>
            </w:r>
          </w:p>
          <w:p w14:paraId="420FB700" w14:textId="39DCB429" w:rsidR="001A38BA" w:rsidRPr="00491E6E" w:rsidRDefault="009E6A7D" w:rsidP="00DF7AF8">
            <w:pPr>
              <w:pStyle w:val="a1"/>
              <w:jc w:val="both"/>
              <w:cnfStyle w:val="000000100000" w:firstRow="0" w:lastRow="0" w:firstColumn="0" w:lastColumn="0" w:oddVBand="0" w:evenVBand="0" w:oddHBand="1" w:evenHBand="0" w:firstRowFirstColumn="0" w:firstRowLastColumn="0" w:lastRowFirstColumn="0" w:lastRowLastColumn="0"/>
              <w:rPr>
                <w:sz w:val="22"/>
                <w:szCs w:val="20"/>
                <w:lang w:val="ru-RU"/>
              </w:rPr>
            </w:pPr>
            <w:r w:rsidRPr="00B76E2E">
              <w:rPr>
                <w:b/>
                <w:sz w:val="22"/>
                <w:szCs w:val="20"/>
                <w:lang w:val="ru-RU"/>
              </w:rPr>
              <w:t>Проведение среднесрочной оценки Программ Кабинета Министров по ВИЧ и ТБ, оценки прогресса в реализации межведомственного плана по преодолению правовых барьеров</w:t>
            </w:r>
            <w:r>
              <w:rPr>
                <w:sz w:val="22"/>
                <w:szCs w:val="20"/>
                <w:lang w:val="ru-RU"/>
              </w:rPr>
              <w:t xml:space="preserve"> позволит своевременно выявить пробелы в достижении целей и скорректировать мероприятия Программ.</w:t>
            </w:r>
          </w:p>
        </w:tc>
      </w:tr>
      <w:tr w:rsidR="00175304" w:rsidRPr="00A26916" w14:paraId="3BA6148A" w14:textId="77777777" w:rsidTr="00EA6D11">
        <w:tc>
          <w:tcPr>
            <w:cnfStyle w:val="001000000000" w:firstRow="0" w:lastRow="0" w:firstColumn="1" w:lastColumn="0" w:oddVBand="0" w:evenVBand="0" w:oddHBand="0" w:evenHBand="0" w:firstRowFirstColumn="0" w:firstRowLastColumn="0" w:lastRowFirstColumn="0" w:lastRowLastColumn="0"/>
            <w:tcW w:w="2138" w:type="dxa"/>
          </w:tcPr>
          <w:p w14:paraId="59DE3E00" w14:textId="26C97876" w:rsidR="00175304" w:rsidRPr="008B08A2" w:rsidRDefault="00E42B25" w:rsidP="00175304">
            <w:pPr>
              <w:pStyle w:val="a1"/>
              <w:rPr>
                <w:lang w:val="ru-RU"/>
              </w:rPr>
            </w:pPr>
            <w:r>
              <w:rPr>
                <w:lang w:val="ru-RU"/>
              </w:rPr>
              <w:lastRenderedPageBreak/>
              <w:t>Население</w:t>
            </w:r>
            <w:r w:rsidRPr="008B08A2">
              <w:rPr>
                <w:lang w:val="ru-RU"/>
              </w:rPr>
              <w:t xml:space="preserve">, </w:t>
            </w:r>
            <w:r>
              <w:rPr>
                <w:lang w:val="ru-RU"/>
              </w:rPr>
              <w:t>территории</w:t>
            </w:r>
            <w:r w:rsidRPr="008B08A2">
              <w:rPr>
                <w:lang w:val="ru-RU"/>
              </w:rPr>
              <w:t xml:space="preserve"> </w:t>
            </w:r>
            <w:r>
              <w:rPr>
                <w:lang w:val="ru-RU"/>
              </w:rPr>
              <w:t>и</w:t>
            </w:r>
            <w:r w:rsidRPr="008B08A2">
              <w:rPr>
                <w:lang w:val="ru-RU"/>
              </w:rPr>
              <w:t>/</w:t>
            </w:r>
            <w:r>
              <w:rPr>
                <w:lang w:val="ru-RU"/>
              </w:rPr>
              <w:t>или</w:t>
            </w:r>
            <w:r w:rsidRPr="008B08A2">
              <w:rPr>
                <w:lang w:val="ru-RU"/>
              </w:rPr>
              <w:t xml:space="preserve"> </w:t>
            </w:r>
            <w:r w:rsidR="008B08A2" w:rsidRPr="00A55CBF">
              <w:rPr>
                <w:lang w:val="ru-RU"/>
              </w:rPr>
              <w:t>барьеры</w:t>
            </w:r>
            <w:r w:rsidR="008B08A2" w:rsidRPr="008B08A2">
              <w:rPr>
                <w:lang w:val="ru-RU"/>
              </w:rPr>
              <w:t xml:space="preserve">, </w:t>
            </w:r>
            <w:r w:rsidR="008B08A2">
              <w:rPr>
                <w:lang w:val="ru-RU"/>
              </w:rPr>
              <w:t>на</w:t>
            </w:r>
            <w:r w:rsidR="008B08A2" w:rsidRPr="008B08A2">
              <w:rPr>
                <w:lang w:val="ru-RU"/>
              </w:rPr>
              <w:t xml:space="preserve"> </w:t>
            </w:r>
            <w:r w:rsidR="008B08A2">
              <w:rPr>
                <w:lang w:val="ru-RU"/>
              </w:rPr>
              <w:t>которые направлена деятельность</w:t>
            </w:r>
          </w:p>
        </w:tc>
        <w:tc>
          <w:tcPr>
            <w:tcW w:w="13025" w:type="dxa"/>
          </w:tcPr>
          <w:p w14:paraId="6861ECD8" w14:textId="14191504" w:rsidR="00175304" w:rsidRDefault="007E3108" w:rsidP="006A2D72">
            <w:pPr>
              <w:pStyle w:val="a1"/>
              <w:jc w:val="both"/>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Системы здравоохранения</w:t>
            </w:r>
            <w:r w:rsidR="006A2D72">
              <w:rPr>
                <w:sz w:val="22"/>
                <w:szCs w:val="20"/>
                <w:lang w:val="ru-RU"/>
              </w:rPr>
              <w:t xml:space="preserve"> КР</w:t>
            </w:r>
            <w:r>
              <w:rPr>
                <w:sz w:val="22"/>
                <w:szCs w:val="20"/>
                <w:lang w:val="ru-RU"/>
              </w:rPr>
              <w:t xml:space="preserve">, связанные с предоставлением услуг в связи с ВИЧ и ТБ. </w:t>
            </w:r>
            <w:r w:rsidR="00AD6B37">
              <w:rPr>
                <w:sz w:val="22"/>
                <w:szCs w:val="20"/>
                <w:lang w:val="ru-RU"/>
              </w:rPr>
              <w:t xml:space="preserve">Люди, живущие с ВИЧ, </w:t>
            </w:r>
            <w:r w:rsidR="006E6DEA">
              <w:rPr>
                <w:sz w:val="22"/>
                <w:szCs w:val="20"/>
                <w:lang w:val="ru-RU"/>
              </w:rPr>
              <w:t>люди с ТБ</w:t>
            </w:r>
            <w:r w:rsidR="00AD6B37">
              <w:rPr>
                <w:sz w:val="22"/>
                <w:szCs w:val="20"/>
                <w:lang w:val="ru-RU"/>
              </w:rPr>
              <w:t xml:space="preserve">, ключевые группы </w:t>
            </w:r>
            <w:r w:rsidR="00F85A15">
              <w:rPr>
                <w:sz w:val="22"/>
                <w:szCs w:val="20"/>
                <w:lang w:val="ru-RU"/>
              </w:rPr>
              <w:t>(МСМ, ТГ, СР, ЛУН, заключенные)</w:t>
            </w:r>
            <w:r w:rsidR="00AD6B37">
              <w:rPr>
                <w:sz w:val="22"/>
                <w:szCs w:val="20"/>
                <w:lang w:val="ru-RU"/>
              </w:rPr>
              <w:t>.</w:t>
            </w:r>
          </w:p>
          <w:p w14:paraId="5A34778B" w14:textId="2AA587EB" w:rsidR="001D071C" w:rsidRDefault="006A2D72" w:rsidP="0085376B">
            <w:pPr>
              <w:pStyle w:val="a1"/>
              <w:jc w:val="both"/>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 xml:space="preserve">Принятие новых законов в сфере здравоохранения без последующей разработки и принятия подзаконных нормативных актов </w:t>
            </w:r>
            <w:r w:rsidR="006E6DEA">
              <w:rPr>
                <w:sz w:val="22"/>
                <w:szCs w:val="20"/>
                <w:lang w:val="ru-RU"/>
              </w:rPr>
              <w:t>снизит</w:t>
            </w:r>
            <w:r>
              <w:rPr>
                <w:sz w:val="22"/>
                <w:szCs w:val="20"/>
                <w:lang w:val="ru-RU"/>
              </w:rPr>
              <w:t xml:space="preserve"> эффективность предоставляемых услуг, </w:t>
            </w:r>
            <w:r w:rsidR="006E6DEA">
              <w:rPr>
                <w:sz w:val="22"/>
                <w:szCs w:val="20"/>
                <w:lang w:val="ru-RU"/>
              </w:rPr>
              <w:t xml:space="preserve">замедлит </w:t>
            </w:r>
            <w:r>
              <w:rPr>
                <w:sz w:val="22"/>
                <w:szCs w:val="20"/>
                <w:lang w:val="ru-RU"/>
              </w:rPr>
              <w:t xml:space="preserve">расширение государственного финансирования программ, включая внедрение инновационных подходов в лечении туберкулеза и реализации ПТАО. Например, действующая программа </w:t>
            </w:r>
            <w:r w:rsidRPr="006A2D72">
              <w:rPr>
                <w:sz w:val="22"/>
                <w:szCs w:val="20"/>
                <w:lang w:val="ru-RU"/>
              </w:rPr>
              <w:t>государственных гарантий по обеспечению граждан медико-санитарной помощью</w:t>
            </w:r>
            <w:r w:rsidR="00E175EC">
              <w:rPr>
                <w:rStyle w:val="aff1"/>
                <w:sz w:val="22"/>
                <w:szCs w:val="20"/>
                <w:lang w:val="ru-RU"/>
              </w:rPr>
              <w:footnoteReference w:id="13"/>
            </w:r>
            <w:r>
              <w:rPr>
                <w:sz w:val="22"/>
                <w:szCs w:val="20"/>
                <w:lang w:val="ru-RU"/>
              </w:rPr>
              <w:t xml:space="preserve"> не предусматривает программы ТАО</w:t>
            </w:r>
            <w:r w:rsidR="001D071C">
              <w:rPr>
                <w:sz w:val="22"/>
                <w:szCs w:val="20"/>
                <w:lang w:val="ru-RU"/>
              </w:rPr>
              <w:t xml:space="preserve"> и снижения вреда в качестве гарантированных услуг для населения, ПЖВЛС</w:t>
            </w:r>
            <w:r w:rsidR="00E175EC">
              <w:rPr>
                <w:rStyle w:val="aff1"/>
                <w:sz w:val="22"/>
                <w:szCs w:val="20"/>
                <w:lang w:val="ru-RU"/>
              </w:rPr>
              <w:footnoteReference w:id="14"/>
            </w:r>
            <w:r w:rsidR="001D071C">
              <w:rPr>
                <w:sz w:val="22"/>
                <w:szCs w:val="20"/>
                <w:lang w:val="ru-RU"/>
              </w:rPr>
              <w:t xml:space="preserve">, в последний раз утвержденный в 2018 году, не включает такие препараты как претоманид либо комбинированные препараты </w:t>
            </w:r>
            <w:r w:rsidR="001D071C">
              <w:rPr>
                <w:sz w:val="22"/>
                <w:szCs w:val="20"/>
                <w:lang w:val="en-US"/>
              </w:rPr>
              <w:t>TLD</w:t>
            </w:r>
            <w:r w:rsidR="006E6DEA">
              <w:rPr>
                <w:sz w:val="22"/>
                <w:szCs w:val="20"/>
                <w:lang w:val="ru-RU"/>
              </w:rPr>
              <w:t>;</w:t>
            </w:r>
            <w:r w:rsidR="001D071C">
              <w:rPr>
                <w:sz w:val="22"/>
                <w:szCs w:val="20"/>
                <w:lang w:val="ru-RU"/>
              </w:rPr>
              <w:t xml:space="preserve"> несмотря на принятие в 2022 году нового закона «О государственных закупках»</w:t>
            </w:r>
            <w:r w:rsidR="00E175EC">
              <w:rPr>
                <w:rStyle w:val="aff1"/>
                <w:sz w:val="22"/>
                <w:szCs w:val="20"/>
                <w:lang w:val="ru-RU"/>
              </w:rPr>
              <w:footnoteReference w:id="15"/>
            </w:r>
            <w:r w:rsidR="001D071C">
              <w:rPr>
                <w:sz w:val="22"/>
                <w:szCs w:val="20"/>
                <w:lang w:val="ru-RU"/>
              </w:rPr>
              <w:t>, содержащ</w:t>
            </w:r>
            <w:r w:rsidR="006E6DEA">
              <w:rPr>
                <w:sz w:val="22"/>
                <w:szCs w:val="20"/>
                <w:lang w:val="ru-RU"/>
              </w:rPr>
              <w:t>его</w:t>
            </w:r>
            <w:r w:rsidR="001D071C">
              <w:rPr>
                <w:sz w:val="22"/>
                <w:szCs w:val="20"/>
                <w:lang w:val="ru-RU"/>
              </w:rPr>
              <w:t xml:space="preserve"> возможности закупок через международные платформы, механизм его реализации </w:t>
            </w:r>
            <w:r w:rsidR="00F85A15">
              <w:rPr>
                <w:sz w:val="22"/>
                <w:szCs w:val="20"/>
                <w:lang w:val="ru-RU"/>
              </w:rPr>
              <w:t>сих пор не разработан.</w:t>
            </w:r>
            <w:r w:rsidR="001D071C">
              <w:rPr>
                <w:sz w:val="22"/>
                <w:szCs w:val="20"/>
                <w:lang w:val="ru-RU"/>
              </w:rPr>
              <w:t xml:space="preserve"> Внедрение социального контрактирования НПО за счет государственных средств замедлен из-за отсутствия стандартов оплаты труда, программы государственного социального заказа нуждаются в регулярном обновлении. </w:t>
            </w:r>
          </w:p>
          <w:p w14:paraId="03F36D07" w14:textId="15F27425" w:rsidR="0085376B" w:rsidRDefault="001D071C" w:rsidP="0085376B">
            <w:pPr>
              <w:pStyle w:val="a1"/>
              <w:jc w:val="both"/>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 xml:space="preserve">Одновременно, на местном рынке не зарегистрированы ключевые лекарственные средства и диагностические тесты для ВИЧ, ТБ, ПТАО, что делает невозможным осуществление закупок за государственные счет. Усиление требований ГФ к </w:t>
            </w:r>
            <w:r>
              <w:rPr>
                <w:sz w:val="22"/>
                <w:szCs w:val="20"/>
                <w:lang w:val="ru-RU"/>
              </w:rPr>
              <w:lastRenderedPageBreak/>
              <w:t xml:space="preserve">отчетности стран по выполнению обязательств в сфере расширения инвестиций со стороны государства требует проведение регулярной оценки исполнения обязательств. </w:t>
            </w:r>
          </w:p>
          <w:p w14:paraId="2CAA54F9" w14:textId="17BF6718" w:rsidR="0085376B" w:rsidRDefault="0085376B" w:rsidP="0085376B">
            <w:pPr>
              <w:pStyle w:val="a1"/>
              <w:jc w:val="both"/>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 xml:space="preserve">Программа </w:t>
            </w:r>
            <w:r w:rsidR="00FE3578">
              <w:rPr>
                <w:sz w:val="22"/>
                <w:szCs w:val="20"/>
                <w:lang w:val="ru-RU"/>
              </w:rPr>
              <w:t xml:space="preserve">Правительства по </w:t>
            </w:r>
            <w:r>
              <w:rPr>
                <w:sz w:val="22"/>
                <w:szCs w:val="20"/>
                <w:lang w:val="ru-RU"/>
              </w:rPr>
              <w:t xml:space="preserve">оптимизации противотуберкулезной службы рассчитана до 2026 года. </w:t>
            </w:r>
            <w:r w:rsidR="006E6DEA" w:rsidRPr="006E6DEA">
              <w:rPr>
                <w:sz w:val="22"/>
                <w:szCs w:val="20"/>
                <w:lang w:val="ru-RU"/>
              </w:rPr>
              <w:t>В декабре 2021 года МЗ КР издал серию приказов по сокращению противотуберкулезных коек и ликвидации 5 противотуберкулезных больниц (Узгенской, Токтогульской, Ноокатской, а также в гг. Шекафтра и Кызыл-Кия)</w:t>
            </w:r>
            <w:r w:rsidR="00E175EC">
              <w:rPr>
                <w:rStyle w:val="aff1"/>
                <w:sz w:val="22"/>
                <w:szCs w:val="20"/>
                <w:lang w:val="ru-RU"/>
              </w:rPr>
              <w:footnoteReference w:id="16"/>
            </w:r>
            <w:r w:rsidR="006E6DEA" w:rsidRPr="006E6DEA">
              <w:rPr>
                <w:sz w:val="22"/>
                <w:szCs w:val="20"/>
                <w:lang w:val="ru-RU"/>
              </w:rPr>
              <w:t>.</w:t>
            </w:r>
            <w:r w:rsidR="006E6DEA" w:rsidRPr="006E6DEA">
              <w:rPr>
                <w:rFonts w:ascii="Helvetica Neue" w:hAnsi="Helvetica Neue" w:cs="Helvetica Neue"/>
                <w:color w:val="000000"/>
                <w:sz w:val="26"/>
                <w:szCs w:val="26"/>
                <w:lang w:val="ru-RU"/>
              </w:rPr>
              <w:t xml:space="preserve"> </w:t>
            </w:r>
            <w:r>
              <w:rPr>
                <w:sz w:val="22"/>
                <w:szCs w:val="20"/>
                <w:lang w:val="ru-RU"/>
              </w:rPr>
              <w:t>К нас</w:t>
            </w:r>
            <w:r w:rsidR="00F85A15">
              <w:rPr>
                <w:sz w:val="22"/>
                <w:szCs w:val="20"/>
                <w:lang w:val="ru-RU"/>
              </w:rPr>
              <w:t xml:space="preserve">тоящему времени было сокращено 400 </w:t>
            </w:r>
            <w:r>
              <w:rPr>
                <w:sz w:val="22"/>
                <w:szCs w:val="20"/>
                <w:lang w:val="ru-RU"/>
              </w:rPr>
              <w:t xml:space="preserve">коек в </w:t>
            </w:r>
            <w:r w:rsidR="00F85A15">
              <w:rPr>
                <w:sz w:val="22"/>
                <w:szCs w:val="20"/>
                <w:lang w:val="ru-RU"/>
              </w:rPr>
              <w:t xml:space="preserve">5 </w:t>
            </w:r>
            <w:r>
              <w:rPr>
                <w:sz w:val="22"/>
                <w:szCs w:val="20"/>
                <w:lang w:val="ru-RU"/>
              </w:rPr>
              <w:t>географических регионов</w:t>
            </w:r>
            <w:r w:rsidR="00F85A15" w:rsidRPr="00F85A15">
              <w:rPr>
                <w:sz w:val="22"/>
                <w:szCs w:val="20"/>
                <w:lang w:val="ru-RU"/>
              </w:rPr>
              <w:t xml:space="preserve"> (</w:t>
            </w:r>
            <w:r w:rsidR="00F85A15">
              <w:rPr>
                <w:sz w:val="22"/>
                <w:szCs w:val="20"/>
                <w:lang w:val="ru-RU"/>
              </w:rPr>
              <w:t>закрыто 5 стационаров и ряд сократился)</w:t>
            </w:r>
            <w:r>
              <w:rPr>
                <w:sz w:val="22"/>
                <w:szCs w:val="20"/>
                <w:lang w:val="ru-RU"/>
              </w:rPr>
              <w:t xml:space="preserve">, более </w:t>
            </w:r>
            <w:r w:rsidR="006E6DEA" w:rsidRPr="006E6DEA">
              <w:rPr>
                <w:sz w:val="22"/>
                <w:szCs w:val="20"/>
                <w:lang w:val="ru-RU"/>
              </w:rPr>
              <w:t>23% (2021, UNDP)</w:t>
            </w:r>
            <w:r>
              <w:rPr>
                <w:sz w:val="22"/>
                <w:szCs w:val="20"/>
                <w:lang w:val="ru-RU"/>
              </w:rPr>
              <w:t xml:space="preserve"> больных с ТБ находятся на амбулаторном лечении. Высвобождающиеся средства направляются на ПМСП для мер в связи с ТБ. В то же время, </w:t>
            </w:r>
            <w:r w:rsidR="00FE3578">
              <w:rPr>
                <w:sz w:val="22"/>
                <w:szCs w:val="20"/>
                <w:lang w:val="ru-RU"/>
              </w:rPr>
              <w:t>в связи с недостаточным планированием мер по оптимизации и слабой координацией между ТБ службами и ПМСП, отмечаются потери пациентов с ТБ при переходе на амбулаторный этап лечения, квалифицированные специалисты после ликвидации учреждений не вовлечены в продолжение работы в сфере ТБ, затрудняется диагностика и мониторинг лечения в регионах, где ликвидированы стационары и ТБ центры.</w:t>
            </w:r>
          </w:p>
          <w:p w14:paraId="1D8AAD79" w14:textId="7A397F24" w:rsidR="0085376B" w:rsidRDefault="006E6DEA" w:rsidP="0085376B">
            <w:pPr>
              <w:pStyle w:val="a1"/>
              <w:jc w:val="both"/>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Большинство</w:t>
            </w:r>
            <w:r w:rsidR="0085376B">
              <w:rPr>
                <w:sz w:val="22"/>
                <w:szCs w:val="20"/>
                <w:lang w:val="ru-RU"/>
              </w:rPr>
              <w:t xml:space="preserve"> услуг в связи с ВИЧ </w:t>
            </w:r>
            <w:r>
              <w:rPr>
                <w:sz w:val="22"/>
                <w:szCs w:val="20"/>
                <w:lang w:val="ru-RU"/>
              </w:rPr>
              <w:t xml:space="preserve">предоставляются </w:t>
            </w:r>
            <w:r w:rsidR="0085376B">
              <w:rPr>
                <w:sz w:val="22"/>
                <w:szCs w:val="20"/>
                <w:lang w:val="ru-RU"/>
              </w:rPr>
              <w:t>на уровне ПМСП, в то же время координация</w:t>
            </w:r>
            <w:r>
              <w:rPr>
                <w:sz w:val="22"/>
                <w:szCs w:val="20"/>
                <w:lang w:val="ru-RU"/>
              </w:rPr>
              <w:t xml:space="preserve"> и</w:t>
            </w:r>
            <w:r w:rsidR="0085376B">
              <w:rPr>
                <w:sz w:val="22"/>
                <w:szCs w:val="20"/>
                <w:lang w:val="ru-RU"/>
              </w:rPr>
              <w:t xml:space="preserve"> финансирование услуг в связи с ВИЧ оста</w:t>
            </w:r>
            <w:r>
              <w:rPr>
                <w:sz w:val="22"/>
                <w:szCs w:val="20"/>
                <w:lang w:val="ru-RU"/>
              </w:rPr>
              <w:t>ю</w:t>
            </w:r>
            <w:r w:rsidR="0085376B">
              <w:rPr>
                <w:sz w:val="22"/>
                <w:szCs w:val="20"/>
                <w:lang w:val="ru-RU"/>
              </w:rPr>
              <w:t xml:space="preserve">тся централизованным, </w:t>
            </w:r>
            <w:r>
              <w:rPr>
                <w:sz w:val="22"/>
                <w:szCs w:val="20"/>
                <w:lang w:val="ru-RU"/>
              </w:rPr>
              <w:t>что замедляет полноценную</w:t>
            </w:r>
            <w:r w:rsidR="0085376B">
              <w:rPr>
                <w:sz w:val="22"/>
                <w:szCs w:val="20"/>
                <w:lang w:val="ru-RU"/>
              </w:rPr>
              <w:t xml:space="preserve"> интеграци</w:t>
            </w:r>
            <w:r>
              <w:rPr>
                <w:sz w:val="22"/>
                <w:szCs w:val="20"/>
                <w:lang w:val="ru-RU"/>
              </w:rPr>
              <w:t>ю</w:t>
            </w:r>
            <w:r w:rsidR="0085376B">
              <w:rPr>
                <w:sz w:val="22"/>
                <w:szCs w:val="20"/>
                <w:lang w:val="ru-RU"/>
              </w:rPr>
              <w:t xml:space="preserve"> услуг в связи с ВИЧ на уровень ПМСП.</w:t>
            </w:r>
          </w:p>
          <w:p w14:paraId="6C2DCCB4" w14:textId="2936F506" w:rsidR="0085376B" w:rsidRDefault="0085376B" w:rsidP="0085376B">
            <w:pPr>
              <w:pStyle w:val="a1"/>
              <w:jc w:val="both"/>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 xml:space="preserve">Система электронного слежения за случаями ВИЧ, включая мониторинг диагностики и лечения, назначения лечения осуществляется по всей стране в 54 учреждениях ПМСП. В то же время, данная система не предусматривает регистрацию оказания профилактических услуг для ключевых групп, система не установлена в учреждениях исполнения наказаний и не интегрирована в национальную систему </w:t>
            </w:r>
            <w:r w:rsidR="006F2DA0" w:rsidRPr="006F2DA0">
              <w:rPr>
                <w:sz w:val="22"/>
                <w:szCs w:val="20"/>
                <w:lang w:val="ru-RU"/>
              </w:rPr>
              <w:t>межведомственного электронного взаимодействия</w:t>
            </w:r>
            <w:r w:rsidR="006F2DA0">
              <w:rPr>
                <w:sz w:val="22"/>
                <w:szCs w:val="20"/>
                <w:lang w:val="ru-RU"/>
              </w:rPr>
              <w:t xml:space="preserve"> </w:t>
            </w:r>
            <w:r>
              <w:rPr>
                <w:sz w:val="22"/>
                <w:szCs w:val="20"/>
                <w:lang w:val="ru-RU"/>
              </w:rPr>
              <w:t>«Тундук». В 2023 году планируется начало обновления системы</w:t>
            </w:r>
            <w:r w:rsidR="00E40CB1">
              <w:rPr>
                <w:sz w:val="22"/>
                <w:szCs w:val="20"/>
                <w:lang w:val="ru-RU"/>
              </w:rPr>
              <w:t xml:space="preserve"> за счет средств гранта ГФ</w:t>
            </w:r>
            <w:r>
              <w:rPr>
                <w:sz w:val="22"/>
                <w:szCs w:val="20"/>
                <w:lang w:val="ru-RU"/>
              </w:rPr>
              <w:t>, но требуется поддержка данной деятельности в 2024-2025 гг.</w:t>
            </w:r>
          </w:p>
          <w:p w14:paraId="566A9101" w14:textId="6A94FBE8" w:rsidR="0085376B" w:rsidRDefault="0085376B" w:rsidP="0085376B">
            <w:pPr>
              <w:pStyle w:val="a1"/>
              <w:jc w:val="both"/>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В конце 2022 года РЦ «СПИД» преобразован в Республиканский центр по контролю за гемоконтактными вирусными гепатитами и ВИЧ/СПИДом</w:t>
            </w:r>
            <w:r w:rsidR="00A26916">
              <w:rPr>
                <w:rStyle w:val="aff1"/>
                <w:sz w:val="22"/>
                <w:szCs w:val="20"/>
                <w:lang w:val="ru-RU"/>
              </w:rPr>
              <w:footnoteReference w:id="17"/>
            </w:r>
            <w:r>
              <w:rPr>
                <w:sz w:val="22"/>
                <w:szCs w:val="20"/>
                <w:lang w:val="ru-RU"/>
              </w:rPr>
              <w:t>. Разработана новая Программа Кабинета Министров по преодолению эпидемий ВГ и ВИЧ на 2023-2027 гг</w:t>
            </w:r>
            <w:r w:rsidR="00A26916">
              <w:rPr>
                <w:sz w:val="22"/>
                <w:szCs w:val="20"/>
                <w:lang w:val="ru-RU"/>
              </w:rPr>
              <w:t>.</w:t>
            </w:r>
            <w:r w:rsidR="00A26916">
              <w:rPr>
                <w:rStyle w:val="aff1"/>
                <w:sz w:val="22"/>
                <w:szCs w:val="20"/>
                <w:lang w:val="ru-RU"/>
              </w:rPr>
              <w:footnoteReference w:id="18"/>
            </w:r>
            <w:r w:rsidR="00317AB3">
              <w:rPr>
                <w:sz w:val="22"/>
                <w:szCs w:val="20"/>
                <w:lang w:val="ru-RU"/>
              </w:rPr>
              <w:t xml:space="preserve">, однако не разработаны </w:t>
            </w:r>
            <w:r>
              <w:rPr>
                <w:sz w:val="22"/>
                <w:szCs w:val="20"/>
                <w:lang w:val="ru-RU"/>
              </w:rPr>
              <w:t>механизм</w:t>
            </w:r>
            <w:r w:rsidR="00317AB3">
              <w:rPr>
                <w:sz w:val="22"/>
                <w:szCs w:val="20"/>
                <w:lang w:val="ru-RU"/>
              </w:rPr>
              <w:t>ы</w:t>
            </w:r>
            <w:r>
              <w:rPr>
                <w:sz w:val="22"/>
                <w:szCs w:val="20"/>
                <w:lang w:val="ru-RU"/>
              </w:rPr>
              <w:t xml:space="preserve"> оказания услуг в связи с вирусными гепатитами для населения, подверженного риску инфицирования ВГ.</w:t>
            </w:r>
          </w:p>
          <w:p w14:paraId="3DFD5B58" w14:textId="248D192C" w:rsidR="00AD6B37" w:rsidRPr="008B08A2" w:rsidRDefault="0085376B" w:rsidP="000B7073">
            <w:pPr>
              <w:pStyle w:val="a1"/>
              <w:jc w:val="both"/>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Кыргызстан оперативно</w:t>
            </w:r>
            <w:r w:rsidR="00317AB3">
              <w:rPr>
                <w:sz w:val="22"/>
                <w:szCs w:val="20"/>
                <w:lang w:val="ru-RU"/>
              </w:rPr>
              <w:t xml:space="preserve"> </w:t>
            </w:r>
            <w:r>
              <w:rPr>
                <w:sz w:val="22"/>
                <w:szCs w:val="20"/>
                <w:lang w:val="ru-RU"/>
              </w:rPr>
              <w:t xml:space="preserve">осуществляет пересмотр клинических протоколов в связи с ВИЧ и ТБ. </w:t>
            </w:r>
            <w:r w:rsidR="00317AB3">
              <w:rPr>
                <w:sz w:val="22"/>
                <w:szCs w:val="20"/>
                <w:lang w:val="ru-RU"/>
              </w:rPr>
              <w:t>Все еще нуждаются в</w:t>
            </w:r>
            <w:r>
              <w:rPr>
                <w:sz w:val="22"/>
                <w:szCs w:val="20"/>
                <w:lang w:val="ru-RU"/>
              </w:rPr>
              <w:t xml:space="preserve"> обновлени</w:t>
            </w:r>
            <w:r w:rsidR="00317AB3">
              <w:rPr>
                <w:sz w:val="22"/>
                <w:szCs w:val="20"/>
                <w:lang w:val="ru-RU"/>
              </w:rPr>
              <w:t>и</w:t>
            </w:r>
            <w:r>
              <w:rPr>
                <w:sz w:val="22"/>
                <w:szCs w:val="20"/>
                <w:lang w:val="ru-RU"/>
              </w:rPr>
              <w:t xml:space="preserve"> протокол</w:t>
            </w:r>
            <w:r w:rsidR="00317AB3">
              <w:rPr>
                <w:sz w:val="22"/>
                <w:szCs w:val="20"/>
                <w:lang w:val="ru-RU"/>
              </w:rPr>
              <w:t>ы</w:t>
            </w:r>
            <w:r>
              <w:rPr>
                <w:sz w:val="22"/>
                <w:szCs w:val="20"/>
                <w:lang w:val="ru-RU"/>
              </w:rPr>
              <w:t xml:space="preserve"> в связи с ТБ</w:t>
            </w:r>
            <w:r w:rsidR="00317AB3">
              <w:rPr>
                <w:sz w:val="22"/>
                <w:szCs w:val="20"/>
                <w:lang w:val="ru-RU"/>
              </w:rPr>
              <w:t>,</w:t>
            </w:r>
            <w:r>
              <w:rPr>
                <w:sz w:val="22"/>
                <w:szCs w:val="20"/>
                <w:lang w:val="ru-RU"/>
              </w:rPr>
              <w:t xml:space="preserve"> </w:t>
            </w:r>
            <w:r w:rsidR="00317AB3" w:rsidRPr="00317AB3">
              <w:rPr>
                <w:sz w:val="22"/>
                <w:szCs w:val="20"/>
                <w:lang w:val="ru-RU"/>
              </w:rPr>
              <w:t>включая КР/КП на уровне ПСМП, с введением раздела «Активный скрининг ТБ</w:t>
            </w:r>
            <w:r w:rsidR="00317AB3">
              <w:rPr>
                <w:sz w:val="22"/>
                <w:szCs w:val="20"/>
                <w:lang w:val="ru-RU"/>
              </w:rPr>
              <w:t>»</w:t>
            </w:r>
            <w:r w:rsidR="00317AB3" w:rsidRPr="00317AB3">
              <w:rPr>
                <w:sz w:val="22"/>
                <w:szCs w:val="20"/>
                <w:lang w:val="ru-RU"/>
              </w:rPr>
              <w:t>,</w:t>
            </w:r>
            <w:r w:rsidR="00317AB3" w:rsidRPr="00317AB3">
              <w:rPr>
                <w:rFonts w:ascii="Helvetica Neue" w:hAnsi="Helvetica Neue" w:cs="Helvetica Neue"/>
                <w:color w:val="000000"/>
                <w:sz w:val="26"/>
                <w:szCs w:val="26"/>
                <w:lang w:val="ru-RU"/>
              </w:rPr>
              <w:t xml:space="preserve"> </w:t>
            </w:r>
            <w:r>
              <w:rPr>
                <w:sz w:val="22"/>
                <w:szCs w:val="20"/>
                <w:lang w:val="ru-RU"/>
              </w:rPr>
              <w:t>с</w:t>
            </w:r>
            <w:r w:rsidR="00FE3578">
              <w:rPr>
                <w:sz w:val="22"/>
                <w:szCs w:val="20"/>
                <w:lang w:val="ru-RU"/>
              </w:rPr>
              <w:t xml:space="preserve"> включением претоманида</w:t>
            </w:r>
            <w:r w:rsidR="00317AB3">
              <w:rPr>
                <w:sz w:val="22"/>
                <w:szCs w:val="20"/>
                <w:lang w:val="ru-RU"/>
              </w:rPr>
              <w:t xml:space="preserve"> в схемы лечения ЛУ-ТБ;</w:t>
            </w:r>
            <w:r w:rsidR="00FE3578">
              <w:rPr>
                <w:sz w:val="22"/>
                <w:szCs w:val="20"/>
                <w:lang w:val="ru-RU"/>
              </w:rPr>
              <w:t xml:space="preserve"> необходимо расширение возможностей лечения терапии агонистами опиоидов с включением таких препаратов как бупренорфин пролонгированного действия.</w:t>
            </w:r>
          </w:p>
        </w:tc>
      </w:tr>
      <w:tr w:rsidR="00175304" w:rsidRPr="00E7442A" w14:paraId="2E6C9416" w14:textId="77777777" w:rsidTr="00EA6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6D6EB63D" w14:textId="1077EB5F" w:rsidR="00175304" w:rsidRPr="00E7442A" w:rsidRDefault="008B08A2" w:rsidP="00175304">
            <w:pPr>
              <w:pStyle w:val="a1"/>
              <w:rPr>
                <w:lang w:val="ru-RU"/>
              </w:rPr>
            </w:pPr>
            <w:r>
              <w:rPr>
                <w:lang w:val="ru-RU"/>
              </w:rPr>
              <w:lastRenderedPageBreak/>
              <w:t>Запрашиваемая сумма</w:t>
            </w:r>
          </w:p>
        </w:tc>
        <w:tc>
          <w:tcPr>
            <w:tcW w:w="13025" w:type="dxa"/>
          </w:tcPr>
          <w:p w14:paraId="4B5246A2" w14:textId="77777777" w:rsidR="00175304" w:rsidRPr="00E7442A" w:rsidRDefault="00175304" w:rsidP="00175304">
            <w:pPr>
              <w:pStyle w:val="a1"/>
              <w:cnfStyle w:val="000000100000" w:firstRow="0" w:lastRow="0" w:firstColumn="0" w:lastColumn="0" w:oddVBand="0" w:evenVBand="0" w:oddHBand="1" w:evenHBand="0" w:firstRowFirstColumn="0" w:firstRowLastColumn="0" w:lastRowFirstColumn="0" w:lastRowLastColumn="0"/>
              <w:rPr>
                <w:sz w:val="22"/>
                <w:szCs w:val="20"/>
                <w:lang w:val="ru-RU"/>
              </w:rPr>
            </w:pPr>
          </w:p>
        </w:tc>
      </w:tr>
      <w:tr w:rsidR="00175304" w:rsidRPr="00C1580A" w14:paraId="631FDBA8" w14:textId="77777777" w:rsidTr="00EA6D11">
        <w:tc>
          <w:tcPr>
            <w:cnfStyle w:val="001000000000" w:firstRow="0" w:lastRow="0" w:firstColumn="1" w:lastColumn="0" w:oddVBand="0" w:evenVBand="0" w:oddHBand="0" w:evenHBand="0" w:firstRowFirstColumn="0" w:firstRowLastColumn="0" w:lastRowFirstColumn="0" w:lastRowLastColumn="0"/>
            <w:tcW w:w="2138" w:type="dxa"/>
          </w:tcPr>
          <w:p w14:paraId="1679E4AA" w14:textId="26AAC8C8" w:rsidR="00175304" w:rsidRPr="00E7442A" w:rsidRDefault="008B08A2" w:rsidP="00175304">
            <w:pPr>
              <w:pStyle w:val="a1"/>
              <w:rPr>
                <w:lang w:val="ru-RU"/>
              </w:rPr>
            </w:pPr>
            <w:r w:rsidRPr="00A55CBF">
              <w:rPr>
                <w:lang w:val="ru-RU"/>
              </w:rPr>
              <w:t>Ожидаемый результат</w:t>
            </w:r>
          </w:p>
        </w:tc>
        <w:tc>
          <w:tcPr>
            <w:tcW w:w="13025" w:type="dxa"/>
          </w:tcPr>
          <w:p w14:paraId="5D460AF9" w14:textId="56CE8029" w:rsidR="00175304" w:rsidRPr="001E5FFA" w:rsidRDefault="00175304" w:rsidP="000B7073">
            <w:pPr>
              <w:pStyle w:val="a1"/>
              <w:jc w:val="both"/>
              <w:cnfStyle w:val="000000000000" w:firstRow="0" w:lastRow="0" w:firstColumn="0" w:lastColumn="0" w:oddVBand="0" w:evenVBand="0" w:oddHBand="0" w:evenHBand="0" w:firstRowFirstColumn="0" w:firstRowLastColumn="0" w:lastRowFirstColumn="0" w:lastRowLastColumn="0"/>
              <w:rPr>
                <w:sz w:val="22"/>
                <w:szCs w:val="20"/>
                <w:lang w:val="ru-RU"/>
              </w:rPr>
            </w:pPr>
          </w:p>
        </w:tc>
      </w:tr>
    </w:tbl>
    <w:p w14:paraId="2FC19CEF" w14:textId="7C3CA334" w:rsidR="00491E6E" w:rsidRDefault="00491E6E" w:rsidP="00491E6E">
      <w:pPr>
        <w:pStyle w:val="a1"/>
        <w:ind w:left="720"/>
        <w:rPr>
          <w:lang w:val="ru-RU"/>
        </w:rPr>
      </w:pPr>
    </w:p>
    <w:p w14:paraId="6A45362F" w14:textId="168956C5" w:rsidR="00DC7A8E" w:rsidRPr="007E3108" w:rsidRDefault="00491E6E" w:rsidP="007E3108">
      <w:pPr>
        <w:spacing w:after="200"/>
        <w:rPr>
          <w:sz w:val="24"/>
          <w:lang w:val="ru-RU"/>
        </w:rPr>
      </w:pPr>
      <w:r>
        <w:rPr>
          <w:lang w:val="ru-RU"/>
        </w:rPr>
        <w:br w:type="page"/>
      </w:r>
    </w:p>
    <w:tbl>
      <w:tblPr>
        <w:tblStyle w:val="110"/>
        <w:tblpPr w:leftFromText="181" w:rightFromText="181" w:vertAnchor="page" w:horzAnchor="margin" w:tblpY="6253"/>
        <w:tblW w:w="15163" w:type="dxa"/>
        <w:tblLook w:val="04A0" w:firstRow="1" w:lastRow="0" w:firstColumn="1" w:lastColumn="0" w:noHBand="0" w:noVBand="1"/>
      </w:tblPr>
      <w:tblGrid>
        <w:gridCol w:w="2138"/>
        <w:gridCol w:w="13025"/>
      </w:tblGrid>
      <w:tr w:rsidR="00AD6B37" w:rsidRPr="003B68B6" w14:paraId="1DF38D9C" w14:textId="77777777" w:rsidTr="004132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6D6027A9" w14:textId="2316AC69" w:rsidR="00AD6B37" w:rsidRDefault="00AD6B37" w:rsidP="00E868B9">
            <w:pPr>
              <w:pStyle w:val="a1"/>
              <w:widowControl w:val="0"/>
              <w:spacing w:line="240" w:lineRule="auto"/>
            </w:pPr>
            <w:r>
              <w:rPr>
                <w:lang w:val="ru-RU"/>
              </w:rPr>
              <w:lastRenderedPageBreak/>
              <w:t>Модуль №</w:t>
            </w:r>
            <w:r w:rsidR="003B68B6">
              <w:t xml:space="preserve"> 2</w:t>
            </w:r>
          </w:p>
        </w:tc>
        <w:tc>
          <w:tcPr>
            <w:tcW w:w="13036" w:type="dxa"/>
          </w:tcPr>
          <w:p w14:paraId="1CDE79CE" w14:textId="5D26595E" w:rsidR="00AD6B37" w:rsidRPr="003B68B6" w:rsidRDefault="00F1658B" w:rsidP="00E868B9">
            <w:pPr>
              <w:pStyle w:val="a1"/>
              <w:widowControl w:val="0"/>
              <w:spacing w:line="240" w:lineRule="auto"/>
              <w:cnfStyle w:val="100000000000" w:firstRow="1" w:lastRow="0" w:firstColumn="0" w:lastColumn="0" w:oddVBand="0" w:evenVBand="0" w:oddHBand="0" w:evenHBand="0" w:firstRowFirstColumn="0" w:firstRowLastColumn="0" w:lastRowFirstColumn="0" w:lastRowLastColumn="0"/>
              <w:rPr>
                <w:lang w:val="ru-RU"/>
              </w:rPr>
            </w:pPr>
            <w:r w:rsidRPr="005131FA">
              <w:rPr>
                <w:szCs w:val="24"/>
              </w:rPr>
              <w:t>RS</w:t>
            </w:r>
            <w:r w:rsidR="00E927B9">
              <w:rPr>
                <w:szCs w:val="24"/>
              </w:rPr>
              <w:t>SH: Укрепление систем сообществ</w:t>
            </w:r>
          </w:p>
        </w:tc>
      </w:tr>
      <w:tr w:rsidR="00AD6B37" w:rsidRPr="00A26916" w14:paraId="099FB133" w14:textId="77777777" w:rsidTr="004132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238C4EDF" w14:textId="7D57469B" w:rsidR="00AD6B37" w:rsidRDefault="00246DFA" w:rsidP="00E868B9">
            <w:pPr>
              <w:pStyle w:val="a1"/>
              <w:widowControl w:val="0"/>
              <w:spacing w:line="240" w:lineRule="auto"/>
            </w:pPr>
            <w:r>
              <w:rPr>
                <w:lang w:val="ru-RU"/>
              </w:rPr>
              <w:t>Вмешательства</w:t>
            </w:r>
          </w:p>
        </w:tc>
        <w:tc>
          <w:tcPr>
            <w:tcW w:w="13036" w:type="dxa"/>
          </w:tcPr>
          <w:p w14:paraId="43FAAE52" w14:textId="76431F90" w:rsidR="000228D9" w:rsidRPr="000228D9" w:rsidRDefault="000228D9" w:rsidP="00E868B9">
            <w:pPr>
              <w:pStyle w:val="a1"/>
              <w:widowControl w:val="0"/>
              <w:spacing w:line="240" w:lineRule="auto"/>
              <w:cnfStyle w:val="000000100000" w:firstRow="0" w:lastRow="0" w:firstColumn="0" w:lastColumn="0" w:oddVBand="0" w:evenVBand="0" w:oddHBand="1" w:evenHBand="0" w:firstRowFirstColumn="0" w:firstRowLastColumn="0" w:lastRowFirstColumn="0" w:lastRowLastColumn="0"/>
              <w:rPr>
                <w:b/>
                <w:sz w:val="22"/>
                <w:szCs w:val="20"/>
                <w:lang w:val="ru-RU"/>
              </w:rPr>
            </w:pPr>
            <w:r w:rsidRPr="000228D9">
              <w:rPr>
                <w:b/>
                <w:sz w:val="22"/>
                <w:szCs w:val="20"/>
                <w:lang w:val="ru-RU"/>
              </w:rPr>
              <w:t>Мониторинг под руководством сообщества</w:t>
            </w:r>
          </w:p>
          <w:p w14:paraId="310474D8" w14:textId="1BBFCF21" w:rsidR="000228D9" w:rsidRDefault="000D13E5" w:rsidP="007E6536">
            <w:pPr>
              <w:pStyle w:val="a1"/>
              <w:widowControl w:val="0"/>
              <w:spacing w:line="240" w:lineRule="auto"/>
              <w:jc w:val="both"/>
              <w:cnfStyle w:val="000000100000" w:firstRow="0" w:lastRow="0" w:firstColumn="0" w:lastColumn="0" w:oddVBand="0" w:evenVBand="0" w:oddHBand="1" w:evenHBand="0" w:firstRowFirstColumn="0" w:firstRowLastColumn="0" w:lastRowFirstColumn="0" w:lastRowLastColumn="0"/>
              <w:rPr>
                <w:sz w:val="22"/>
                <w:szCs w:val="20"/>
                <w:lang w:val="ru-RU"/>
              </w:rPr>
            </w:pPr>
            <w:r>
              <w:rPr>
                <w:sz w:val="22"/>
                <w:szCs w:val="20"/>
                <w:lang w:val="ru-RU"/>
              </w:rPr>
              <w:t xml:space="preserve">Гражданский сектор, осуществляющий свою деятельность в сфере ВИЧ и ТБ, на протяжении нескольких лет </w:t>
            </w:r>
            <w:r w:rsidR="00D80382">
              <w:rPr>
                <w:sz w:val="22"/>
                <w:szCs w:val="20"/>
                <w:lang w:val="ru-RU"/>
              </w:rPr>
              <w:t>осуществляет мониторинг программ</w:t>
            </w:r>
            <w:r>
              <w:rPr>
                <w:sz w:val="22"/>
                <w:szCs w:val="20"/>
                <w:lang w:val="ru-RU"/>
              </w:rPr>
              <w:t xml:space="preserve"> с использованием </w:t>
            </w:r>
            <w:r w:rsidRPr="000D13E5">
              <w:rPr>
                <w:sz w:val="22"/>
                <w:szCs w:val="20"/>
                <w:lang w:val="ru-RU"/>
              </w:rPr>
              <w:t xml:space="preserve">электронных </w:t>
            </w:r>
            <w:r w:rsidR="00CC6F34">
              <w:rPr>
                <w:sz w:val="22"/>
                <w:szCs w:val="20"/>
                <w:lang w:val="ru-RU"/>
              </w:rPr>
              <w:t xml:space="preserve">систем документирования нарушения прав </w:t>
            </w:r>
            <w:r w:rsidR="00CC6F34">
              <w:rPr>
                <w:sz w:val="22"/>
                <w:szCs w:val="20"/>
                <w:lang w:val="en-US"/>
              </w:rPr>
              <w:t>REAct</w:t>
            </w:r>
            <w:r w:rsidR="00CC6F34">
              <w:rPr>
                <w:sz w:val="22"/>
                <w:szCs w:val="20"/>
                <w:lang w:val="ru-RU"/>
              </w:rPr>
              <w:t>,</w:t>
            </w:r>
            <w:r w:rsidR="00CC6F34" w:rsidRPr="009D6854">
              <w:rPr>
                <w:sz w:val="22"/>
                <w:szCs w:val="20"/>
                <w:lang w:val="ru-RU"/>
              </w:rPr>
              <w:t xml:space="preserve"> </w:t>
            </w:r>
            <w:r w:rsidR="00CC6F34">
              <w:rPr>
                <w:sz w:val="22"/>
                <w:szCs w:val="20"/>
                <w:lang w:val="en-US"/>
              </w:rPr>
              <w:t>OneImpact</w:t>
            </w:r>
            <w:r w:rsidR="00CC6F34" w:rsidRPr="009D6854">
              <w:rPr>
                <w:sz w:val="22"/>
                <w:szCs w:val="20"/>
                <w:lang w:val="ru-RU"/>
              </w:rPr>
              <w:t>,</w:t>
            </w:r>
            <w:r w:rsidR="00CC6F34">
              <w:rPr>
                <w:sz w:val="22"/>
                <w:szCs w:val="20"/>
                <w:lang w:val="ru-RU"/>
              </w:rPr>
              <w:t xml:space="preserve"> системы сбора жалоб о предоставлении лекарств и проведении диагностики через </w:t>
            </w:r>
            <w:r w:rsidR="00CC6F34">
              <w:rPr>
                <w:sz w:val="22"/>
                <w:szCs w:val="20"/>
                <w:lang w:val="en-US"/>
              </w:rPr>
              <w:t>pereboi</w:t>
            </w:r>
            <w:r w:rsidR="00CC6F34" w:rsidRPr="009D6854">
              <w:rPr>
                <w:sz w:val="22"/>
                <w:szCs w:val="20"/>
                <w:lang w:val="ru-RU"/>
              </w:rPr>
              <w:t>.</w:t>
            </w:r>
            <w:r w:rsidR="00CC6F34">
              <w:rPr>
                <w:sz w:val="22"/>
                <w:szCs w:val="20"/>
                <w:lang w:val="en-US"/>
              </w:rPr>
              <w:t>kg</w:t>
            </w:r>
            <w:r w:rsidR="00CC6F34" w:rsidRPr="009D6854">
              <w:rPr>
                <w:sz w:val="22"/>
                <w:szCs w:val="20"/>
                <w:lang w:val="ru-RU"/>
              </w:rPr>
              <w:t xml:space="preserve"> </w:t>
            </w:r>
            <w:r w:rsidR="00CC6F34">
              <w:rPr>
                <w:sz w:val="22"/>
                <w:szCs w:val="20"/>
                <w:lang w:val="ru-RU"/>
              </w:rPr>
              <w:t xml:space="preserve">позволило усилить мониторинг соблюдения прав ключевых групп. При поддержке ЮНИТЕЙД ассоциацией «Партнерская сеть» на протяжении нескольких лет проводится мониторинг закупок АРВ-препаратов, приобретаемых как за счет государственных средств, так и за счет средств ГФ. </w:t>
            </w:r>
            <w:r>
              <w:rPr>
                <w:sz w:val="22"/>
                <w:szCs w:val="20"/>
                <w:lang w:val="ru-RU"/>
              </w:rPr>
              <w:t>Стоимость лечения ВИЧ снизилась до менее 100</w:t>
            </w:r>
            <w:r w:rsidRPr="000D13E5">
              <w:rPr>
                <w:sz w:val="22"/>
                <w:szCs w:val="20"/>
                <w:lang w:val="ru-RU"/>
              </w:rPr>
              <w:t>$</w:t>
            </w:r>
            <w:r>
              <w:rPr>
                <w:sz w:val="22"/>
                <w:szCs w:val="20"/>
                <w:lang w:val="ru-RU"/>
              </w:rPr>
              <w:t xml:space="preserve"> в год на одного ЛЖВ, проекты Программ Правительства в сфере ВИЧ и ТБ на 2023-2027 гг. включают широкий набор мероприятий по расширению участия сообществ в проведении мониторинга. Реализуется межведомственный рабочий план по преодолению правовых барьеров в связи с ВИЧ и ТБ</w:t>
            </w:r>
            <w:r w:rsidR="00C40D24">
              <w:rPr>
                <w:rStyle w:val="aff1"/>
                <w:sz w:val="22"/>
                <w:szCs w:val="20"/>
                <w:lang w:val="ru-RU"/>
              </w:rPr>
              <w:footnoteReference w:id="19"/>
            </w:r>
            <w:r>
              <w:rPr>
                <w:sz w:val="22"/>
                <w:szCs w:val="20"/>
                <w:lang w:val="ru-RU"/>
              </w:rPr>
              <w:t xml:space="preserve">, предусматривающий возможности мониторинга соблюдения прав ключевых групп населения. </w:t>
            </w:r>
          </w:p>
          <w:p w14:paraId="336D2DCA" w14:textId="4D9FB869" w:rsidR="00CC6F34" w:rsidRDefault="00CC6F34" w:rsidP="00E868B9">
            <w:pPr>
              <w:pStyle w:val="a1"/>
              <w:widowControl w:val="0"/>
              <w:spacing w:line="240" w:lineRule="auto"/>
              <w:jc w:val="both"/>
              <w:cnfStyle w:val="000000100000" w:firstRow="0" w:lastRow="0" w:firstColumn="0" w:lastColumn="0" w:oddVBand="0" w:evenVBand="0" w:oddHBand="1" w:evenHBand="0" w:firstRowFirstColumn="0" w:firstRowLastColumn="0" w:lastRowFirstColumn="0" w:lastRowLastColumn="0"/>
              <w:rPr>
                <w:sz w:val="22"/>
                <w:szCs w:val="20"/>
                <w:lang w:val="ru-RU"/>
              </w:rPr>
            </w:pPr>
            <w:r>
              <w:rPr>
                <w:sz w:val="22"/>
                <w:szCs w:val="20"/>
                <w:lang w:val="ru-RU"/>
              </w:rPr>
              <w:t xml:space="preserve">В 2022 году при поддержке </w:t>
            </w:r>
            <w:r w:rsidRPr="00E868B9">
              <w:rPr>
                <w:sz w:val="22"/>
                <w:szCs w:val="20"/>
                <w:lang w:val="ru-RU"/>
              </w:rPr>
              <w:t>HAC</w:t>
            </w:r>
            <w:r w:rsidRPr="00846B85">
              <w:rPr>
                <w:sz w:val="22"/>
                <w:szCs w:val="20"/>
                <w:lang w:val="ru-RU"/>
              </w:rPr>
              <w:t xml:space="preserve"> </w:t>
            </w:r>
            <w:r>
              <w:rPr>
                <w:sz w:val="22"/>
                <w:szCs w:val="20"/>
                <w:lang w:val="ru-RU"/>
              </w:rPr>
              <w:t xml:space="preserve">было проведение картирование активностей </w:t>
            </w:r>
            <w:r w:rsidRPr="00E868B9">
              <w:rPr>
                <w:sz w:val="22"/>
                <w:szCs w:val="20"/>
                <w:lang w:val="ru-RU"/>
              </w:rPr>
              <w:t>CLM</w:t>
            </w:r>
            <w:r w:rsidR="00E175EC">
              <w:rPr>
                <w:rStyle w:val="aff1"/>
                <w:sz w:val="22"/>
                <w:szCs w:val="20"/>
                <w:lang w:val="ru-RU"/>
              </w:rPr>
              <w:footnoteReference w:id="20"/>
            </w:r>
            <w:r>
              <w:rPr>
                <w:sz w:val="22"/>
                <w:szCs w:val="20"/>
                <w:lang w:val="ru-RU"/>
              </w:rPr>
              <w:t xml:space="preserve"> в странах региона, в том числе в Кыргызстане и предложены рекомендации по расширению </w:t>
            </w:r>
            <w:r w:rsidRPr="00E868B9">
              <w:rPr>
                <w:sz w:val="22"/>
                <w:szCs w:val="20"/>
                <w:lang w:val="ru-RU"/>
              </w:rPr>
              <w:t>CLM</w:t>
            </w:r>
            <w:r w:rsidRPr="00846B85">
              <w:rPr>
                <w:sz w:val="22"/>
                <w:szCs w:val="20"/>
                <w:lang w:val="ru-RU"/>
              </w:rPr>
              <w:t xml:space="preserve"> </w:t>
            </w:r>
            <w:r>
              <w:rPr>
                <w:sz w:val="22"/>
                <w:szCs w:val="20"/>
                <w:lang w:val="ru-RU"/>
              </w:rPr>
              <w:t xml:space="preserve">в Кыргызстане. </w:t>
            </w:r>
            <w:r w:rsidR="00E868B9">
              <w:rPr>
                <w:sz w:val="22"/>
                <w:szCs w:val="20"/>
                <w:lang w:val="ru-RU"/>
              </w:rPr>
              <w:t>В конце 2022 года была проведена оценка хода реализации программы Инициативы</w:t>
            </w:r>
            <w:r w:rsidR="00E868B9" w:rsidRPr="00185803">
              <w:rPr>
                <w:sz w:val="22"/>
                <w:szCs w:val="20"/>
                <w:lang w:val="ru-RU"/>
              </w:rPr>
              <w:t xml:space="preserve"> Глобального фонда "Преодолевая Барьеры”</w:t>
            </w:r>
            <w:r w:rsidR="00E868B9">
              <w:rPr>
                <w:sz w:val="22"/>
                <w:szCs w:val="20"/>
                <w:lang w:val="ru-RU"/>
              </w:rPr>
              <w:t xml:space="preserve"> в Кыргызстане</w:t>
            </w:r>
            <w:r w:rsidR="00E175EC">
              <w:rPr>
                <w:rStyle w:val="aff1"/>
                <w:sz w:val="22"/>
                <w:szCs w:val="20"/>
                <w:lang w:val="ru-RU"/>
              </w:rPr>
              <w:footnoteReference w:id="21"/>
            </w:r>
            <w:r w:rsidR="00E868B9">
              <w:rPr>
                <w:sz w:val="22"/>
                <w:szCs w:val="20"/>
                <w:lang w:val="ru-RU"/>
              </w:rPr>
              <w:t>, в которой отмечена необходимость усиления вовлечения сообществ, в том числе в программы по мониторингу, действий по</w:t>
            </w:r>
            <w:r w:rsidR="00E868B9" w:rsidRPr="00E868B9">
              <w:rPr>
                <w:sz w:val="22"/>
                <w:szCs w:val="20"/>
                <w:lang w:val="ru-RU"/>
              </w:rPr>
              <w:t xml:space="preserve"> </w:t>
            </w:r>
            <w:r w:rsidR="00E868B9">
              <w:rPr>
                <w:sz w:val="22"/>
                <w:szCs w:val="20"/>
                <w:lang w:val="ru-RU"/>
              </w:rPr>
              <w:t>м</w:t>
            </w:r>
            <w:r w:rsidR="00E868B9" w:rsidRPr="00185803">
              <w:rPr>
                <w:sz w:val="22"/>
                <w:szCs w:val="20"/>
                <w:lang w:val="ru-RU"/>
              </w:rPr>
              <w:t>ониторинг</w:t>
            </w:r>
            <w:r w:rsidR="00E868B9">
              <w:rPr>
                <w:sz w:val="22"/>
                <w:szCs w:val="20"/>
                <w:lang w:val="ru-RU"/>
              </w:rPr>
              <w:t xml:space="preserve">у уровней стигмы и дискриминации, использования </w:t>
            </w:r>
            <w:r w:rsidR="00E868B9" w:rsidRPr="00E868B9">
              <w:rPr>
                <w:sz w:val="22"/>
                <w:szCs w:val="20"/>
                <w:lang w:val="ru-RU"/>
              </w:rPr>
              <w:t>CLM</w:t>
            </w:r>
            <w:r w:rsidR="00E868B9" w:rsidRPr="00185803">
              <w:rPr>
                <w:sz w:val="22"/>
                <w:szCs w:val="20"/>
                <w:lang w:val="ru-RU"/>
              </w:rPr>
              <w:t xml:space="preserve"> для информирования о подготовке медицинских работников и политике </w:t>
            </w:r>
            <w:r w:rsidR="00E868B9">
              <w:rPr>
                <w:sz w:val="22"/>
                <w:szCs w:val="20"/>
                <w:lang w:val="ru-RU"/>
              </w:rPr>
              <w:t xml:space="preserve">и т.д. </w:t>
            </w:r>
            <w:r>
              <w:rPr>
                <w:sz w:val="22"/>
                <w:szCs w:val="20"/>
                <w:lang w:val="ru-RU"/>
              </w:rPr>
              <w:t xml:space="preserve">Кыргызстан осуществлял реализацию компонента по преодолению правовых барьеров в рамках гранта ГФ, где были предусмотрены ряд активностей по мониторингу силами сообществ, включая рутинный мониторинг качества услуг для ЛЖВ и ключевых групп населения, опросы получателей услуг в связи с ВИЧ и ТБ, проводимых сетями, мониторинг государственных закупок в сфере ВИЧ и ТБ. При поддержке различных партнеров </w:t>
            </w:r>
            <w:r w:rsidRPr="00E868B9">
              <w:rPr>
                <w:sz w:val="22"/>
                <w:szCs w:val="20"/>
                <w:lang w:val="ru-RU"/>
              </w:rPr>
              <w:t>CLM</w:t>
            </w:r>
            <w:r w:rsidRPr="00846B85">
              <w:rPr>
                <w:sz w:val="22"/>
                <w:szCs w:val="20"/>
                <w:lang w:val="ru-RU"/>
              </w:rPr>
              <w:t xml:space="preserve"> </w:t>
            </w:r>
            <w:r>
              <w:rPr>
                <w:sz w:val="22"/>
                <w:szCs w:val="20"/>
                <w:lang w:val="ru-RU"/>
              </w:rPr>
              <w:t xml:space="preserve">в последние годы осуществляются также различные мероприятия в сфере </w:t>
            </w:r>
            <w:r w:rsidRPr="00E868B9">
              <w:rPr>
                <w:sz w:val="22"/>
                <w:szCs w:val="20"/>
                <w:lang w:val="ru-RU"/>
              </w:rPr>
              <w:t>CLM</w:t>
            </w:r>
            <w:r>
              <w:rPr>
                <w:sz w:val="22"/>
                <w:szCs w:val="20"/>
                <w:lang w:val="ru-RU"/>
              </w:rPr>
              <w:t xml:space="preserve">. ЮСАИД поддерживает проведение мониторинга силами сообществ для оценки и улучшения качества услуг в приоритетных сайтах проектов </w:t>
            </w:r>
            <w:r w:rsidRPr="00E868B9">
              <w:rPr>
                <w:sz w:val="22"/>
                <w:szCs w:val="20"/>
                <w:lang w:val="ru-RU"/>
              </w:rPr>
              <w:t>EPIC</w:t>
            </w:r>
            <w:r>
              <w:rPr>
                <w:sz w:val="22"/>
                <w:szCs w:val="20"/>
                <w:lang w:val="ru-RU"/>
              </w:rPr>
              <w:t xml:space="preserve">, </w:t>
            </w:r>
            <w:r w:rsidRPr="00E868B9">
              <w:rPr>
                <w:sz w:val="22"/>
                <w:szCs w:val="20"/>
                <w:lang w:val="ru-RU"/>
              </w:rPr>
              <w:t>CDC</w:t>
            </w:r>
            <w:r>
              <w:rPr>
                <w:sz w:val="22"/>
                <w:szCs w:val="20"/>
                <w:lang w:val="ru-RU"/>
              </w:rPr>
              <w:t>.</w:t>
            </w:r>
            <w:r w:rsidR="00E868B9">
              <w:rPr>
                <w:sz w:val="22"/>
                <w:szCs w:val="20"/>
                <w:lang w:val="ru-RU"/>
              </w:rPr>
              <w:t xml:space="preserve"> </w:t>
            </w:r>
          </w:p>
          <w:p w14:paraId="15A6769C" w14:textId="0BAB7BBD" w:rsidR="00CC6F34" w:rsidRDefault="00CC6F34" w:rsidP="00E868B9">
            <w:pPr>
              <w:pStyle w:val="a1"/>
              <w:widowControl w:val="0"/>
              <w:spacing w:line="240" w:lineRule="auto"/>
              <w:jc w:val="both"/>
              <w:cnfStyle w:val="000000100000" w:firstRow="0" w:lastRow="0" w:firstColumn="0" w:lastColumn="0" w:oddVBand="0" w:evenVBand="0" w:oddHBand="1" w:evenHBand="0" w:firstRowFirstColumn="0" w:firstRowLastColumn="0" w:lastRowFirstColumn="0" w:lastRowLastColumn="0"/>
              <w:rPr>
                <w:sz w:val="22"/>
                <w:szCs w:val="20"/>
                <w:lang w:val="ru-RU"/>
              </w:rPr>
            </w:pPr>
            <w:r>
              <w:rPr>
                <w:sz w:val="22"/>
                <w:szCs w:val="20"/>
                <w:lang w:val="ru-RU"/>
              </w:rPr>
              <w:t xml:space="preserve">В рамках нового гранта ГФ планируется </w:t>
            </w:r>
            <w:r w:rsidRPr="007E6536">
              <w:rPr>
                <w:b/>
                <w:bCs/>
                <w:sz w:val="22"/>
                <w:szCs w:val="20"/>
                <w:lang w:val="ru-RU"/>
              </w:rPr>
              <w:t>поддержка электронных систем документирования нарушения прав</w:t>
            </w:r>
            <w:r>
              <w:rPr>
                <w:sz w:val="22"/>
                <w:szCs w:val="20"/>
                <w:lang w:val="ru-RU"/>
              </w:rPr>
              <w:t xml:space="preserve"> </w:t>
            </w:r>
            <w:r>
              <w:rPr>
                <w:sz w:val="22"/>
                <w:szCs w:val="20"/>
                <w:lang w:val="en-US"/>
              </w:rPr>
              <w:t>REAct</w:t>
            </w:r>
            <w:r w:rsidRPr="00F1658B">
              <w:rPr>
                <w:sz w:val="22"/>
                <w:szCs w:val="20"/>
                <w:lang w:val="ru-RU"/>
              </w:rPr>
              <w:t xml:space="preserve">, </w:t>
            </w:r>
            <w:r>
              <w:rPr>
                <w:sz w:val="22"/>
                <w:szCs w:val="20"/>
                <w:lang w:val="en-US"/>
              </w:rPr>
              <w:lastRenderedPageBreak/>
              <w:t>OneImpact</w:t>
            </w:r>
            <w:r>
              <w:rPr>
                <w:sz w:val="22"/>
                <w:szCs w:val="20"/>
                <w:lang w:val="ru-RU"/>
              </w:rPr>
              <w:t xml:space="preserve">, pereboi.kg и проведение регулярного мониторинга закупок. Результаты мониторинга будут представляться на регулярной основе на площадках высокого уровня, включая СКК, заседания Кабинета Министров, межсекторальных платформах. Сообществам </w:t>
            </w:r>
            <w:r w:rsidRPr="005F3500">
              <w:rPr>
                <w:sz w:val="22"/>
                <w:szCs w:val="20"/>
                <w:lang w:val="ru-RU"/>
              </w:rPr>
              <w:t>и лиц</w:t>
            </w:r>
            <w:r>
              <w:rPr>
                <w:sz w:val="22"/>
                <w:szCs w:val="20"/>
                <w:lang w:val="ru-RU"/>
              </w:rPr>
              <w:t>ам, принимающие</w:t>
            </w:r>
            <w:r w:rsidRPr="005F3500">
              <w:rPr>
                <w:sz w:val="22"/>
                <w:szCs w:val="20"/>
                <w:lang w:val="ru-RU"/>
              </w:rPr>
              <w:t xml:space="preserve"> решения</w:t>
            </w:r>
            <w:r>
              <w:rPr>
                <w:sz w:val="22"/>
                <w:szCs w:val="20"/>
                <w:lang w:val="ru-RU"/>
              </w:rPr>
              <w:t>,</w:t>
            </w:r>
            <w:r w:rsidRPr="005F3500">
              <w:rPr>
                <w:sz w:val="22"/>
                <w:szCs w:val="20"/>
                <w:lang w:val="ru-RU"/>
              </w:rPr>
              <w:t xml:space="preserve"> </w:t>
            </w:r>
            <w:r>
              <w:rPr>
                <w:sz w:val="22"/>
                <w:szCs w:val="20"/>
                <w:lang w:val="ru-RU"/>
              </w:rPr>
              <w:t xml:space="preserve">будет проведено </w:t>
            </w:r>
            <w:r w:rsidRPr="007E6536">
              <w:rPr>
                <w:b/>
                <w:bCs/>
                <w:sz w:val="22"/>
                <w:szCs w:val="20"/>
                <w:lang w:val="ru-RU"/>
              </w:rPr>
              <w:t>обучение для повышения потенциала по сбору данных, анализу и использованию результатов мониторинга для обоснования принятия программных решений и защиты интересов.</w:t>
            </w:r>
            <w:r w:rsidR="00E868B9">
              <w:rPr>
                <w:b/>
                <w:bCs/>
                <w:sz w:val="22"/>
                <w:szCs w:val="20"/>
                <w:lang w:val="ru-RU"/>
              </w:rPr>
              <w:t xml:space="preserve"> </w:t>
            </w:r>
            <w:r w:rsidR="00E868B9">
              <w:rPr>
                <w:sz w:val="22"/>
                <w:szCs w:val="20"/>
                <w:lang w:val="ru-RU"/>
              </w:rPr>
              <w:t xml:space="preserve"> В целом, деятельность по </w:t>
            </w:r>
            <w:r w:rsidR="00E868B9">
              <w:rPr>
                <w:sz w:val="22"/>
                <w:szCs w:val="20"/>
                <w:lang w:val="en-US"/>
              </w:rPr>
              <w:t>CLM</w:t>
            </w:r>
            <w:r w:rsidR="00E868B9">
              <w:rPr>
                <w:sz w:val="22"/>
                <w:szCs w:val="20"/>
                <w:lang w:val="ru-RU"/>
              </w:rPr>
              <w:t>, расширению участия сообществ будет нацелена на то, чтобы результаты мониторинга, исследований применялись для улучшения ситуации в сфере оказания услуг в связи с ВИЧ и ТБ, формированию благоприятной среды и ликвидации всех форм стигмы и дискриминации.</w:t>
            </w:r>
          </w:p>
          <w:p w14:paraId="3C8E4D6F" w14:textId="77777777" w:rsidR="00E02F9A" w:rsidRDefault="00E02F9A" w:rsidP="00E868B9">
            <w:pPr>
              <w:pStyle w:val="a1"/>
              <w:widowControl w:val="0"/>
              <w:spacing w:line="240" w:lineRule="auto"/>
              <w:cnfStyle w:val="000000100000" w:firstRow="0" w:lastRow="0" w:firstColumn="0" w:lastColumn="0" w:oddVBand="0" w:evenVBand="0" w:oddHBand="1" w:evenHBand="0" w:firstRowFirstColumn="0" w:firstRowLastColumn="0" w:lastRowFirstColumn="0" w:lastRowLastColumn="0"/>
              <w:rPr>
                <w:b/>
                <w:sz w:val="22"/>
                <w:szCs w:val="20"/>
                <w:lang w:val="ru-RU"/>
              </w:rPr>
            </w:pPr>
          </w:p>
          <w:p w14:paraId="598C18EB" w14:textId="583D23AB" w:rsidR="000228D9" w:rsidRPr="000228D9" w:rsidRDefault="000228D9" w:rsidP="00E868B9">
            <w:pPr>
              <w:pStyle w:val="a1"/>
              <w:widowControl w:val="0"/>
              <w:spacing w:line="240" w:lineRule="auto"/>
              <w:cnfStyle w:val="000000100000" w:firstRow="0" w:lastRow="0" w:firstColumn="0" w:lastColumn="0" w:oddVBand="0" w:evenVBand="0" w:oddHBand="1" w:evenHBand="0" w:firstRowFirstColumn="0" w:firstRowLastColumn="0" w:lastRowFirstColumn="0" w:lastRowLastColumn="0"/>
              <w:rPr>
                <w:b/>
                <w:sz w:val="22"/>
                <w:szCs w:val="20"/>
                <w:lang w:val="ru-RU"/>
              </w:rPr>
            </w:pPr>
            <w:r w:rsidRPr="000228D9">
              <w:rPr>
                <w:b/>
                <w:sz w:val="22"/>
                <w:szCs w:val="20"/>
                <w:lang w:val="ru-RU"/>
              </w:rPr>
              <w:t>Исследования и защита интересов сообщества</w:t>
            </w:r>
          </w:p>
          <w:p w14:paraId="1E59CFAC" w14:textId="2285D62A" w:rsidR="00D80382" w:rsidRPr="00CC6F34" w:rsidRDefault="00ED2B6E" w:rsidP="00E868B9">
            <w:pPr>
              <w:pStyle w:val="a1"/>
              <w:widowControl w:val="0"/>
              <w:spacing w:line="240" w:lineRule="auto"/>
              <w:jc w:val="both"/>
              <w:cnfStyle w:val="000000100000" w:firstRow="0" w:lastRow="0" w:firstColumn="0" w:lastColumn="0" w:oddVBand="0" w:evenVBand="0" w:oddHBand="1" w:evenHBand="0" w:firstRowFirstColumn="0" w:firstRowLastColumn="0" w:lastRowFirstColumn="0" w:lastRowLastColumn="0"/>
              <w:rPr>
                <w:sz w:val="22"/>
                <w:szCs w:val="20"/>
                <w:lang w:val="ru-RU"/>
              </w:rPr>
            </w:pPr>
            <w:r w:rsidRPr="00CC6F34">
              <w:rPr>
                <w:sz w:val="22"/>
                <w:szCs w:val="20"/>
                <w:lang w:val="ru-RU"/>
              </w:rPr>
              <w:t>Изменение наркосцены, переход оказания секс-услуг и предложения наркотиков через интернет с использованием социальных сетей привели к активным дискуссиям</w:t>
            </w:r>
            <w:r w:rsidR="00D80382" w:rsidRPr="00CC6F34">
              <w:rPr>
                <w:sz w:val="22"/>
                <w:szCs w:val="20"/>
                <w:lang w:val="ru-RU"/>
              </w:rPr>
              <w:t xml:space="preserve"> </w:t>
            </w:r>
            <w:r w:rsidRPr="00CC6F34">
              <w:rPr>
                <w:sz w:val="22"/>
                <w:szCs w:val="20"/>
                <w:lang w:val="ru-RU"/>
              </w:rPr>
              <w:t>о</w:t>
            </w:r>
            <w:r w:rsidR="00D80382" w:rsidRPr="00CC6F34">
              <w:rPr>
                <w:sz w:val="22"/>
                <w:szCs w:val="20"/>
                <w:lang w:val="ru-RU"/>
              </w:rPr>
              <w:t xml:space="preserve"> численности ключевых групп, необходимости </w:t>
            </w:r>
            <w:r w:rsidR="00E1795C" w:rsidRPr="00CC6F34">
              <w:rPr>
                <w:sz w:val="22"/>
                <w:szCs w:val="20"/>
                <w:lang w:val="ru-RU"/>
              </w:rPr>
              <w:t>получения доступа</w:t>
            </w:r>
            <w:r w:rsidR="00D80382" w:rsidRPr="00CC6F34">
              <w:rPr>
                <w:sz w:val="22"/>
                <w:szCs w:val="20"/>
                <w:lang w:val="ru-RU"/>
              </w:rPr>
              <w:t xml:space="preserve"> в ранее недоступные группы, изменении подходов</w:t>
            </w:r>
            <w:r w:rsidRPr="00CC6F34">
              <w:rPr>
                <w:sz w:val="22"/>
                <w:szCs w:val="20"/>
                <w:lang w:val="ru-RU"/>
              </w:rPr>
              <w:t xml:space="preserve"> в достижении целей первых 95. В данном контексте</w:t>
            </w:r>
            <w:r w:rsidR="00D80382" w:rsidRPr="00CC6F34">
              <w:rPr>
                <w:sz w:val="22"/>
                <w:szCs w:val="20"/>
                <w:lang w:val="ru-RU"/>
              </w:rPr>
              <w:t xml:space="preserve"> нал</w:t>
            </w:r>
            <w:r w:rsidRPr="00CC6F34">
              <w:rPr>
                <w:sz w:val="22"/>
                <w:szCs w:val="20"/>
                <w:lang w:val="ru-RU"/>
              </w:rPr>
              <w:t>ичие достоверных данных позволит</w:t>
            </w:r>
            <w:r w:rsidR="00D80382" w:rsidRPr="00CC6F34">
              <w:rPr>
                <w:sz w:val="22"/>
                <w:szCs w:val="20"/>
                <w:lang w:val="ru-RU"/>
              </w:rPr>
              <w:t xml:space="preserve"> рационально планировать и осуществлять интервенции в отношении ключевых групп.</w:t>
            </w:r>
            <w:r w:rsidR="005F7C81" w:rsidRPr="00CC6F34">
              <w:rPr>
                <w:sz w:val="22"/>
                <w:szCs w:val="20"/>
                <w:lang w:val="ru-RU"/>
              </w:rPr>
              <w:t xml:space="preserve"> В 2023 году завершится БПИ среди секс-работников и трансгендерных людей. В рамках нового гранта в 2024 году планируется</w:t>
            </w:r>
            <w:r w:rsidR="00E1795C" w:rsidRPr="00CC6F34">
              <w:rPr>
                <w:sz w:val="22"/>
                <w:szCs w:val="20"/>
                <w:lang w:val="ru-RU"/>
              </w:rPr>
              <w:t xml:space="preserve"> (совместно с CDC)</w:t>
            </w:r>
            <w:r w:rsidR="005F7C81" w:rsidRPr="00CC6F34">
              <w:rPr>
                <w:sz w:val="22"/>
                <w:szCs w:val="20"/>
                <w:lang w:val="ru-RU"/>
              </w:rPr>
              <w:t xml:space="preserve"> </w:t>
            </w:r>
            <w:r w:rsidR="005F7C81" w:rsidRPr="007E6536">
              <w:rPr>
                <w:b/>
                <w:bCs/>
                <w:sz w:val="22"/>
                <w:szCs w:val="20"/>
                <w:lang w:val="ru-RU"/>
              </w:rPr>
              <w:t>проведение</w:t>
            </w:r>
            <w:r w:rsidR="005F7C81" w:rsidRPr="00CC6F34">
              <w:rPr>
                <w:sz w:val="22"/>
                <w:szCs w:val="20"/>
                <w:lang w:val="ru-RU"/>
              </w:rPr>
              <w:t xml:space="preserve"> </w:t>
            </w:r>
            <w:r w:rsidRPr="00CC6F34">
              <w:rPr>
                <w:sz w:val="22"/>
                <w:szCs w:val="20"/>
                <w:lang w:val="ru-RU"/>
              </w:rPr>
              <w:t xml:space="preserve">повторного </w:t>
            </w:r>
            <w:r w:rsidR="005F7C81" w:rsidRPr="007E6536">
              <w:rPr>
                <w:b/>
                <w:bCs/>
                <w:sz w:val="22"/>
                <w:szCs w:val="20"/>
                <w:lang w:val="ru-RU"/>
              </w:rPr>
              <w:t>БПИ</w:t>
            </w:r>
            <w:r w:rsidRPr="007E6536">
              <w:rPr>
                <w:b/>
                <w:bCs/>
                <w:sz w:val="22"/>
                <w:szCs w:val="20"/>
                <w:lang w:val="ru-RU"/>
              </w:rPr>
              <w:t xml:space="preserve"> и оценки численности среди ЛУН</w:t>
            </w:r>
            <w:r w:rsidRPr="00CC6F34">
              <w:rPr>
                <w:sz w:val="22"/>
                <w:szCs w:val="20"/>
                <w:lang w:val="ru-RU"/>
              </w:rPr>
              <w:t>, так как исследования, проведенные в 2022 году, не охватили потребителей новых наркотиков.</w:t>
            </w:r>
            <w:r w:rsidR="005F7C81" w:rsidRPr="00CC6F34">
              <w:rPr>
                <w:sz w:val="22"/>
                <w:szCs w:val="20"/>
                <w:lang w:val="ru-RU"/>
              </w:rPr>
              <w:t xml:space="preserve"> Часть целевых показателей 2-го и 3-го года гранта будет пересматриваться в соответствии с новыми данными, которые будут получены.</w:t>
            </w:r>
          </w:p>
          <w:p w14:paraId="4075FF7B" w14:textId="59582D9D" w:rsidR="000C2A60" w:rsidRPr="00CC6F34" w:rsidRDefault="00765074" w:rsidP="00E868B9">
            <w:pPr>
              <w:pStyle w:val="a1"/>
              <w:widowControl w:val="0"/>
              <w:spacing w:line="240" w:lineRule="auto"/>
              <w:jc w:val="both"/>
              <w:cnfStyle w:val="000000100000" w:firstRow="0" w:lastRow="0" w:firstColumn="0" w:lastColumn="0" w:oddVBand="0" w:evenVBand="0" w:oddHBand="1" w:evenHBand="0" w:firstRowFirstColumn="0" w:firstRowLastColumn="0" w:lastRowFirstColumn="0" w:lastRowLastColumn="0"/>
              <w:rPr>
                <w:sz w:val="22"/>
                <w:szCs w:val="20"/>
                <w:lang w:val="ru-RU"/>
              </w:rPr>
            </w:pPr>
            <w:r>
              <w:rPr>
                <w:sz w:val="22"/>
                <w:szCs w:val="20"/>
                <w:lang w:val="ru-RU"/>
              </w:rPr>
              <w:t>Для решения проблемы р</w:t>
            </w:r>
            <w:r w:rsidR="000C2A60" w:rsidRPr="00CC6F34">
              <w:rPr>
                <w:sz w:val="22"/>
                <w:szCs w:val="20"/>
                <w:lang w:val="ru-RU"/>
              </w:rPr>
              <w:t>азличи</w:t>
            </w:r>
            <w:r>
              <w:rPr>
                <w:sz w:val="22"/>
                <w:szCs w:val="20"/>
                <w:lang w:val="ru-RU"/>
              </w:rPr>
              <w:t>я</w:t>
            </w:r>
            <w:r w:rsidR="000C2A60" w:rsidRPr="00CC6F34">
              <w:rPr>
                <w:sz w:val="22"/>
                <w:szCs w:val="20"/>
                <w:lang w:val="ru-RU"/>
              </w:rPr>
              <w:t xml:space="preserve"> в рутинных данных НЦФ и оценках ВОЗ</w:t>
            </w:r>
            <w:r>
              <w:rPr>
                <w:sz w:val="22"/>
                <w:szCs w:val="20"/>
                <w:lang w:val="ru-RU"/>
              </w:rPr>
              <w:t xml:space="preserve"> и </w:t>
            </w:r>
            <w:r w:rsidR="000C2A60" w:rsidRPr="00CC6F34">
              <w:rPr>
                <w:sz w:val="22"/>
                <w:szCs w:val="20"/>
                <w:lang w:val="ru-RU"/>
              </w:rPr>
              <w:t>усилени</w:t>
            </w:r>
            <w:r>
              <w:rPr>
                <w:sz w:val="22"/>
                <w:szCs w:val="20"/>
                <w:lang w:val="ru-RU"/>
              </w:rPr>
              <w:t>я</w:t>
            </w:r>
            <w:r w:rsidR="000C2A60" w:rsidRPr="00CC6F34">
              <w:rPr>
                <w:sz w:val="22"/>
                <w:szCs w:val="20"/>
                <w:lang w:val="ru-RU"/>
              </w:rPr>
              <w:t xml:space="preserve"> запланированной работы по выявлению ТБ, </w:t>
            </w:r>
            <w:r>
              <w:rPr>
                <w:sz w:val="22"/>
                <w:szCs w:val="20"/>
                <w:lang w:val="ru-RU"/>
              </w:rPr>
              <w:t>будет проведен</w:t>
            </w:r>
            <w:r w:rsidRPr="00CC6F34">
              <w:rPr>
                <w:sz w:val="22"/>
                <w:szCs w:val="20"/>
                <w:lang w:val="ru-RU"/>
              </w:rPr>
              <w:t xml:space="preserve"> </w:t>
            </w:r>
            <w:r w:rsidR="000C2A60" w:rsidRPr="007E6536">
              <w:rPr>
                <w:b/>
                <w:bCs/>
                <w:sz w:val="22"/>
                <w:szCs w:val="20"/>
                <w:lang w:val="ru-RU"/>
              </w:rPr>
              <w:t>пересмотр механизмов эпиднадзора за случаями ТБ и повышению достоверности собираемых данных</w:t>
            </w:r>
            <w:r w:rsidR="000C2A60" w:rsidRPr="00CC6F34">
              <w:rPr>
                <w:sz w:val="22"/>
                <w:szCs w:val="20"/>
                <w:lang w:val="ru-RU"/>
              </w:rPr>
              <w:t>.</w:t>
            </w:r>
          </w:p>
          <w:p w14:paraId="1F07100C" w14:textId="78CEEAA3" w:rsidR="000C2A60" w:rsidRPr="00CC6F34" w:rsidRDefault="009D6854" w:rsidP="00E868B9">
            <w:pPr>
              <w:pStyle w:val="a1"/>
              <w:widowControl w:val="0"/>
              <w:spacing w:line="240" w:lineRule="auto"/>
              <w:jc w:val="both"/>
              <w:cnfStyle w:val="000000100000" w:firstRow="0" w:lastRow="0" w:firstColumn="0" w:lastColumn="0" w:oddVBand="0" w:evenVBand="0" w:oddHBand="1" w:evenHBand="0" w:firstRowFirstColumn="0" w:firstRowLastColumn="0" w:lastRowFirstColumn="0" w:lastRowLastColumn="0"/>
              <w:rPr>
                <w:sz w:val="22"/>
                <w:szCs w:val="20"/>
                <w:lang w:val="ru-RU"/>
              </w:rPr>
            </w:pPr>
            <w:r w:rsidRPr="00CC6F34">
              <w:rPr>
                <w:sz w:val="22"/>
                <w:szCs w:val="20"/>
                <w:lang w:val="ru-RU"/>
              </w:rPr>
              <w:t>В 2023 году впервые проводя</w:t>
            </w:r>
            <w:r w:rsidR="000C2A60" w:rsidRPr="00CC6F34">
              <w:rPr>
                <w:sz w:val="22"/>
                <w:szCs w:val="20"/>
                <w:lang w:val="ru-RU"/>
              </w:rPr>
              <w:t xml:space="preserve">тся оценки стигмы и дискриминации в отношении ТБ, запланировано проведение повторного исследования в отношении ВИЧ. Учитывая значимость влияния уровня стигмы и дискриминации на эффективность программ, а также в целях формирования мероприятий по снижению барьеров, в 2025 году планируется </w:t>
            </w:r>
            <w:r w:rsidR="000C2A60" w:rsidRPr="007E6536">
              <w:rPr>
                <w:b/>
                <w:bCs/>
                <w:sz w:val="22"/>
                <w:szCs w:val="20"/>
                <w:lang w:val="ru-RU"/>
              </w:rPr>
              <w:t>проведение повторных исследований по оценке стигмы и дискриминации в отношении ВИЧ и ТБ</w:t>
            </w:r>
            <w:r w:rsidR="000C2A60" w:rsidRPr="00CC6F34">
              <w:rPr>
                <w:sz w:val="22"/>
                <w:szCs w:val="20"/>
                <w:lang w:val="ru-RU"/>
              </w:rPr>
              <w:t>.</w:t>
            </w:r>
          </w:p>
          <w:p w14:paraId="59254472" w14:textId="4183B3DF" w:rsidR="00F34182" w:rsidRPr="00CC6F34" w:rsidRDefault="00CC6F34" w:rsidP="00E868B9">
            <w:pPr>
              <w:pStyle w:val="a1"/>
              <w:widowControl w:val="0"/>
              <w:spacing w:line="240" w:lineRule="auto"/>
              <w:jc w:val="both"/>
              <w:cnfStyle w:val="000000100000" w:firstRow="0" w:lastRow="0" w:firstColumn="0" w:lastColumn="0" w:oddVBand="0" w:evenVBand="0" w:oddHBand="1" w:evenHBand="0" w:firstRowFirstColumn="0" w:firstRowLastColumn="0" w:lastRowFirstColumn="0" w:lastRowLastColumn="0"/>
              <w:rPr>
                <w:sz w:val="22"/>
                <w:szCs w:val="20"/>
                <w:lang w:val="ru-RU"/>
              </w:rPr>
            </w:pPr>
            <w:r w:rsidRPr="00CC6F34">
              <w:rPr>
                <w:sz w:val="22"/>
                <w:szCs w:val="20"/>
                <w:lang w:val="ru-RU"/>
              </w:rPr>
              <w:t>Для проведения работы по устранению правовых барьеров к услугам ВИЧ и ТБ будет обеспечено</w:t>
            </w:r>
            <w:r w:rsidR="00F34182" w:rsidRPr="00CC6F34">
              <w:rPr>
                <w:sz w:val="22"/>
                <w:szCs w:val="20"/>
                <w:lang w:val="ru-RU"/>
              </w:rPr>
              <w:t xml:space="preserve"> </w:t>
            </w:r>
            <w:r w:rsidR="00F34182" w:rsidRPr="007E6536">
              <w:rPr>
                <w:b/>
                <w:bCs/>
                <w:sz w:val="22"/>
                <w:szCs w:val="20"/>
                <w:lang w:val="ru-RU"/>
              </w:rPr>
              <w:t>проведение регулярного анализа законодательства и барьеров в НПА со стороны гражданского общества</w:t>
            </w:r>
            <w:r w:rsidR="00F34182" w:rsidRPr="00CC6F34">
              <w:rPr>
                <w:sz w:val="22"/>
                <w:szCs w:val="20"/>
                <w:lang w:val="ru-RU"/>
              </w:rPr>
              <w:t>.</w:t>
            </w:r>
          </w:p>
          <w:p w14:paraId="4A9E287B" w14:textId="37033F7B" w:rsidR="00F34182" w:rsidRPr="00CC6F34" w:rsidRDefault="00F34182" w:rsidP="00E868B9">
            <w:pPr>
              <w:pStyle w:val="a1"/>
              <w:widowControl w:val="0"/>
              <w:spacing w:line="240" w:lineRule="auto"/>
              <w:jc w:val="both"/>
              <w:cnfStyle w:val="000000100000" w:firstRow="0" w:lastRow="0" w:firstColumn="0" w:lastColumn="0" w:oddVBand="0" w:evenVBand="0" w:oddHBand="1" w:evenHBand="0" w:firstRowFirstColumn="0" w:firstRowLastColumn="0" w:lastRowFirstColumn="0" w:lastRowLastColumn="0"/>
              <w:rPr>
                <w:sz w:val="22"/>
                <w:szCs w:val="20"/>
                <w:lang w:val="ru-RU"/>
              </w:rPr>
            </w:pPr>
            <w:r w:rsidRPr="007E6536">
              <w:rPr>
                <w:b/>
                <w:bCs/>
                <w:sz w:val="22"/>
                <w:szCs w:val="20"/>
                <w:lang w:val="ru-RU"/>
              </w:rPr>
              <w:t>Опросы среди затронутых групп по качеству, доступности услуг в связи с ВИЧ и ТБ</w:t>
            </w:r>
            <w:r w:rsidRPr="00CC6F34">
              <w:rPr>
                <w:sz w:val="22"/>
                <w:szCs w:val="20"/>
                <w:lang w:val="ru-RU"/>
              </w:rPr>
              <w:t xml:space="preserve"> позволят своевременно вносить корректировки в реализацию мероприятий, влиять на повышение качества услуг.</w:t>
            </w:r>
          </w:p>
          <w:p w14:paraId="12A73531" w14:textId="60C7036E" w:rsidR="00B94862" w:rsidRPr="00CC6F34" w:rsidRDefault="00B94862" w:rsidP="00E868B9">
            <w:pPr>
              <w:pStyle w:val="a1"/>
              <w:widowControl w:val="0"/>
              <w:spacing w:line="240" w:lineRule="auto"/>
              <w:jc w:val="both"/>
              <w:cnfStyle w:val="000000100000" w:firstRow="0" w:lastRow="0" w:firstColumn="0" w:lastColumn="0" w:oddVBand="0" w:evenVBand="0" w:oddHBand="1" w:evenHBand="0" w:firstRowFirstColumn="0" w:firstRowLastColumn="0" w:lastRowFirstColumn="0" w:lastRowLastColumn="0"/>
              <w:rPr>
                <w:sz w:val="22"/>
                <w:szCs w:val="20"/>
                <w:lang w:val="ru-RU"/>
              </w:rPr>
            </w:pPr>
            <w:r w:rsidRPr="007E6536">
              <w:rPr>
                <w:b/>
                <w:bCs/>
                <w:sz w:val="22"/>
                <w:szCs w:val="20"/>
                <w:lang w:val="ru-RU"/>
              </w:rPr>
              <w:t xml:space="preserve">Исследования по определению потребностей и барьеров с учетом гендерных факторов, влияния насилия и предпринимаемых мер для их снижения, проводимые </w:t>
            </w:r>
            <w:r w:rsidRPr="00A75180">
              <w:rPr>
                <w:sz w:val="22"/>
                <w:szCs w:val="20"/>
                <w:lang w:val="ru-RU"/>
              </w:rPr>
              <w:t>самими</w:t>
            </w:r>
            <w:r w:rsidRPr="007E6536">
              <w:rPr>
                <w:b/>
                <w:bCs/>
                <w:sz w:val="22"/>
                <w:szCs w:val="20"/>
                <w:lang w:val="ru-RU"/>
              </w:rPr>
              <w:t xml:space="preserve"> сообществами</w:t>
            </w:r>
            <w:r w:rsidRPr="00CC6F34">
              <w:rPr>
                <w:sz w:val="22"/>
                <w:szCs w:val="20"/>
                <w:lang w:val="ru-RU"/>
              </w:rPr>
              <w:t>, позвол</w:t>
            </w:r>
            <w:r w:rsidR="00A75180">
              <w:rPr>
                <w:sz w:val="22"/>
                <w:szCs w:val="20"/>
                <w:lang w:val="ru-RU"/>
              </w:rPr>
              <w:t>я</w:t>
            </w:r>
            <w:r w:rsidRPr="00CC6F34">
              <w:rPr>
                <w:sz w:val="22"/>
                <w:szCs w:val="20"/>
                <w:lang w:val="ru-RU"/>
              </w:rPr>
              <w:t xml:space="preserve">т </w:t>
            </w:r>
            <w:r w:rsidR="00B977F6" w:rsidRPr="00CC6F34">
              <w:rPr>
                <w:sz w:val="22"/>
                <w:szCs w:val="20"/>
                <w:lang w:val="ru-RU"/>
              </w:rPr>
              <w:t>сформулировать аргументы для дальнейшей адвокационной деятельности, адаптировать</w:t>
            </w:r>
            <w:r w:rsidRPr="00CC6F34">
              <w:rPr>
                <w:sz w:val="22"/>
                <w:szCs w:val="20"/>
                <w:lang w:val="ru-RU"/>
              </w:rPr>
              <w:t xml:space="preserve"> мероприятия</w:t>
            </w:r>
            <w:r w:rsidR="00B977F6" w:rsidRPr="00CC6F34">
              <w:rPr>
                <w:sz w:val="22"/>
                <w:szCs w:val="20"/>
                <w:lang w:val="ru-RU"/>
              </w:rPr>
              <w:t xml:space="preserve"> в сфере ВИЧ и ТБ для наиболее уязвимых групп </w:t>
            </w:r>
            <w:r w:rsidR="00B977F6" w:rsidRPr="00CC6F34">
              <w:rPr>
                <w:sz w:val="22"/>
                <w:szCs w:val="20"/>
                <w:lang w:val="ru-RU"/>
              </w:rPr>
              <w:lastRenderedPageBreak/>
              <w:t>из числа ключевых групп, в первую очередь для женщин/девочек</w:t>
            </w:r>
            <w:r w:rsidR="009D6BD9">
              <w:rPr>
                <w:sz w:val="22"/>
                <w:szCs w:val="20"/>
                <w:lang w:val="ru-RU"/>
              </w:rPr>
              <w:t xml:space="preserve"> из ключевых групп</w:t>
            </w:r>
            <w:r w:rsidR="00B977F6" w:rsidRPr="00CC6F34">
              <w:rPr>
                <w:sz w:val="22"/>
                <w:szCs w:val="20"/>
                <w:lang w:val="ru-RU"/>
              </w:rPr>
              <w:t xml:space="preserve">, </w:t>
            </w:r>
            <w:r w:rsidR="009D6BD9">
              <w:rPr>
                <w:sz w:val="22"/>
                <w:szCs w:val="20"/>
                <w:lang w:val="ru-RU"/>
              </w:rPr>
              <w:t xml:space="preserve">СР, </w:t>
            </w:r>
            <w:r w:rsidR="00B977F6" w:rsidRPr="00CC6F34">
              <w:rPr>
                <w:sz w:val="22"/>
                <w:szCs w:val="20"/>
                <w:lang w:val="ru-RU"/>
              </w:rPr>
              <w:t>трансгендерных людей и МСМ.</w:t>
            </w:r>
          </w:p>
          <w:p w14:paraId="7D4D28D8" w14:textId="5C1622FA" w:rsidR="00162DE3" w:rsidRPr="00CC6F34" w:rsidRDefault="00162DE3" w:rsidP="00E868B9">
            <w:pPr>
              <w:pStyle w:val="a1"/>
              <w:widowControl w:val="0"/>
              <w:spacing w:line="240" w:lineRule="auto"/>
              <w:jc w:val="both"/>
              <w:cnfStyle w:val="000000100000" w:firstRow="0" w:lastRow="0" w:firstColumn="0" w:lastColumn="0" w:oddVBand="0" w:evenVBand="0" w:oddHBand="1" w:evenHBand="0" w:firstRowFirstColumn="0" w:firstRowLastColumn="0" w:lastRowFirstColumn="0" w:lastRowLastColumn="0"/>
              <w:rPr>
                <w:sz w:val="22"/>
                <w:szCs w:val="20"/>
                <w:lang w:val="ru-RU"/>
              </w:rPr>
            </w:pPr>
            <w:r w:rsidRPr="00CC6F34">
              <w:rPr>
                <w:sz w:val="22"/>
                <w:szCs w:val="20"/>
                <w:lang w:val="ru-RU"/>
              </w:rPr>
              <w:t xml:space="preserve">Сообщества на протяжении ряда лет </w:t>
            </w:r>
            <w:r w:rsidR="00B069B7">
              <w:rPr>
                <w:sz w:val="22"/>
                <w:szCs w:val="20"/>
                <w:lang w:val="ru-RU"/>
              </w:rPr>
              <w:t>готовят</w:t>
            </w:r>
            <w:r w:rsidRPr="00CC6F34">
              <w:rPr>
                <w:sz w:val="22"/>
                <w:szCs w:val="20"/>
                <w:lang w:val="ru-RU"/>
              </w:rPr>
              <w:t xml:space="preserve"> </w:t>
            </w:r>
            <w:r w:rsidRPr="007E6536">
              <w:rPr>
                <w:b/>
                <w:bCs/>
                <w:sz w:val="22"/>
                <w:szCs w:val="20"/>
                <w:lang w:val="ru-RU"/>
              </w:rPr>
              <w:t>теневы</w:t>
            </w:r>
            <w:r w:rsidR="00B069B7" w:rsidRPr="007E6536">
              <w:rPr>
                <w:b/>
                <w:bCs/>
                <w:sz w:val="22"/>
                <w:szCs w:val="20"/>
                <w:lang w:val="ru-RU"/>
              </w:rPr>
              <w:t>е</w:t>
            </w:r>
            <w:r w:rsidRPr="007E6536">
              <w:rPr>
                <w:b/>
                <w:bCs/>
                <w:sz w:val="22"/>
                <w:szCs w:val="20"/>
                <w:lang w:val="ru-RU"/>
              </w:rPr>
              <w:t xml:space="preserve"> отчет</w:t>
            </w:r>
            <w:r w:rsidR="00B069B7" w:rsidRPr="007E6536">
              <w:rPr>
                <w:b/>
                <w:bCs/>
                <w:sz w:val="22"/>
                <w:szCs w:val="20"/>
                <w:lang w:val="ru-RU"/>
              </w:rPr>
              <w:t>ы</w:t>
            </w:r>
            <w:r w:rsidRPr="00CC6F34">
              <w:rPr>
                <w:sz w:val="22"/>
                <w:szCs w:val="20"/>
                <w:lang w:val="ru-RU"/>
              </w:rPr>
              <w:t xml:space="preserve"> и продолжение их участия в формировании альтернативных данных является критически важным.</w:t>
            </w:r>
          </w:p>
          <w:p w14:paraId="5CCD47F7" w14:textId="16C9DCEB" w:rsidR="000D113C" w:rsidRPr="00CC6F34" w:rsidRDefault="00B977F6" w:rsidP="00E868B9">
            <w:pPr>
              <w:pStyle w:val="a1"/>
              <w:widowControl w:val="0"/>
              <w:spacing w:line="240" w:lineRule="auto"/>
              <w:jc w:val="both"/>
              <w:cnfStyle w:val="000000100000" w:firstRow="0" w:lastRow="0" w:firstColumn="0" w:lastColumn="0" w:oddVBand="0" w:evenVBand="0" w:oddHBand="1" w:evenHBand="0" w:firstRowFirstColumn="0" w:firstRowLastColumn="0" w:lastRowFirstColumn="0" w:lastRowLastColumn="0"/>
              <w:rPr>
                <w:sz w:val="22"/>
                <w:szCs w:val="20"/>
                <w:lang w:val="ru-RU"/>
              </w:rPr>
            </w:pPr>
            <w:r w:rsidRPr="00CC6F34">
              <w:rPr>
                <w:sz w:val="22"/>
                <w:szCs w:val="20"/>
                <w:lang w:val="ru-RU"/>
              </w:rPr>
              <w:t>Данные, собираемые службами СПИДа</w:t>
            </w:r>
            <w:r w:rsidR="00162DE3" w:rsidRPr="00CC6F34">
              <w:rPr>
                <w:sz w:val="22"/>
                <w:szCs w:val="20"/>
                <w:lang w:val="ru-RU"/>
              </w:rPr>
              <w:t xml:space="preserve"> и ТБ</w:t>
            </w:r>
            <w:r w:rsidRPr="00CC6F34">
              <w:rPr>
                <w:sz w:val="22"/>
                <w:szCs w:val="20"/>
                <w:lang w:val="ru-RU"/>
              </w:rPr>
              <w:t>, все больше сообщают о росте ВИЧ и ТБ среди мигрантов,</w:t>
            </w:r>
            <w:r w:rsidR="00162DE3" w:rsidRPr="00CC6F34">
              <w:rPr>
                <w:sz w:val="22"/>
                <w:szCs w:val="20"/>
                <w:lang w:val="ru-RU"/>
              </w:rPr>
              <w:t xml:space="preserve"> но достоверных данных пока недостаточно для выделения </w:t>
            </w:r>
            <w:r w:rsidR="00B069B7">
              <w:rPr>
                <w:sz w:val="22"/>
                <w:szCs w:val="20"/>
                <w:lang w:val="ru-RU"/>
              </w:rPr>
              <w:t>их</w:t>
            </w:r>
            <w:r w:rsidR="00162DE3" w:rsidRPr="00CC6F34">
              <w:rPr>
                <w:sz w:val="22"/>
                <w:szCs w:val="20"/>
                <w:lang w:val="ru-RU"/>
              </w:rPr>
              <w:t xml:space="preserve"> в отдельную </w:t>
            </w:r>
            <w:r w:rsidR="00B069B7">
              <w:rPr>
                <w:sz w:val="22"/>
                <w:szCs w:val="20"/>
                <w:lang w:val="ru-RU"/>
              </w:rPr>
              <w:t xml:space="preserve">ключевую </w:t>
            </w:r>
            <w:r w:rsidR="00162DE3" w:rsidRPr="00CC6F34">
              <w:rPr>
                <w:sz w:val="22"/>
                <w:szCs w:val="20"/>
                <w:lang w:val="ru-RU"/>
              </w:rPr>
              <w:t xml:space="preserve">группу. </w:t>
            </w:r>
            <w:r w:rsidR="00B069B7">
              <w:rPr>
                <w:sz w:val="22"/>
                <w:szCs w:val="20"/>
                <w:lang w:val="ru-RU"/>
              </w:rPr>
              <w:t>Продолжается</w:t>
            </w:r>
            <w:r w:rsidR="00162DE3" w:rsidRPr="00CC6F34">
              <w:rPr>
                <w:sz w:val="22"/>
                <w:szCs w:val="20"/>
                <w:lang w:val="ru-RU"/>
              </w:rPr>
              <w:t xml:space="preserve"> изучение ситуации и с</w:t>
            </w:r>
            <w:r w:rsidR="00B069B7">
              <w:rPr>
                <w:sz w:val="22"/>
                <w:szCs w:val="20"/>
                <w:lang w:val="ru-RU"/>
              </w:rPr>
              <w:t>бор</w:t>
            </w:r>
            <w:r w:rsidR="00162DE3" w:rsidRPr="00CC6F34">
              <w:rPr>
                <w:sz w:val="22"/>
                <w:szCs w:val="20"/>
                <w:lang w:val="ru-RU"/>
              </w:rPr>
              <w:t xml:space="preserve"> данны</w:t>
            </w:r>
            <w:r w:rsidR="00B069B7">
              <w:rPr>
                <w:sz w:val="22"/>
                <w:szCs w:val="20"/>
                <w:lang w:val="ru-RU"/>
              </w:rPr>
              <w:t>х,</w:t>
            </w:r>
            <w:r w:rsidR="00162DE3" w:rsidRPr="00CC6F34">
              <w:rPr>
                <w:sz w:val="22"/>
                <w:szCs w:val="20"/>
                <w:lang w:val="ru-RU"/>
              </w:rPr>
              <w:t xml:space="preserve"> в 2023 году завершится БПИ среди мигрантов, </w:t>
            </w:r>
            <w:r w:rsidR="00B069B7">
              <w:rPr>
                <w:sz w:val="22"/>
                <w:szCs w:val="20"/>
                <w:lang w:val="ru-RU"/>
              </w:rPr>
              <w:t xml:space="preserve">запланированы </w:t>
            </w:r>
            <w:r w:rsidR="00162DE3" w:rsidRPr="007E6536">
              <w:rPr>
                <w:b/>
                <w:bCs/>
                <w:sz w:val="22"/>
                <w:szCs w:val="20"/>
                <w:lang w:val="ru-RU"/>
              </w:rPr>
              <w:t xml:space="preserve">исследования </w:t>
            </w:r>
            <w:r w:rsidR="000D113C" w:rsidRPr="007E6536">
              <w:rPr>
                <w:b/>
                <w:bCs/>
                <w:sz w:val="22"/>
                <w:szCs w:val="20"/>
                <w:lang w:val="ru-RU"/>
              </w:rPr>
              <w:t>по оценке риска заражения ВИЧ и ТБ среди мигрантов</w:t>
            </w:r>
            <w:r w:rsidR="000D113C" w:rsidRPr="00CC6F34">
              <w:rPr>
                <w:sz w:val="22"/>
                <w:szCs w:val="20"/>
                <w:lang w:val="ru-RU"/>
              </w:rPr>
              <w:t>.</w:t>
            </w:r>
          </w:p>
          <w:p w14:paraId="329686DB" w14:textId="3057B50E" w:rsidR="000F14FD" w:rsidRPr="00CC6F34" w:rsidRDefault="006C5AB8" w:rsidP="00E868B9">
            <w:pPr>
              <w:pStyle w:val="a1"/>
              <w:widowControl w:val="0"/>
              <w:spacing w:line="240" w:lineRule="auto"/>
              <w:jc w:val="both"/>
              <w:cnfStyle w:val="000000100000" w:firstRow="0" w:lastRow="0" w:firstColumn="0" w:lastColumn="0" w:oddVBand="0" w:evenVBand="0" w:oddHBand="1" w:evenHBand="0" w:firstRowFirstColumn="0" w:firstRowLastColumn="0" w:lastRowFirstColumn="0" w:lastRowLastColumn="0"/>
              <w:rPr>
                <w:sz w:val="22"/>
                <w:szCs w:val="20"/>
                <w:lang w:val="ru-RU"/>
              </w:rPr>
            </w:pPr>
            <w:r w:rsidRPr="00CC6F34">
              <w:rPr>
                <w:sz w:val="22"/>
                <w:szCs w:val="20"/>
                <w:lang w:val="ru-RU"/>
              </w:rPr>
              <w:t>В конце 2022 года со стороны государственных органов был инициирован законопроект по внесению изменений в закон «О некоммерческих организациях»</w:t>
            </w:r>
            <w:r w:rsidR="009D6BD9">
              <w:rPr>
                <w:rStyle w:val="aff1"/>
                <w:sz w:val="22"/>
                <w:szCs w:val="20"/>
                <w:lang w:val="ru-RU"/>
              </w:rPr>
              <w:footnoteReference w:id="22"/>
            </w:r>
            <w:r w:rsidRPr="00CC6F34">
              <w:rPr>
                <w:sz w:val="22"/>
                <w:szCs w:val="20"/>
                <w:lang w:val="ru-RU"/>
              </w:rPr>
              <w:t xml:space="preserve">, отдельные положения которого создают высокие риски для дальнейшего функционирования общественных организаций, оказывающих услуги в связи с ВИЧ и ТБ. В 2023 году уже предусмотрены некоторые мероприятия по оказанию технической помощи этим организациям по оценке рисков, организационному развитию, повышению потенциала в </w:t>
            </w:r>
            <w:r w:rsidR="000837EC" w:rsidRPr="00CC6F34">
              <w:rPr>
                <w:sz w:val="22"/>
                <w:szCs w:val="20"/>
                <w:lang w:val="ru-RU"/>
              </w:rPr>
              <w:t xml:space="preserve">делопроизводстве. В то же время, в случае принятия изменений в закон, </w:t>
            </w:r>
            <w:r w:rsidR="00AB32E7">
              <w:rPr>
                <w:sz w:val="22"/>
                <w:szCs w:val="20"/>
                <w:lang w:val="ru-RU"/>
              </w:rPr>
              <w:t>будет</w:t>
            </w:r>
            <w:r w:rsidR="00AB32E7" w:rsidRPr="00CC6F34">
              <w:rPr>
                <w:sz w:val="22"/>
                <w:szCs w:val="20"/>
                <w:lang w:val="ru-RU"/>
              </w:rPr>
              <w:t xml:space="preserve"> </w:t>
            </w:r>
            <w:r w:rsidR="000837EC" w:rsidRPr="00CC6F34">
              <w:rPr>
                <w:sz w:val="22"/>
                <w:szCs w:val="20"/>
                <w:lang w:val="ru-RU"/>
              </w:rPr>
              <w:t>прове</w:t>
            </w:r>
            <w:r w:rsidR="00AB32E7">
              <w:rPr>
                <w:sz w:val="22"/>
                <w:szCs w:val="20"/>
                <w:lang w:val="ru-RU"/>
              </w:rPr>
              <w:t>дена</w:t>
            </w:r>
            <w:r w:rsidR="000837EC" w:rsidRPr="00CC6F34">
              <w:rPr>
                <w:sz w:val="22"/>
                <w:szCs w:val="20"/>
                <w:lang w:val="ru-RU"/>
              </w:rPr>
              <w:t xml:space="preserve"> </w:t>
            </w:r>
            <w:r w:rsidR="000837EC" w:rsidRPr="007E6536">
              <w:rPr>
                <w:b/>
                <w:bCs/>
                <w:sz w:val="22"/>
                <w:szCs w:val="20"/>
                <w:lang w:val="ru-RU"/>
              </w:rPr>
              <w:t>оценк</w:t>
            </w:r>
            <w:r w:rsidR="00AB32E7" w:rsidRPr="007E6536">
              <w:rPr>
                <w:b/>
                <w:bCs/>
                <w:sz w:val="22"/>
                <w:szCs w:val="20"/>
                <w:lang w:val="ru-RU"/>
              </w:rPr>
              <w:t>а</w:t>
            </w:r>
            <w:r w:rsidR="000F14FD" w:rsidRPr="007E6536">
              <w:rPr>
                <w:b/>
                <w:bCs/>
                <w:sz w:val="22"/>
                <w:szCs w:val="20"/>
                <w:lang w:val="ru-RU"/>
              </w:rPr>
              <w:t xml:space="preserve"> влияния на доступность услуг в связи с ВИЧ и ТБ </w:t>
            </w:r>
            <w:r w:rsidR="000837EC" w:rsidRPr="007E6536">
              <w:rPr>
                <w:b/>
                <w:bCs/>
                <w:sz w:val="22"/>
                <w:szCs w:val="20"/>
                <w:lang w:val="ru-RU"/>
              </w:rPr>
              <w:t>для ключевых групп населения при закрытии ряда НПО</w:t>
            </w:r>
            <w:r w:rsidR="000837EC" w:rsidRPr="00CC6F34">
              <w:rPr>
                <w:sz w:val="22"/>
                <w:szCs w:val="20"/>
                <w:lang w:val="ru-RU"/>
              </w:rPr>
              <w:t xml:space="preserve">. </w:t>
            </w:r>
            <w:r w:rsidR="006A40F4">
              <w:rPr>
                <w:sz w:val="22"/>
                <w:szCs w:val="20"/>
                <w:lang w:val="ru-RU"/>
              </w:rPr>
              <w:t>Будет продолжено</w:t>
            </w:r>
            <w:r w:rsidR="000837EC" w:rsidRPr="00CC6F34">
              <w:rPr>
                <w:sz w:val="22"/>
                <w:szCs w:val="20"/>
                <w:lang w:val="ru-RU"/>
              </w:rPr>
              <w:t xml:space="preserve"> </w:t>
            </w:r>
            <w:r w:rsidR="000837EC" w:rsidRPr="007E6536">
              <w:rPr>
                <w:b/>
                <w:bCs/>
                <w:sz w:val="22"/>
                <w:szCs w:val="20"/>
                <w:lang w:val="ru-RU"/>
              </w:rPr>
              <w:t xml:space="preserve">оказание </w:t>
            </w:r>
            <w:r w:rsidR="000F14FD" w:rsidRPr="007E6536">
              <w:rPr>
                <w:b/>
                <w:bCs/>
                <w:sz w:val="22"/>
                <w:szCs w:val="20"/>
                <w:lang w:val="ru-RU"/>
              </w:rPr>
              <w:t>технической помощи неправительственным организациям в организационном развитии для адаптации к новым нормативным условиям деятельности</w:t>
            </w:r>
            <w:r w:rsidR="000F14FD" w:rsidRPr="00CC6F34">
              <w:rPr>
                <w:sz w:val="22"/>
                <w:szCs w:val="20"/>
                <w:lang w:val="ru-RU"/>
              </w:rPr>
              <w:t>.</w:t>
            </w:r>
          </w:p>
          <w:p w14:paraId="15078034" w14:textId="03CF50DE" w:rsidR="000F14FD" w:rsidRDefault="000837EC" w:rsidP="00E868B9">
            <w:pPr>
              <w:pStyle w:val="a1"/>
              <w:widowControl w:val="0"/>
              <w:spacing w:line="240" w:lineRule="auto"/>
              <w:jc w:val="both"/>
              <w:cnfStyle w:val="000000100000" w:firstRow="0" w:lastRow="0" w:firstColumn="0" w:lastColumn="0" w:oddVBand="0" w:evenVBand="0" w:oddHBand="1" w:evenHBand="0" w:firstRowFirstColumn="0" w:firstRowLastColumn="0" w:lastRowFirstColumn="0" w:lastRowLastColumn="0"/>
              <w:rPr>
                <w:sz w:val="22"/>
                <w:szCs w:val="20"/>
                <w:lang w:val="ru-RU"/>
              </w:rPr>
            </w:pPr>
            <w:r>
              <w:rPr>
                <w:sz w:val="22"/>
                <w:szCs w:val="20"/>
                <w:lang w:val="ru-RU"/>
              </w:rPr>
              <w:t xml:space="preserve">В Кыргызстане действует ряд сетей гражданского общества/сообществ, объединяющих сообщества и организации со всей страны. Координация и реализация мероприятий в сфере </w:t>
            </w:r>
            <w:r w:rsidRPr="00CC6F34">
              <w:rPr>
                <w:sz w:val="22"/>
                <w:szCs w:val="20"/>
                <w:lang w:val="ru-RU"/>
              </w:rPr>
              <w:t>CLM</w:t>
            </w:r>
            <w:r>
              <w:rPr>
                <w:sz w:val="22"/>
                <w:szCs w:val="20"/>
                <w:lang w:val="ru-RU"/>
              </w:rPr>
              <w:t xml:space="preserve">, адвокации, национальных мероприятий по преодолению правовых барьеров, ликвидации стигмы и дискриминации, повышении потенциала сообществ осуществляется через сети и будет продолжена </w:t>
            </w:r>
            <w:r w:rsidRPr="007E6536">
              <w:rPr>
                <w:b/>
                <w:bCs/>
                <w:sz w:val="22"/>
                <w:szCs w:val="20"/>
                <w:lang w:val="ru-RU"/>
              </w:rPr>
              <w:t>поддержка 2-х сетей</w:t>
            </w:r>
            <w:r>
              <w:rPr>
                <w:sz w:val="22"/>
                <w:szCs w:val="20"/>
                <w:lang w:val="ru-RU"/>
              </w:rPr>
              <w:t xml:space="preserve">, одна из которых будет обеспечивать </w:t>
            </w:r>
            <w:r w:rsidRPr="007E6536">
              <w:rPr>
                <w:b/>
                <w:bCs/>
                <w:sz w:val="22"/>
                <w:szCs w:val="20"/>
                <w:lang w:val="ru-RU"/>
              </w:rPr>
              <w:t>деятельность в сфере гендера и прав ключевых групп</w:t>
            </w:r>
            <w:r>
              <w:rPr>
                <w:sz w:val="22"/>
                <w:szCs w:val="20"/>
                <w:lang w:val="ru-RU"/>
              </w:rPr>
              <w:t xml:space="preserve">, а приоритет второй будет направлен на </w:t>
            </w:r>
            <w:r w:rsidRPr="007E6536">
              <w:rPr>
                <w:b/>
                <w:bCs/>
                <w:sz w:val="22"/>
                <w:szCs w:val="20"/>
                <w:lang w:val="ru-RU"/>
              </w:rPr>
              <w:t>системные изменения в политиках, расширении доступности услуг, формировании благоприятной среды для реализации программ</w:t>
            </w:r>
            <w:r>
              <w:rPr>
                <w:sz w:val="22"/>
                <w:szCs w:val="20"/>
                <w:lang w:val="ru-RU"/>
              </w:rPr>
              <w:t>.</w:t>
            </w:r>
          </w:p>
          <w:p w14:paraId="16FA68CD" w14:textId="43BA7DA7" w:rsidR="00E927B9" w:rsidRDefault="00191E2F" w:rsidP="00E868B9">
            <w:pPr>
              <w:pStyle w:val="a1"/>
              <w:widowControl w:val="0"/>
              <w:spacing w:line="240" w:lineRule="auto"/>
              <w:jc w:val="both"/>
              <w:cnfStyle w:val="000000100000" w:firstRow="0" w:lastRow="0" w:firstColumn="0" w:lastColumn="0" w:oddVBand="0" w:evenVBand="0" w:oddHBand="1" w:evenHBand="0" w:firstRowFirstColumn="0" w:firstRowLastColumn="0" w:lastRowFirstColumn="0" w:lastRowLastColumn="0"/>
              <w:rPr>
                <w:sz w:val="22"/>
                <w:szCs w:val="20"/>
                <w:lang w:val="ru-RU"/>
              </w:rPr>
            </w:pPr>
            <w:r>
              <w:rPr>
                <w:sz w:val="22"/>
                <w:szCs w:val="20"/>
                <w:lang w:val="ru-RU"/>
              </w:rPr>
              <w:t>Для изменени</w:t>
            </w:r>
            <w:r w:rsidR="00FA5E97">
              <w:rPr>
                <w:sz w:val="22"/>
                <w:szCs w:val="20"/>
                <w:lang w:val="ru-RU"/>
              </w:rPr>
              <w:t>я</w:t>
            </w:r>
            <w:r>
              <w:rPr>
                <w:sz w:val="22"/>
                <w:szCs w:val="20"/>
                <w:lang w:val="ru-RU"/>
              </w:rPr>
              <w:t xml:space="preserve"> политик, реализации рекомендаций, полученных в результате мониторинга, будут проводиться адвокационные компании, встречи высокого уровня, будут поддержаны межсекторальные платформы</w:t>
            </w:r>
            <w:r w:rsidR="00E927B9">
              <w:rPr>
                <w:sz w:val="22"/>
                <w:szCs w:val="20"/>
                <w:lang w:val="ru-RU"/>
              </w:rPr>
              <w:t>.</w:t>
            </w:r>
          </w:p>
          <w:p w14:paraId="5CC46C9A" w14:textId="77777777" w:rsidR="00191E2F" w:rsidRDefault="00191E2F" w:rsidP="00E868B9">
            <w:pPr>
              <w:pStyle w:val="a1"/>
              <w:widowControl w:val="0"/>
              <w:spacing w:line="240" w:lineRule="auto"/>
              <w:jc w:val="both"/>
              <w:cnfStyle w:val="000000100000" w:firstRow="0" w:lastRow="0" w:firstColumn="0" w:lastColumn="0" w:oddVBand="0" w:evenVBand="0" w:oddHBand="1" w:evenHBand="0" w:firstRowFirstColumn="0" w:firstRowLastColumn="0" w:lastRowFirstColumn="0" w:lastRowLastColumn="0"/>
              <w:rPr>
                <w:b/>
                <w:sz w:val="22"/>
                <w:szCs w:val="20"/>
                <w:lang w:val="ru-RU"/>
              </w:rPr>
            </w:pPr>
          </w:p>
          <w:p w14:paraId="3D3C42F1" w14:textId="65A00E4F" w:rsidR="00E927B9" w:rsidRPr="00E927B9" w:rsidRDefault="00E927B9" w:rsidP="00E868B9">
            <w:pPr>
              <w:pStyle w:val="a1"/>
              <w:widowControl w:val="0"/>
              <w:spacing w:line="240" w:lineRule="auto"/>
              <w:jc w:val="both"/>
              <w:cnfStyle w:val="000000100000" w:firstRow="0" w:lastRow="0" w:firstColumn="0" w:lastColumn="0" w:oddVBand="0" w:evenVBand="0" w:oddHBand="1" w:evenHBand="0" w:firstRowFirstColumn="0" w:firstRowLastColumn="0" w:lastRowFirstColumn="0" w:lastRowLastColumn="0"/>
              <w:rPr>
                <w:b/>
                <w:sz w:val="22"/>
                <w:szCs w:val="20"/>
                <w:lang w:val="ru-RU"/>
              </w:rPr>
            </w:pPr>
            <w:r w:rsidRPr="00E927B9">
              <w:rPr>
                <w:b/>
                <w:sz w:val="22"/>
                <w:szCs w:val="20"/>
                <w:lang w:val="ru-RU"/>
              </w:rPr>
              <w:t>Участие сообщества, связи и координация</w:t>
            </w:r>
          </w:p>
          <w:p w14:paraId="583B5916" w14:textId="77220B53" w:rsidR="00191E2F" w:rsidRDefault="003277F6" w:rsidP="00E868B9">
            <w:pPr>
              <w:widowControl w:val="0"/>
              <w:jc w:val="both"/>
              <w:cnfStyle w:val="000000100000" w:firstRow="0" w:lastRow="0" w:firstColumn="0" w:lastColumn="0" w:oddVBand="0" w:evenVBand="0" w:oddHBand="1" w:evenHBand="0" w:firstRowFirstColumn="0" w:firstRowLastColumn="0" w:lastRowFirstColumn="0" w:lastRowLastColumn="0"/>
              <w:rPr>
                <w:szCs w:val="20"/>
                <w:lang w:val="ru-RU"/>
              </w:rPr>
            </w:pPr>
            <w:r w:rsidRPr="007E6536">
              <w:rPr>
                <w:b/>
                <w:bCs/>
                <w:szCs w:val="20"/>
                <w:lang w:val="ru-RU"/>
              </w:rPr>
              <w:t>Для в</w:t>
            </w:r>
            <w:r w:rsidR="00191E2F" w:rsidRPr="007E6536">
              <w:rPr>
                <w:b/>
                <w:bCs/>
                <w:szCs w:val="20"/>
                <w:lang w:val="ru-RU"/>
              </w:rPr>
              <w:t>овлеченны</w:t>
            </w:r>
            <w:r w:rsidRPr="007E6536">
              <w:rPr>
                <w:b/>
                <w:bCs/>
                <w:szCs w:val="20"/>
                <w:lang w:val="ru-RU"/>
              </w:rPr>
              <w:t>х</w:t>
            </w:r>
            <w:r w:rsidR="00191E2F" w:rsidRPr="007E6536">
              <w:rPr>
                <w:b/>
                <w:bCs/>
                <w:szCs w:val="20"/>
                <w:lang w:val="ru-RU"/>
              </w:rPr>
              <w:t xml:space="preserve"> сообществ, организаци</w:t>
            </w:r>
            <w:r w:rsidRPr="007E6536">
              <w:rPr>
                <w:b/>
                <w:bCs/>
                <w:szCs w:val="20"/>
                <w:lang w:val="ru-RU"/>
              </w:rPr>
              <w:t>й</w:t>
            </w:r>
            <w:r w:rsidR="00191E2F" w:rsidRPr="007E6536">
              <w:rPr>
                <w:b/>
                <w:bCs/>
                <w:szCs w:val="20"/>
                <w:lang w:val="ru-RU"/>
              </w:rPr>
              <w:t xml:space="preserve"> гражданского общества</w:t>
            </w:r>
            <w:r w:rsidR="00191E2F">
              <w:rPr>
                <w:szCs w:val="20"/>
                <w:lang w:val="ru-RU"/>
              </w:rPr>
              <w:t xml:space="preserve"> </w:t>
            </w:r>
            <w:r>
              <w:rPr>
                <w:szCs w:val="20"/>
                <w:lang w:val="ru-RU"/>
              </w:rPr>
              <w:t>будет проведено</w:t>
            </w:r>
            <w:r w:rsidR="00191E2F">
              <w:rPr>
                <w:szCs w:val="20"/>
                <w:lang w:val="ru-RU"/>
              </w:rPr>
              <w:t xml:space="preserve"> </w:t>
            </w:r>
            <w:r w:rsidR="00191E2F" w:rsidRPr="007E6536">
              <w:rPr>
                <w:b/>
                <w:bCs/>
                <w:szCs w:val="20"/>
                <w:lang w:val="ru-RU"/>
              </w:rPr>
              <w:t>повышени</w:t>
            </w:r>
            <w:r w:rsidR="0001233A">
              <w:rPr>
                <w:b/>
                <w:bCs/>
                <w:szCs w:val="20"/>
                <w:lang w:val="ru-RU"/>
              </w:rPr>
              <w:t>е</w:t>
            </w:r>
            <w:r w:rsidR="00191E2F" w:rsidRPr="007E6536">
              <w:rPr>
                <w:b/>
                <w:bCs/>
                <w:szCs w:val="20"/>
                <w:lang w:val="ru-RU"/>
              </w:rPr>
              <w:t xml:space="preserve"> </w:t>
            </w:r>
            <w:r w:rsidR="00E927B9" w:rsidRPr="007E6536">
              <w:rPr>
                <w:b/>
                <w:bCs/>
                <w:szCs w:val="20"/>
                <w:lang w:val="ru-RU"/>
              </w:rPr>
              <w:t>потенциала</w:t>
            </w:r>
            <w:r w:rsidR="00E927B9" w:rsidRPr="0001233A">
              <w:rPr>
                <w:szCs w:val="20"/>
                <w:lang w:val="ru-RU"/>
              </w:rPr>
              <w:t xml:space="preserve"> для проведения мониторинга, исследований, подготовки теневых </w:t>
            </w:r>
            <w:r w:rsidR="00191E2F" w:rsidRPr="0001233A">
              <w:rPr>
                <w:szCs w:val="20"/>
                <w:lang w:val="ru-RU"/>
              </w:rPr>
              <w:t>отчетов и последующей адвокации, в том числе по укреплению лидерства, проведению бюджетной адвокации</w:t>
            </w:r>
            <w:r w:rsidR="00191E2F">
              <w:rPr>
                <w:szCs w:val="20"/>
                <w:lang w:val="ru-RU"/>
              </w:rPr>
              <w:t>.</w:t>
            </w:r>
          </w:p>
          <w:p w14:paraId="3BA8D231" w14:textId="20812E5F" w:rsidR="00E927B9" w:rsidRDefault="00204E35" w:rsidP="00E868B9">
            <w:pPr>
              <w:widowControl w:val="0"/>
              <w:jc w:val="both"/>
              <w:cnfStyle w:val="000000100000" w:firstRow="0" w:lastRow="0" w:firstColumn="0" w:lastColumn="0" w:oddVBand="0" w:evenVBand="0" w:oddHBand="1" w:evenHBand="0" w:firstRowFirstColumn="0" w:firstRowLastColumn="0" w:lastRowFirstColumn="0" w:lastRowLastColumn="0"/>
              <w:rPr>
                <w:szCs w:val="20"/>
                <w:lang w:val="ru-RU"/>
              </w:rPr>
            </w:pPr>
            <w:r w:rsidRPr="007E6536">
              <w:rPr>
                <w:b/>
                <w:bCs/>
                <w:szCs w:val="20"/>
                <w:lang w:val="ru-RU"/>
              </w:rPr>
              <w:t xml:space="preserve">Разработка национальных планов сообществ по расширению и внедрению инструментов </w:t>
            </w:r>
            <w:r w:rsidRPr="007E6536">
              <w:rPr>
                <w:b/>
                <w:bCs/>
                <w:szCs w:val="20"/>
              </w:rPr>
              <w:t>CLM</w:t>
            </w:r>
            <w:r w:rsidRPr="007E6536">
              <w:rPr>
                <w:b/>
                <w:bCs/>
                <w:szCs w:val="20"/>
                <w:lang w:val="ru-RU"/>
              </w:rPr>
              <w:t xml:space="preserve"> в механизмы предоста</w:t>
            </w:r>
            <w:r w:rsidR="00191E2F" w:rsidRPr="007E6536">
              <w:rPr>
                <w:b/>
                <w:bCs/>
                <w:szCs w:val="20"/>
                <w:lang w:val="ru-RU"/>
              </w:rPr>
              <w:t>вления услуг в связи с ВИЧ и ТБ</w:t>
            </w:r>
            <w:r w:rsidR="00191E2F">
              <w:rPr>
                <w:szCs w:val="20"/>
                <w:lang w:val="ru-RU"/>
              </w:rPr>
              <w:t xml:space="preserve"> позволит структурировать деятельность в сфере </w:t>
            </w:r>
            <w:r w:rsidR="00191E2F">
              <w:rPr>
                <w:szCs w:val="20"/>
              </w:rPr>
              <w:t>CLM</w:t>
            </w:r>
            <w:r w:rsidR="00191E2F">
              <w:rPr>
                <w:szCs w:val="20"/>
                <w:lang w:val="ru-RU"/>
              </w:rPr>
              <w:t xml:space="preserve">, исключить дублирование </w:t>
            </w:r>
            <w:r w:rsidR="00191E2F">
              <w:rPr>
                <w:szCs w:val="20"/>
                <w:lang w:val="ru-RU"/>
              </w:rPr>
              <w:lastRenderedPageBreak/>
              <w:t>и выстроить эффективную, конструктивную коммуникацию с государственными и международными партнерами для изменений.</w:t>
            </w:r>
          </w:p>
          <w:p w14:paraId="16DCAB63" w14:textId="1B394327" w:rsidR="00266E70" w:rsidRDefault="0001233A" w:rsidP="00E868B9">
            <w:pPr>
              <w:widowControl w:val="0"/>
              <w:jc w:val="both"/>
              <w:cnfStyle w:val="000000100000" w:firstRow="0" w:lastRow="0" w:firstColumn="0" w:lastColumn="0" w:oddVBand="0" w:evenVBand="0" w:oddHBand="1" w:evenHBand="0" w:firstRowFirstColumn="0" w:firstRowLastColumn="0" w:lastRowFirstColumn="0" w:lastRowLastColumn="0"/>
              <w:rPr>
                <w:szCs w:val="20"/>
                <w:lang w:val="ru-RU"/>
              </w:rPr>
            </w:pPr>
            <w:r>
              <w:rPr>
                <w:szCs w:val="20"/>
                <w:lang w:val="ru-RU"/>
              </w:rPr>
              <w:t xml:space="preserve">Будет поддержано </w:t>
            </w:r>
            <w:r w:rsidRPr="007E6536">
              <w:rPr>
                <w:b/>
                <w:bCs/>
                <w:szCs w:val="20"/>
                <w:lang w:val="ru-RU"/>
              </w:rPr>
              <w:t>участие</w:t>
            </w:r>
            <w:r w:rsidR="00266E70" w:rsidRPr="007E6536">
              <w:rPr>
                <w:b/>
                <w:bCs/>
                <w:szCs w:val="20"/>
                <w:lang w:val="ru-RU"/>
              </w:rPr>
              <w:t xml:space="preserve"> сообществ в страновых механизмах принятия решений</w:t>
            </w:r>
            <w:r w:rsidR="00266E70">
              <w:rPr>
                <w:szCs w:val="20"/>
                <w:lang w:val="ru-RU"/>
              </w:rPr>
              <w:t>, включая СКК, попечительские советы при медицинских учреждениях, областных координационных советах по здравоохранению.</w:t>
            </w:r>
          </w:p>
          <w:p w14:paraId="58BA9980" w14:textId="337B89DA" w:rsidR="001A38BA" w:rsidRPr="00DF7AF8" w:rsidRDefault="00DF7AF8" w:rsidP="00E868B9">
            <w:pPr>
              <w:pStyle w:val="a1"/>
              <w:widowControl w:val="0"/>
              <w:spacing w:line="240" w:lineRule="auto"/>
              <w:jc w:val="both"/>
              <w:cnfStyle w:val="000000100000" w:firstRow="0" w:lastRow="0" w:firstColumn="0" w:lastColumn="0" w:oddVBand="0" w:evenVBand="0" w:oddHBand="1" w:evenHBand="0" w:firstRowFirstColumn="0" w:firstRowLastColumn="0" w:lastRowFirstColumn="0" w:lastRowLastColumn="0"/>
              <w:rPr>
                <w:b/>
                <w:sz w:val="22"/>
                <w:szCs w:val="20"/>
                <w:lang w:val="ru-RU"/>
              </w:rPr>
            </w:pPr>
            <w:r>
              <w:rPr>
                <w:sz w:val="22"/>
                <w:szCs w:val="20"/>
                <w:lang w:val="ru-RU"/>
              </w:rPr>
              <w:t xml:space="preserve">Для расширения инициатив со стороны государства в поддержке мигрантов по вопросам здоровья, </w:t>
            </w:r>
            <w:r w:rsidR="00E868B9">
              <w:rPr>
                <w:sz w:val="22"/>
                <w:szCs w:val="20"/>
                <w:lang w:val="ru-RU"/>
              </w:rPr>
              <w:t xml:space="preserve">будет адвокатирована </w:t>
            </w:r>
            <w:r w:rsidRPr="007E6536">
              <w:rPr>
                <w:b/>
                <w:bCs/>
                <w:sz w:val="22"/>
                <w:szCs w:val="20"/>
                <w:lang w:val="ru-RU"/>
              </w:rPr>
              <w:t>мобилизация сообществ, диаспор мигрантов в странах пребывания</w:t>
            </w:r>
            <w:r>
              <w:rPr>
                <w:sz w:val="22"/>
                <w:szCs w:val="20"/>
                <w:lang w:val="ru-RU"/>
              </w:rPr>
              <w:t>, которые будут инициировать повестку дня для правительства.</w:t>
            </w:r>
          </w:p>
        </w:tc>
      </w:tr>
      <w:tr w:rsidR="00AD6B37" w:rsidRPr="00A26916" w14:paraId="65EB4C08" w14:textId="77777777" w:rsidTr="00413276">
        <w:tc>
          <w:tcPr>
            <w:cnfStyle w:val="001000000000" w:firstRow="0" w:lastRow="0" w:firstColumn="1" w:lastColumn="0" w:oddVBand="0" w:evenVBand="0" w:oddHBand="0" w:evenHBand="0" w:firstRowFirstColumn="0" w:firstRowLastColumn="0" w:lastRowFirstColumn="0" w:lastRowLastColumn="0"/>
            <w:tcW w:w="2127" w:type="dxa"/>
          </w:tcPr>
          <w:p w14:paraId="4E5DA201" w14:textId="77777777" w:rsidR="00AD6B37" w:rsidRPr="008B08A2" w:rsidRDefault="00AD6B37" w:rsidP="00E868B9">
            <w:pPr>
              <w:pStyle w:val="a1"/>
              <w:widowControl w:val="0"/>
              <w:spacing w:line="240" w:lineRule="auto"/>
              <w:rPr>
                <w:lang w:val="ru-RU"/>
              </w:rPr>
            </w:pPr>
            <w:r>
              <w:rPr>
                <w:lang w:val="ru-RU"/>
              </w:rPr>
              <w:lastRenderedPageBreak/>
              <w:t>Население</w:t>
            </w:r>
            <w:r w:rsidRPr="008B08A2">
              <w:rPr>
                <w:lang w:val="ru-RU"/>
              </w:rPr>
              <w:t xml:space="preserve">, </w:t>
            </w:r>
            <w:r>
              <w:rPr>
                <w:lang w:val="ru-RU"/>
              </w:rPr>
              <w:t>территории</w:t>
            </w:r>
            <w:r w:rsidRPr="008B08A2">
              <w:rPr>
                <w:lang w:val="ru-RU"/>
              </w:rPr>
              <w:t xml:space="preserve"> </w:t>
            </w:r>
            <w:r>
              <w:rPr>
                <w:lang w:val="ru-RU"/>
              </w:rPr>
              <w:t>и</w:t>
            </w:r>
            <w:r w:rsidRPr="008B08A2">
              <w:rPr>
                <w:lang w:val="ru-RU"/>
              </w:rPr>
              <w:t>/</w:t>
            </w:r>
            <w:r>
              <w:rPr>
                <w:lang w:val="ru-RU"/>
              </w:rPr>
              <w:t>или</w:t>
            </w:r>
            <w:r w:rsidRPr="008B08A2">
              <w:rPr>
                <w:lang w:val="ru-RU"/>
              </w:rPr>
              <w:t xml:space="preserve"> </w:t>
            </w:r>
            <w:r w:rsidRPr="00A55CBF">
              <w:rPr>
                <w:lang w:val="ru-RU"/>
              </w:rPr>
              <w:t>барьеры</w:t>
            </w:r>
            <w:r w:rsidRPr="008B08A2">
              <w:rPr>
                <w:lang w:val="ru-RU"/>
              </w:rPr>
              <w:t xml:space="preserve">, </w:t>
            </w:r>
            <w:r>
              <w:rPr>
                <w:lang w:val="ru-RU"/>
              </w:rPr>
              <w:t>на</w:t>
            </w:r>
            <w:r w:rsidRPr="008B08A2">
              <w:rPr>
                <w:lang w:val="ru-RU"/>
              </w:rPr>
              <w:t xml:space="preserve"> </w:t>
            </w:r>
            <w:r>
              <w:rPr>
                <w:lang w:val="ru-RU"/>
              </w:rPr>
              <w:t>которые направлена деятельность</w:t>
            </w:r>
          </w:p>
        </w:tc>
        <w:tc>
          <w:tcPr>
            <w:tcW w:w="13036" w:type="dxa"/>
          </w:tcPr>
          <w:p w14:paraId="5E7B1247" w14:textId="25644517" w:rsidR="00413276" w:rsidRPr="000B517D" w:rsidRDefault="00413276" w:rsidP="00E868B9">
            <w:pPr>
              <w:pStyle w:val="a1"/>
              <w:widowControl w:val="0"/>
              <w:spacing w:line="240" w:lineRule="auto"/>
              <w:cnfStyle w:val="000000000000" w:firstRow="0" w:lastRow="0" w:firstColumn="0" w:lastColumn="0" w:oddVBand="0" w:evenVBand="0" w:oddHBand="0" w:evenHBand="0" w:firstRowFirstColumn="0" w:firstRowLastColumn="0" w:lastRowFirstColumn="0" w:lastRowLastColumn="0"/>
              <w:rPr>
                <w:sz w:val="22"/>
                <w:szCs w:val="20"/>
                <w:lang w:val="ru-RU"/>
              </w:rPr>
            </w:pPr>
            <w:r w:rsidRPr="00413276">
              <w:rPr>
                <w:sz w:val="22"/>
                <w:szCs w:val="20"/>
                <w:lang w:val="ru-RU"/>
              </w:rPr>
              <w:t xml:space="preserve">Люди, живущие с ВИЧ, </w:t>
            </w:r>
            <w:r w:rsidR="00E868B9">
              <w:rPr>
                <w:sz w:val="22"/>
                <w:szCs w:val="20"/>
                <w:lang w:val="ru-RU"/>
              </w:rPr>
              <w:t>Люди с ТБ</w:t>
            </w:r>
            <w:r w:rsidRPr="00413276">
              <w:rPr>
                <w:sz w:val="22"/>
                <w:szCs w:val="20"/>
                <w:lang w:val="ru-RU"/>
              </w:rPr>
              <w:t>, контактные лица, ключевые группы (</w:t>
            </w:r>
            <w:r>
              <w:rPr>
                <w:sz w:val="22"/>
                <w:szCs w:val="20"/>
                <w:lang w:val="ru-RU"/>
              </w:rPr>
              <w:t>МСМ, ТГ, СР, ЛУН, заключенные)</w:t>
            </w:r>
          </w:p>
          <w:p w14:paraId="5A71C559" w14:textId="50D3F25D" w:rsidR="00AD6B37" w:rsidRDefault="00413276" w:rsidP="00E868B9">
            <w:pPr>
              <w:pStyle w:val="a1"/>
              <w:widowControl w:val="0"/>
              <w:spacing w:line="240" w:lineRule="auto"/>
              <w:cnfStyle w:val="000000000000" w:firstRow="0" w:lastRow="0" w:firstColumn="0" w:lastColumn="0" w:oddVBand="0" w:evenVBand="0" w:oddHBand="0" w:evenHBand="0" w:firstRowFirstColumn="0" w:firstRowLastColumn="0" w:lastRowFirstColumn="0" w:lastRowLastColumn="0"/>
              <w:rPr>
                <w:sz w:val="22"/>
                <w:szCs w:val="20"/>
                <w:lang w:val="ru-RU"/>
              </w:rPr>
            </w:pPr>
            <w:r w:rsidRPr="00413276">
              <w:rPr>
                <w:sz w:val="22"/>
                <w:szCs w:val="20"/>
                <w:lang w:val="ru-RU"/>
              </w:rPr>
              <w:t>Кыргызская Республика</w:t>
            </w:r>
          </w:p>
          <w:p w14:paraId="31FE1FF3" w14:textId="1D7C522C" w:rsidR="00E1795C" w:rsidRPr="00E1795C" w:rsidRDefault="00E1795C" w:rsidP="00E868B9">
            <w:pPr>
              <w:pStyle w:val="a1"/>
              <w:widowControl w:val="0"/>
              <w:spacing w:line="240" w:lineRule="auto"/>
              <w:jc w:val="both"/>
              <w:cnfStyle w:val="000000000000" w:firstRow="0" w:lastRow="0" w:firstColumn="0" w:lastColumn="0" w:oddVBand="0" w:evenVBand="0" w:oddHBand="0" w:evenHBand="0" w:firstRowFirstColumn="0" w:firstRowLastColumn="0" w:lastRowFirstColumn="0" w:lastRowLastColumn="0"/>
              <w:rPr>
                <w:sz w:val="22"/>
                <w:szCs w:val="20"/>
                <w:lang w:val="ru-RU"/>
              </w:rPr>
            </w:pPr>
            <w:r w:rsidRPr="00E1795C">
              <w:rPr>
                <w:sz w:val="22"/>
                <w:szCs w:val="20"/>
                <w:lang w:val="ru-RU"/>
              </w:rPr>
              <w:t xml:space="preserve">Несмотря на улучшение законодательства в сфере здравоохранения, ряд НПА продолжают содержать нормы, создающие барьеры для доступности услуг в связи с ВИЧ и ТБ, либо не предусматривают новые тенденции, которые расширили бы доступность услуг. Например, ключевые группы, контактные лица </w:t>
            </w:r>
            <w:r w:rsidR="00CC6F34">
              <w:rPr>
                <w:sz w:val="22"/>
                <w:szCs w:val="20"/>
                <w:lang w:val="ru-RU"/>
              </w:rPr>
              <w:t>людей с ТБ</w:t>
            </w:r>
            <w:r w:rsidRPr="00E1795C">
              <w:rPr>
                <w:sz w:val="22"/>
                <w:szCs w:val="20"/>
                <w:lang w:val="ru-RU"/>
              </w:rPr>
              <w:t xml:space="preserve"> не имеют возможности проходить бесплатное обследование на туберкулез</w:t>
            </w:r>
            <w:r w:rsidR="00CC6F34">
              <w:rPr>
                <w:sz w:val="22"/>
                <w:szCs w:val="20"/>
                <w:lang w:val="ru-RU"/>
              </w:rPr>
              <w:t>;</w:t>
            </w:r>
            <w:r w:rsidRPr="00E1795C">
              <w:rPr>
                <w:sz w:val="22"/>
                <w:szCs w:val="20"/>
                <w:lang w:val="ru-RU"/>
              </w:rPr>
              <w:t xml:space="preserve"> участие в программах заместительной терапии предусматривает постановку на наркологический учет</w:t>
            </w:r>
            <w:r w:rsidR="00A26916">
              <w:rPr>
                <w:rStyle w:val="aff1"/>
                <w:sz w:val="22"/>
                <w:szCs w:val="20"/>
                <w:lang w:val="ru-RU"/>
              </w:rPr>
              <w:footnoteReference w:id="23"/>
            </w:r>
            <w:r w:rsidRPr="00E1795C">
              <w:rPr>
                <w:sz w:val="22"/>
                <w:szCs w:val="20"/>
                <w:lang w:val="ru-RU"/>
              </w:rPr>
              <w:t xml:space="preserve"> и </w:t>
            </w:r>
            <w:r w:rsidR="00CC6F34">
              <w:rPr>
                <w:sz w:val="22"/>
                <w:szCs w:val="20"/>
                <w:lang w:val="ru-RU"/>
              </w:rPr>
              <w:t>т</w:t>
            </w:r>
            <w:r w:rsidR="00A26916">
              <w:rPr>
                <w:sz w:val="22"/>
                <w:szCs w:val="20"/>
                <w:lang w:val="ru-RU"/>
              </w:rPr>
              <w:t>.</w:t>
            </w:r>
            <w:r w:rsidR="00CC6F34">
              <w:rPr>
                <w:sz w:val="22"/>
                <w:szCs w:val="20"/>
                <w:lang w:val="ru-RU"/>
              </w:rPr>
              <w:t>д</w:t>
            </w:r>
            <w:r w:rsidRPr="00E1795C">
              <w:rPr>
                <w:sz w:val="22"/>
                <w:szCs w:val="20"/>
                <w:lang w:val="ru-RU"/>
              </w:rPr>
              <w:t>.</w:t>
            </w:r>
          </w:p>
          <w:p w14:paraId="6E05CD8C" w14:textId="5E5BCE1F" w:rsidR="00DF7AF8" w:rsidRDefault="00E868B9" w:rsidP="00E868B9">
            <w:pPr>
              <w:pStyle w:val="a1"/>
              <w:widowControl w:val="0"/>
              <w:spacing w:line="240" w:lineRule="auto"/>
              <w:jc w:val="both"/>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И</w:t>
            </w:r>
            <w:r w:rsidR="009D6854" w:rsidRPr="009D6854">
              <w:rPr>
                <w:sz w:val="22"/>
                <w:szCs w:val="20"/>
                <w:lang w:val="ru-RU"/>
              </w:rPr>
              <w:t xml:space="preserve">спользование инструмента мониторинга силами сообществ для улучшения качества услуг, повышения эффективности использования ресурсов, остается ограниченным. Результаты проведенных мероприятий в рамках мониторинга силами сообществ не используются в должной мере </w:t>
            </w:r>
            <w:r>
              <w:rPr>
                <w:sz w:val="22"/>
                <w:szCs w:val="20"/>
                <w:lang w:val="ru-RU"/>
              </w:rPr>
              <w:t>для анализа и влияния на</w:t>
            </w:r>
            <w:r w:rsidRPr="009D6854">
              <w:rPr>
                <w:sz w:val="22"/>
                <w:szCs w:val="20"/>
                <w:lang w:val="ru-RU"/>
              </w:rPr>
              <w:t xml:space="preserve"> </w:t>
            </w:r>
            <w:r w:rsidR="009D6854" w:rsidRPr="009D6854">
              <w:rPr>
                <w:sz w:val="22"/>
                <w:szCs w:val="20"/>
                <w:lang w:val="ru-RU"/>
              </w:rPr>
              <w:t>изменение ситуации в соответствующих сферах.</w:t>
            </w:r>
            <w:r w:rsidR="009D6854">
              <w:rPr>
                <w:sz w:val="22"/>
                <w:szCs w:val="20"/>
                <w:lang w:val="ru-RU"/>
              </w:rPr>
              <w:t xml:space="preserve"> </w:t>
            </w:r>
            <w:r w:rsidR="009D6854" w:rsidRPr="009D6854">
              <w:rPr>
                <w:lang w:val="ru-RU"/>
              </w:rPr>
              <w:t xml:space="preserve"> </w:t>
            </w:r>
            <w:r>
              <w:rPr>
                <w:sz w:val="22"/>
                <w:szCs w:val="20"/>
                <w:lang w:val="ru-RU"/>
              </w:rPr>
              <w:t>Среди причин ограниченного</w:t>
            </w:r>
            <w:r w:rsidR="009D6854" w:rsidRPr="009D6854">
              <w:rPr>
                <w:sz w:val="22"/>
                <w:szCs w:val="20"/>
                <w:lang w:val="ru-RU"/>
              </w:rPr>
              <w:t xml:space="preserve"> использовани</w:t>
            </w:r>
            <w:r>
              <w:rPr>
                <w:sz w:val="22"/>
                <w:szCs w:val="20"/>
                <w:lang w:val="ru-RU"/>
              </w:rPr>
              <w:t>я</w:t>
            </w:r>
            <w:r w:rsidR="009D6854" w:rsidRPr="009D6854">
              <w:rPr>
                <w:sz w:val="22"/>
                <w:szCs w:val="20"/>
                <w:lang w:val="ru-RU"/>
              </w:rPr>
              <w:t xml:space="preserve"> инструмента мониторинга силами сообществ могут быть</w:t>
            </w:r>
            <w:r>
              <w:rPr>
                <w:sz w:val="22"/>
                <w:szCs w:val="20"/>
                <w:lang w:val="ru-RU"/>
              </w:rPr>
              <w:t>:</w:t>
            </w:r>
            <w:r w:rsidR="009D6854" w:rsidRPr="009D6854">
              <w:rPr>
                <w:sz w:val="22"/>
                <w:szCs w:val="20"/>
                <w:lang w:val="ru-RU"/>
              </w:rPr>
              <w:t xml:space="preserve"> недостаточное понимание сообществ данно</w:t>
            </w:r>
            <w:r>
              <w:rPr>
                <w:sz w:val="22"/>
                <w:szCs w:val="20"/>
                <w:lang w:val="ru-RU"/>
              </w:rPr>
              <w:t>го</w:t>
            </w:r>
            <w:r w:rsidR="009D6854" w:rsidRPr="009D6854">
              <w:rPr>
                <w:sz w:val="22"/>
                <w:szCs w:val="20"/>
                <w:lang w:val="ru-RU"/>
              </w:rPr>
              <w:t xml:space="preserve"> инструмент</w:t>
            </w:r>
            <w:r>
              <w:rPr>
                <w:sz w:val="22"/>
                <w:szCs w:val="20"/>
                <w:lang w:val="ru-RU"/>
              </w:rPr>
              <w:t>а</w:t>
            </w:r>
            <w:r w:rsidR="009D6854" w:rsidRPr="009D6854">
              <w:rPr>
                <w:sz w:val="22"/>
                <w:szCs w:val="20"/>
                <w:lang w:val="ru-RU"/>
              </w:rPr>
              <w:t>, возможност</w:t>
            </w:r>
            <w:r>
              <w:rPr>
                <w:sz w:val="22"/>
                <w:szCs w:val="20"/>
                <w:lang w:val="ru-RU"/>
              </w:rPr>
              <w:t>ей</w:t>
            </w:r>
            <w:r w:rsidR="009D6854" w:rsidRPr="009D6854">
              <w:rPr>
                <w:sz w:val="22"/>
                <w:szCs w:val="20"/>
                <w:lang w:val="ru-RU"/>
              </w:rPr>
              <w:t xml:space="preserve"> его использования, отсутствие мотивации осуществлять мониторинг.</w:t>
            </w:r>
          </w:p>
          <w:p w14:paraId="791CEE34" w14:textId="61AA8152" w:rsidR="00F1658B" w:rsidRPr="008B08A2" w:rsidRDefault="005063AD" w:rsidP="00E868B9">
            <w:pPr>
              <w:pStyle w:val="a1"/>
              <w:widowControl w:val="0"/>
              <w:spacing w:line="240" w:lineRule="auto"/>
              <w:jc w:val="both"/>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Одновременно, изменяющая политическая ситуация в стране и регионе, законодательные инициативы по сужению пространства для участия сообществ в страновых процессах, может повлиять на возможности участия гражданского сектора в предоставлении услуг в связи с ВИЧ и ТБ, и, соответственно повлияет на эффективность программ профилактики, лечения и ухода.</w:t>
            </w:r>
          </w:p>
        </w:tc>
      </w:tr>
      <w:tr w:rsidR="00AD6B37" w14:paraId="35346890" w14:textId="77777777" w:rsidTr="004132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0ED0B496" w14:textId="77777777" w:rsidR="00AD6B37" w:rsidRDefault="00AD6B37" w:rsidP="00E868B9">
            <w:pPr>
              <w:pStyle w:val="a1"/>
              <w:widowControl w:val="0"/>
              <w:spacing w:line="240" w:lineRule="auto"/>
            </w:pPr>
            <w:r>
              <w:rPr>
                <w:lang w:val="ru-RU"/>
              </w:rPr>
              <w:t>Запрашиваемая сумма</w:t>
            </w:r>
          </w:p>
        </w:tc>
        <w:tc>
          <w:tcPr>
            <w:tcW w:w="13036" w:type="dxa"/>
          </w:tcPr>
          <w:p w14:paraId="77ACA49F" w14:textId="77777777" w:rsidR="00AD6B37" w:rsidRPr="00621F12" w:rsidRDefault="00AD6B37" w:rsidP="00E868B9">
            <w:pPr>
              <w:pStyle w:val="a1"/>
              <w:widowControl w:val="0"/>
              <w:spacing w:line="240" w:lineRule="auto"/>
              <w:cnfStyle w:val="000000100000" w:firstRow="0" w:lastRow="0" w:firstColumn="0" w:lastColumn="0" w:oddVBand="0" w:evenVBand="0" w:oddHBand="1" w:evenHBand="0" w:firstRowFirstColumn="0" w:firstRowLastColumn="0" w:lastRowFirstColumn="0" w:lastRowLastColumn="0"/>
              <w:rPr>
                <w:sz w:val="22"/>
                <w:szCs w:val="20"/>
              </w:rPr>
            </w:pPr>
          </w:p>
        </w:tc>
      </w:tr>
      <w:tr w:rsidR="00AD6B37" w14:paraId="1EAA26F1" w14:textId="77777777" w:rsidTr="00413276">
        <w:tc>
          <w:tcPr>
            <w:cnfStyle w:val="001000000000" w:firstRow="0" w:lastRow="0" w:firstColumn="1" w:lastColumn="0" w:oddVBand="0" w:evenVBand="0" w:oddHBand="0" w:evenHBand="0" w:firstRowFirstColumn="0" w:firstRowLastColumn="0" w:lastRowFirstColumn="0" w:lastRowLastColumn="0"/>
            <w:tcW w:w="2127" w:type="dxa"/>
          </w:tcPr>
          <w:p w14:paraId="369C3F72" w14:textId="77777777" w:rsidR="00AD6B37" w:rsidRDefault="00AD6B37" w:rsidP="00E868B9">
            <w:pPr>
              <w:pStyle w:val="a1"/>
              <w:widowControl w:val="0"/>
              <w:spacing w:line="240" w:lineRule="auto"/>
            </w:pPr>
            <w:r w:rsidRPr="00A55CBF">
              <w:rPr>
                <w:lang w:val="ru-RU"/>
              </w:rPr>
              <w:t>Ожидаемый результат</w:t>
            </w:r>
          </w:p>
        </w:tc>
        <w:tc>
          <w:tcPr>
            <w:tcW w:w="13036" w:type="dxa"/>
          </w:tcPr>
          <w:p w14:paraId="233AB7CE" w14:textId="77777777" w:rsidR="00AD6B37" w:rsidRPr="00621F12" w:rsidRDefault="00AD6B37" w:rsidP="00E868B9">
            <w:pPr>
              <w:pStyle w:val="a1"/>
              <w:widowControl w:val="0"/>
              <w:spacing w:line="240" w:lineRule="auto"/>
              <w:cnfStyle w:val="000000000000" w:firstRow="0" w:lastRow="0" w:firstColumn="0" w:lastColumn="0" w:oddVBand="0" w:evenVBand="0" w:oddHBand="0" w:evenHBand="0" w:firstRowFirstColumn="0" w:firstRowLastColumn="0" w:lastRowFirstColumn="0" w:lastRowLastColumn="0"/>
              <w:rPr>
                <w:sz w:val="22"/>
                <w:szCs w:val="20"/>
              </w:rPr>
            </w:pPr>
          </w:p>
        </w:tc>
      </w:tr>
    </w:tbl>
    <w:p w14:paraId="0949DEA1" w14:textId="2F02A85E" w:rsidR="009C4412" w:rsidRPr="00897AE2" w:rsidRDefault="009C4412" w:rsidP="007B1634">
      <w:pPr>
        <w:spacing w:after="200"/>
        <w:rPr>
          <w:sz w:val="20"/>
          <w:szCs w:val="20"/>
        </w:rPr>
      </w:pPr>
    </w:p>
    <w:tbl>
      <w:tblPr>
        <w:tblStyle w:val="110"/>
        <w:tblpPr w:leftFromText="181" w:rightFromText="181" w:vertAnchor="page" w:horzAnchor="margin" w:tblpY="815"/>
        <w:tblW w:w="15163" w:type="dxa"/>
        <w:tblLook w:val="04A0" w:firstRow="1" w:lastRow="0" w:firstColumn="1" w:lastColumn="0" w:noHBand="0" w:noVBand="1"/>
      </w:tblPr>
      <w:tblGrid>
        <w:gridCol w:w="2138"/>
        <w:gridCol w:w="13025"/>
      </w:tblGrid>
      <w:tr w:rsidR="009C4412" w:rsidRPr="00C65A61" w14:paraId="287EA650" w14:textId="77777777" w:rsidTr="008D14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301D7E7B" w14:textId="3BCBDEDB" w:rsidR="009C4412" w:rsidRPr="00783A24" w:rsidRDefault="009C4412" w:rsidP="008D14E4">
            <w:pPr>
              <w:pStyle w:val="a1"/>
              <w:rPr>
                <w:lang w:val="ru-RU"/>
              </w:rPr>
            </w:pPr>
            <w:r>
              <w:rPr>
                <w:lang w:val="ru-RU"/>
              </w:rPr>
              <w:lastRenderedPageBreak/>
              <w:t>Модуль №</w:t>
            </w:r>
            <w:r>
              <w:t xml:space="preserve"> </w:t>
            </w:r>
            <w:r w:rsidR="00540290" w:rsidRPr="00A55CBF">
              <w:rPr>
                <w:lang w:val="ru-RU"/>
              </w:rPr>
              <w:t>3</w:t>
            </w:r>
          </w:p>
        </w:tc>
        <w:tc>
          <w:tcPr>
            <w:tcW w:w="13025" w:type="dxa"/>
          </w:tcPr>
          <w:p w14:paraId="768A08C0" w14:textId="4BF16762" w:rsidR="009C4412" w:rsidRPr="0031646F" w:rsidRDefault="009C4412" w:rsidP="008D14E4">
            <w:pPr>
              <w:pStyle w:val="a1"/>
              <w:cnfStyle w:val="100000000000" w:firstRow="1" w:lastRow="0" w:firstColumn="0" w:lastColumn="0" w:oddVBand="0" w:evenVBand="0" w:oddHBand="0" w:evenHBand="0" w:firstRowFirstColumn="0" w:firstRowLastColumn="0" w:lastRowFirstColumn="0" w:lastRowLastColumn="0"/>
              <w:rPr>
                <w:lang w:val="ru-RU"/>
              </w:rPr>
            </w:pPr>
            <w:r w:rsidRPr="00C119A7">
              <w:rPr>
                <w:szCs w:val="24"/>
              </w:rPr>
              <w:t>Управление программой</w:t>
            </w:r>
          </w:p>
        </w:tc>
      </w:tr>
      <w:tr w:rsidR="009C4412" w:rsidRPr="00A26916" w14:paraId="6A9E61C3" w14:textId="77777777" w:rsidTr="008D14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1DBF0895" w14:textId="202213B9" w:rsidR="009C4412" w:rsidRDefault="00901EEB" w:rsidP="008D14E4">
            <w:pPr>
              <w:pStyle w:val="a1"/>
            </w:pPr>
            <w:r>
              <w:rPr>
                <w:lang w:val="ru-RU"/>
              </w:rPr>
              <w:t>Вмешательства</w:t>
            </w:r>
          </w:p>
        </w:tc>
        <w:tc>
          <w:tcPr>
            <w:tcW w:w="13025" w:type="dxa"/>
          </w:tcPr>
          <w:p w14:paraId="276EC59F" w14:textId="77777777" w:rsidR="003F46D5" w:rsidRPr="003F46D5" w:rsidRDefault="003F46D5" w:rsidP="003F46D5">
            <w:pPr>
              <w:jc w:val="both"/>
              <w:cnfStyle w:val="000000100000" w:firstRow="0" w:lastRow="0" w:firstColumn="0" w:lastColumn="0" w:oddVBand="0" w:evenVBand="0" w:oddHBand="1" w:evenHBand="0" w:firstRowFirstColumn="0" w:firstRowLastColumn="0" w:lastRowFirstColumn="0" w:lastRowLastColumn="0"/>
              <w:rPr>
                <w:lang w:val="ru-RU"/>
              </w:rPr>
            </w:pPr>
            <w:r w:rsidRPr="003F46D5">
              <w:rPr>
                <w:lang w:val="ru-RU"/>
              </w:rPr>
              <w:t xml:space="preserve">Программа Развития Организации Объединенных Наций (ПРООН), действующий Основной реципиент (ОП), выполняет свои функции и реализует процедуры в соответствии с требованиями ГФ, а также национальным законодательством. ОП отвечает за реализацию проекта, включая надзор за суб-реципиентами (СР) и суб-суб-реципиентами (ССР). ПРООН выполняет функции закупок (медицинских и немедицинских товаров, оборудования и услуг), финансового управления проектом, мониторинга и оценки, а также отчетности перед ГФ. </w:t>
            </w:r>
          </w:p>
          <w:p w14:paraId="5FA02F3D" w14:textId="7DA4BC0F" w:rsidR="003F46D5" w:rsidRPr="003F46D5" w:rsidRDefault="003F46D5" w:rsidP="003F46D5">
            <w:pPr>
              <w:jc w:val="both"/>
              <w:cnfStyle w:val="000000100000" w:firstRow="0" w:lastRow="0" w:firstColumn="0" w:lastColumn="0" w:oddVBand="0" w:evenVBand="0" w:oddHBand="1" w:evenHBand="0" w:firstRowFirstColumn="0" w:firstRowLastColumn="0" w:lastRowFirstColumn="0" w:lastRowLastColumn="0"/>
              <w:rPr>
                <w:color w:val="FF0000"/>
                <w:lang w:val="ru-RU"/>
              </w:rPr>
            </w:pPr>
            <w:r w:rsidRPr="003F46D5">
              <w:rPr>
                <w:lang w:val="ru-RU"/>
              </w:rPr>
              <w:t>Страновой координационный комитет по ВИЧ и ТБ (СКК) при Координационном совете обществе</w:t>
            </w:r>
            <w:r w:rsidR="00A26916">
              <w:rPr>
                <w:lang w:val="ru-RU"/>
              </w:rPr>
              <w:t>нного здравоохранения (КСОЗ</w:t>
            </w:r>
            <w:r w:rsidRPr="003F46D5">
              <w:rPr>
                <w:lang w:val="ru-RU"/>
              </w:rPr>
              <w:t>) продолжит надзор за реализацией проекта и обеспечит надлежащую координацию между различными секторами и программами, что обеспечит согласованность всех текущих мероприятий и предотвратит неэффективное использование средств, дублирование деятельности и т. д. Один раз в год, после направления отчета в ГФ (</w:t>
            </w:r>
            <w:r w:rsidRPr="003F46D5">
              <w:t>PUDR</w:t>
            </w:r>
            <w:r w:rsidRPr="003F46D5">
              <w:rPr>
                <w:lang w:val="ru-RU"/>
              </w:rPr>
              <w:t xml:space="preserve">), ПРООН будет представлять на рассмотрение СКК панель показателей эффективности гранта. Эта информационная панель будет отражать текущий прогресс в реализации проекта, достижение показателей, расходы и проблемы реализации. СКК будет использовать эту информацию для утверждения поправок к программе и выделения/перераспределения ресурсов, если это необходимо. СКК также будет своевременно проинформирован и привлечен, если возникнут какие-либо серьезные проблемы в ходе реализации проекта, а также при обсуждении и утверждении перераспределения потенциальной экономии средств. </w:t>
            </w:r>
          </w:p>
          <w:p w14:paraId="1F412622" w14:textId="77777777" w:rsidR="003F46D5" w:rsidRPr="003F46D5" w:rsidRDefault="003F46D5" w:rsidP="003F46D5">
            <w:pPr>
              <w:jc w:val="both"/>
              <w:cnfStyle w:val="000000100000" w:firstRow="0" w:lastRow="0" w:firstColumn="0" w:lastColumn="0" w:oddVBand="0" w:evenVBand="0" w:oddHBand="1" w:evenHBand="0" w:firstRowFirstColumn="0" w:firstRowLastColumn="0" w:lastRowFirstColumn="0" w:lastRowLastColumn="0"/>
              <w:rPr>
                <w:rFonts w:cstheme="minorHAnsi"/>
                <w:b/>
                <w:bCs/>
                <w:lang w:val="ru-RU"/>
              </w:rPr>
            </w:pPr>
            <w:r w:rsidRPr="003F46D5">
              <w:rPr>
                <w:rFonts w:cstheme="minorHAnsi"/>
                <w:b/>
                <w:bCs/>
                <w:lang w:val="ru-RU"/>
              </w:rPr>
              <w:t>Механизмы реализации для субреципиентов</w:t>
            </w:r>
          </w:p>
          <w:p w14:paraId="12088B0B" w14:textId="529B9826" w:rsidR="003F46D5" w:rsidRPr="003F46D5" w:rsidRDefault="003F46D5" w:rsidP="003F46D5">
            <w:pPr>
              <w:jc w:val="both"/>
              <w:cnfStyle w:val="000000100000" w:firstRow="0" w:lastRow="0" w:firstColumn="0" w:lastColumn="0" w:oddVBand="0" w:evenVBand="0" w:oddHBand="1" w:evenHBand="0" w:firstRowFirstColumn="0" w:firstRowLastColumn="0" w:lastRowFirstColumn="0" w:lastRowLastColumn="0"/>
              <w:rPr>
                <w:rFonts w:cstheme="minorHAnsi"/>
                <w:lang w:val="ru-RU"/>
              </w:rPr>
            </w:pPr>
            <w:r w:rsidRPr="003F46D5">
              <w:rPr>
                <w:rFonts w:cstheme="minorHAnsi"/>
                <w:lang w:val="ru-RU"/>
              </w:rPr>
              <w:t xml:space="preserve">Процедуры выбора субреципиентов зависят от типа организации субреципиента (государственная или неправительственная, агентство ООН, организация частного сектора) и будут осуществляться в соответствии с ПРООН/ГФ требованиями. Страновой офис ПРООН оценит технические и финансовые возможности потенциального субреципиента (включая возможности закупок, если необходимо) и порекомендует необходимые меры для устранения любых выявленных пробелов в возможностях. После оценки потенциала страновой офис ПРООН подписывает стандартное соглашение по СР. Отбор НПО и организаций частного сектора регулируется процедурами, изложенными в разделе «Управление контрактами, активами и закупками» Программных и операционных политик и процедур ПРООН. </w:t>
            </w:r>
          </w:p>
          <w:p w14:paraId="6CCAE9C7" w14:textId="0326372C" w:rsidR="003F46D5" w:rsidRPr="003F46D5" w:rsidRDefault="003F46D5" w:rsidP="003F46D5">
            <w:pPr>
              <w:jc w:val="both"/>
              <w:cnfStyle w:val="000000100000" w:firstRow="0" w:lastRow="0" w:firstColumn="0" w:lastColumn="0" w:oddVBand="0" w:evenVBand="0" w:oddHBand="1" w:evenHBand="0" w:firstRowFirstColumn="0" w:firstRowLastColumn="0" w:lastRowFirstColumn="0" w:lastRowLastColumn="0"/>
              <w:rPr>
                <w:rFonts w:cstheme="minorHAnsi"/>
                <w:lang w:val="ru-RU"/>
              </w:rPr>
            </w:pPr>
            <w:r w:rsidRPr="003F46D5">
              <w:rPr>
                <w:rFonts w:cstheme="minorHAnsi"/>
                <w:lang w:val="ru-RU"/>
              </w:rPr>
              <w:t xml:space="preserve">В целях дальнейшего усиления роли Министерства здравоохранения в национальных ответных мерах на ТБ и ВИЧ и обеспечения устойчивости программ приказом Минздрава от 2019 г. на Центр развития здравоохранения и медицинских технологий (ЦРЗиМТ) возложена координация, мобилизация и эффективное использование донорского финансирования и грантов, а также при участии в управлении и реализации международных инвестиционных программ и проектов, включая реализацию грантовой деятельности в рамках обоих компонентов ГФ. Как юридическое лицо ЦРЗиМТ имеет отдельный банковский счет и вправе заключать договоры с юридическими и физическими лицами. ЦРЗиМТ будет выступать в качестве основного субреципиента (ОСР) ПРООН (основной реципиент) и будет отвечать за управление, реализацию, мониторинг и оценку мероприятий по профилактике, уходу и поддержке ВИЧ и ТБ, осуществляемых организациями общественного здравоохранения. В свою очередь, для обеспечения эффективности реализуемых мероприятий, достижения целей проекта </w:t>
            </w:r>
            <w:r w:rsidRPr="003F46D5">
              <w:rPr>
                <w:rFonts w:cstheme="minorHAnsi"/>
                <w:lang w:val="ru-RU"/>
              </w:rPr>
              <w:lastRenderedPageBreak/>
              <w:t xml:space="preserve">и облегчения процессов управления грантом, ЦРЗиМТ реализует весь спектр мероприятий проектного цикла для трех субреципиентов (ЦРЗиМТ является СР, т.е. суб-суб-реципиенты ПРООН): НЦФ, </w:t>
            </w:r>
            <w:r w:rsidR="00320D42" w:rsidRPr="00320D42">
              <w:rPr>
                <w:rFonts w:cstheme="minorHAnsi"/>
                <w:lang w:val="ru-RU"/>
              </w:rPr>
              <w:t>РЦКГВГиВИЧ</w:t>
            </w:r>
            <w:r w:rsidR="00320D42" w:rsidRPr="003F46D5" w:rsidDel="00320D42">
              <w:rPr>
                <w:rFonts w:cstheme="minorHAnsi"/>
                <w:lang w:val="ru-RU"/>
              </w:rPr>
              <w:t xml:space="preserve"> </w:t>
            </w:r>
            <w:r w:rsidRPr="003F46D5">
              <w:rPr>
                <w:rFonts w:cstheme="minorHAnsi"/>
                <w:lang w:val="ru-RU"/>
              </w:rPr>
              <w:t>и</w:t>
            </w:r>
            <w:r w:rsidR="00626EB2">
              <w:rPr>
                <w:rFonts w:cstheme="minorHAnsi"/>
                <w:lang w:val="ru-RU"/>
              </w:rPr>
              <w:t xml:space="preserve"> РЦПН</w:t>
            </w:r>
            <w:r w:rsidRPr="003F46D5">
              <w:rPr>
                <w:rFonts w:cstheme="minorHAnsi"/>
                <w:lang w:val="ru-RU"/>
              </w:rPr>
              <w:t xml:space="preserve"> с минимальным штатом сотрудников проекта, причем передача данных государственных медицинских организаций под управление ЦРЗиМТ будет осуществляться постепенно, по одной в каждый проектный год. Операции ЦРЗиМТ регулируются действующим Операционным руководством, гармонизированным с процедурами ГФ и национальным законодательством. </w:t>
            </w:r>
          </w:p>
          <w:p w14:paraId="3F776DC1" w14:textId="77777777" w:rsidR="003F46D5" w:rsidRPr="003F46D5" w:rsidRDefault="003F46D5" w:rsidP="003F46D5">
            <w:pPr>
              <w:jc w:val="both"/>
              <w:cnfStyle w:val="000000100000" w:firstRow="0" w:lastRow="0" w:firstColumn="0" w:lastColumn="0" w:oddVBand="0" w:evenVBand="0" w:oddHBand="1" w:evenHBand="0" w:firstRowFirstColumn="0" w:firstRowLastColumn="0" w:lastRowFirstColumn="0" w:lastRowLastColumn="0"/>
              <w:rPr>
                <w:rFonts w:cstheme="minorHAnsi"/>
                <w:lang w:val="ru-RU"/>
              </w:rPr>
            </w:pPr>
            <w:r w:rsidRPr="003F46D5">
              <w:rPr>
                <w:rFonts w:cstheme="minorHAnsi"/>
                <w:lang w:val="ru-RU"/>
              </w:rPr>
              <w:t>ЦРЗиМТ будет управлять следующими видами деятельности:</w:t>
            </w:r>
          </w:p>
          <w:p w14:paraId="63BA65B2" w14:textId="77777777" w:rsidR="003F46D5" w:rsidRPr="003F46D5" w:rsidRDefault="003F46D5" w:rsidP="003F46D5">
            <w:pPr>
              <w:jc w:val="both"/>
              <w:cnfStyle w:val="000000100000" w:firstRow="0" w:lastRow="0" w:firstColumn="0" w:lastColumn="0" w:oddVBand="0" w:evenVBand="0" w:oddHBand="1" w:evenHBand="0" w:firstRowFirstColumn="0" w:firstRowLastColumn="0" w:lastRowFirstColumn="0" w:lastRowLastColumn="0"/>
              <w:rPr>
                <w:rFonts w:cstheme="minorHAnsi"/>
                <w:lang w:val="ru-RU"/>
              </w:rPr>
            </w:pPr>
            <w:r w:rsidRPr="003F46D5">
              <w:rPr>
                <w:rFonts w:cstheme="minorHAnsi"/>
                <w:lang w:val="ru-RU"/>
              </w:rPr>
              <w:t xml:space="preserve">НЦФ – осуществлять мероприятия, направленные на борьбу с лекарственно-устойчивым туберкулезом (ЛУ-ТБ), включая выявление, диагностику и лечение больных туберкулезом, в том числе в местах лишения свободы; </w:t>
            </w:r>
          </w:p>
          <w:p w14:paraId="00DC3CAD" w14:textId="3B567A83" w:rsidR="003F46D5" w:rsidRPr="003F46D5" w:rsidRDefault="003F46D5" w:rsidP="003F46D5">
            <w:pPr>
              <w:jc w:val="both"/>
              <w:cnfStyle w:val="000000100000" w:firstRow="0" w:lastRow="0" w:firstColumn="0" w:lastColumn="0" w:oddVBand="0" w:evenVBand="0" w:oddHBand="1" w:evenHBand="0" w:firstRowFirstColumn="0" w:firstRowLastColumn="0" w:lastRowFirstColumn="0" w:lastRowLastColumn="0"/>
              <w:rPr>
                <w:rFonts w:cstheme="minorHAnsi"/>
                <w:lang w:val="ru-RU"/>
              </w:rPr>
            </w:pPr>
            <w:r w:rsidRPr="003F46D5">
              <w:rPr>
                <w:rFonts w:cstheme="minorHAnsi"/>
                <w:lang w:val="ru-RU"/>
              </w:rPr>
              <w:t>Р</w:t>
            </w:r>
            <w:r w:rsidR="00626EB2">
              <w:rPr>
                <w:rFonts w:cstheme="minorHAnsi"/>
                <w:lang w:val="ru-RU"/>
              </w:rPr>
              <w:t>ЦКГВГиВИЧ</w:t>
            </w:r>
            <w:r w:rsidRPr="003F46D5">
              <w:rPr>
                <w:rFonts w:cstheme="minorHAnsi"/>
                <w:lang w:val="ru-RU"/>
              </w:rPr>
              <w:t xml:space="preserve"> – осуществлять мероприятия по лечению и уходу для ключевых групп населения (</w:t>
            </w:r>
            <w:r w:rsidRPr="003F46D5">
              <w:rPr>
                <w:rFonts w:cstheme="minorHAnsi"/>
                <w:lang w:val="en-GB"/>
              </w:rPr>
              <w:t>K</w:t>
            </w:r>
            <w:r w:rsidRPr="003F46D5">
              <w:rPr>
                <w:rFonts w:cstheme="minorHAnsi"/>
                <w:lang w:val="ru-RU"/>
              </w:rPr>
              <w:t xml:space="preserve">Г) и всех ЛЖВ, тестирование и консультирование КГ в связи с ВИЧ, развитие потенциала поставщиков медицинских и немедицинских услуг, связанных с ВИЧ, МиО и меры по снижению стигмы. </w:t>
            </w:r>
          </w:p>
          <w:p w14:paraId="1C10789D" w14:textId="242674C4" w:rsidR="003F46D5" w:rsidRPr="003F46D5" w:rsidRDefault="00626EB2" w:rsidP="003F46D5">
            <w:pPr>
              <w:jc w:val="both"/>
              <w:cnfStyle w:val="000000100000" w:firstRow="0" w:lastRow="0" w:firstColumn="0" w:lastColumn="0" w:oddVBand="0" w:evenVBand="0" w:oddHBand="1" w:evenHBand="0" w:firstRowFirstColumn="0" w:firstRowLastColumn="0" w:lastRowFirstColumn="0" w:lastRowLastColumn="0"/>
              <w:rPr>
                <w:rFonts w:cstheme="minorHAnsi"/>
                <w:lang w:val="ru-RU"/>
              </w:rPr>
            </w:pPr>
            <w:r>
              <w:rPr>
                <w:rFonts w:cstheme="minorHAnsi"/>
                <w:lang w:val="ru-RU"/>
              </w:rPr>
              <w:t>РЦПН</w:t>
            </w:r>
            <w:r w:rsidR="003F46D5" w:rsidRPr="003F46D5">
              <w:rPr>
                <w:rFonts w:cstheme="minorHAnsi"/>
                <w:lang w:val="ru-RU"/>
              </w:rPr>
              <w:t xml:space="preserve"> – реализует </w:t>
            </w:r>
            <w:r>
              <w:rPr>
                <w:rFonts w:cstheme="minorHAnsi"/>
                <w:lang w:val="ru-RU"/>
              </w:rPr>
              <w:t>программы терапии агонистами опиоидов (ПТАО)</w:t>
            </w:r>
            <w:r w:rsidR="003F46D5" w:rsidRPr="003F46D5">
              <w:rPr>
                <w:rFonts w:cstheme="minorHAnsi"/>
                <w:lang w:val="ru-RU"/>
              </w:rPr>
              <w:t xml:space="preserve"> для ЛУИН, в том числе в условиях мест лишения свободы, профилактические программы для ЛУИН (пункты обмена игл), в том числе в условиях мест лишения свободы, программу профилактики передозировок, осуществляет надзор за реализацией вышеуказанных программ в пенитенциарной системе. </w:t>
            </w:r>
          </w:p>
          <w:p w14:paraId="3EEFE89E" w14:textId="77777777" w:rsidR="003F46D5" w:rsidRPr="003F46D5" w:rsidRDefault="003F46D5" w:rsidP="003F46D5">
            <w:pPr>
              <w:jc w:val="both"/>
              <w:cnfStyle w:val="000000100000" w:firstRow="0" w:lastRow="0" w:firstColumn="0" w:lastColumn="0" w:oddVBand="0" w:evenVBand="0" w:oddHBand="1" w:evenHBand="0" w:firstRowFirstColumn="0" w:firstRowLastColumn="0" w:lastRowFirstColumn="0" w:lastRowLastColumn="0"/>
              <w:rPr>
                <w:rFonts w:cstheme="minorHAnsi"/>
                <w:lang w:val="ru-RU"/>
              </w:rPr>
            </w:pPr>
            <w:r w:rsidRPr="003F46D5">
              <w:rPr>
                <w:rFonts w:cstheme="minorHAnsi"/>
                <w:lang w:val="ru-RU"/>
              </w:rPr>
              <w:t xml:space="preserve">Параллельно ОП продолжит развивать потенциал Минздрава с точки зрения закупок и управления фармацевтическими препаратами, тестами, лабораторным оборудованием и совместно с партнерами по развитию поддерживать управление цепочками поставок для двух программ и Минздрава в целом. </w:t>
            </w:r>
          </w:p>
          <w:p w14:paraId="14BBC29D" w14:textId="77777777" w:rsidR="003F46D5" w:rsidRPr="003F46D5" w:rsidRDefault="003F46D5" w:rsidP="003F46D5">
            <w:pPr>
              <w:jc w:val="both"/>
              <w:cnfStyle w:val="000000100000" w:firstRow="0" w:lastRow="0" w:firstColumn="0" w:lastColumn="0" w:oddVBand="0" w:evenVBand="0" w:oddHBand="1" w:evenHBand="0" w:firstRowFirstColumn="0" w:firstRowLastColumn="0" w:lastRowFirstColumn="0" w:lastRowLastColumn="0"/>
              <w:rPr>
                <w:rFonts w:cstheme="minorHAnsi"/>
                <w:lang w:val="ru-RU"/>
              </w:rPr>
            </w:pPr>
            <w:r w:rsidRPr="003F46D5">
              <w:rPr>
                <w:rFonts w:cstheme="minorHAnsi"/>
                <w:lang w:val="ru-RU"/>
              </w:rPr>
              <w:t xml:space="preserve">Местным агентом Фонда в настоящее время является Управление Организации Объединенных Наций по обслуживанию проектов (ЮНОПС) в Кыргызстане, которое действует в соответствии с техническим заданием, согласованным с ГФ, включая верификацию на месте. Внешние аудиты основного исполнителя и субреципиентов проводятся ежегодно в соответствии с процедурами и правилами ПРООН, направленными на оценку эффективности проекта и финансового управления. </w:t>
            </w:r>
          </w:p>
          <w:p w14:paraId="7DCADD72" w14:textId="4E2508C7" w:rsidR="00C01726" w:rsidRPr="003F46D5" w:rsidRDefault="003F46D5" w:rsidP="003F46D5">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3F46D5">
              <w:rPr>
                <w:rFonts w:cstheme="minorHAnsi"/>
                <w:lang w:val="ru-RU"/>
              </w:rPr>
              <w:t>Организационно-функциональная структура управления грантом представлена ​​в Приложении.</w:t>
            </w:r>
            <w:r>
              <w:rPr>
                <w:rFonts w:cstheme="minorHAnsi"/>
                <w:sz w:val="20"/>
                <w:szCs w:val="20"/>
                <w:lang w:val="ru-RU"/>
              </w:rPr>
              <w:t xml:space="preserve"> </w:t>
            </w:r>
          </w:p>
        </w:tc>
      </w:tr>
      <w:tr w:rsidR="009C4412" w:rsidRPr="008D1A1F" w14:paraId="344166B9" w14:textId="77777777" w:rsidTr="008D14E4">
        <w:tc>
          <w:tcPr>
            <w:cnfStyle w:val="001000000000" w:firstRow="0" w:lastRow="0" w:firstColumn="1" w:lastColumn="0" w:oddVBand="0" w:evenVBand="0" w:oddHBand="0" w:evenHBand="0" w:firstRowFirstColumn="0" w:firstRowLastColumn="0" w:lastRowFirstColumn="0" w:lastRowLastColumn="0"/>
            <w:tcW w:w="2138" w:type="dxa"/>
          </w:tcPr>
          <w:p w14:paraId="59195FB6" w14:textId="77777777" w:rsidR="009C4412" w:rsidRPr="008B08A2" w:rsidRDefault="009C4412" w:rsidP="008D14E4">
            <w:pPr>
              <w:pStyle w:val="a1"/>
              <w:rPr>
                <w:lang w:val="ru-RU"/>
              </w:rPr>
            </w:pPr>
            <w:r>
              <w:rPr>
                <w:lang w:val="ru-RU"/>
              </w:rPr>
              <w:lastRenderedPageBreak/>
              <w:t>Население</w:t>
            </w:r>
            <w:r w:rsidRPr="008B08A2">
              <w:rPr>
                <w:lang w:val="ru-RU"/>
              </w:rPr>
              <w:t xml:space="preserve">, </w:t>
            </w:r>
            <w:r>
              <w:rPr>
                <w:lang w:val="ru-RU"/>
              </w:rPr>
              <w:t>территории</w:t>
            </w:r>
            <w:r w:rsidRPr="008B08A2">
              <w:rPr>
                <w:lang w:val="ru-RU"/>
              </w:rPr>
              <w:t xml:space="preserve"> </w:t>
            </w:r>
            <w:r>
              <w:rPr>
                <w:lang w:val="ru-RU"/>
              </w:rPr>
              <w:t>и</w:t>
            </w:r>
            <w:r w:rsidRPr="008B08A2">
              <w:rPr>
                <w:lang w:val="ru-RU"/>
              </w:rPr>
              <w:t>/</w:t>
            </w:r>
            <w:r>
              <w:rPr>
                <w:lang w:val="ru-RU"/>
              </w:rPr>
              <w:t>или</w:t>
            </w:r>
            <w:r w:rsidRPr="008B08A2">
              <w:rPr>
                <w:lang w:val="ru-RU"/>
              </w:rPr>
              <w:t xml:space="preserve"> </w:t>
            </w:r>
            <w:r w:rsidRPr="00A55CBF">
              <w:rPr>
                <w:lang w:val="ru-RU"/>
              </w:rPr>
              <w:t>барьеры</w:t>
            </w:r>
            <w:r w:rsidRPr="008B08A2">
              <w:rPr>
                <w:lang w:val="ru-RU"/>
              </w:rPr>
              <w:t xml:space="preserve">, </w:t>
            </w:r>
            <w:r>
              <w:rPr>
                <w:lang w:val="ru-RU"/>
              </w:rPr>
              <w:t>на</w:t>
            </w:r>
            <w:r w:rsidRPr="008B08A2">
              <w:rPr>
                <w:lang w:val="ru-RU"/>
              </w:rPr>
              <w:t xml:space="preserve"> </w:t>
            </w:r>
            <w:r>
              <w:rPr>
                <w:lang w:val="ru-RU"/>
              </w:rPr>
              <w:t>которые направлена деятельность</w:t>
            </w:r>
          </w:p>
        </w:tc>
        <w:tc>
          <w:tcPr>
            <w:tcW w:w="13025" w:type="dxa"/>
          </w:tcPr>
          <w:p w14:paraId="3D79BC35" w14:textId="1D5E7F58" w:rsidR="009C4412" w:rsidRPr="000B517D" w:rsidRDefault="009C4412" w:rsidP="008D14E4">
            <w:pPr>
              <w:pStyle w:val="a1"/>
              <w:cnfStyle w:val="000000000000" w:firstRow="0" w:lastRow="0" w:firstColumn="0" w:lastColumn="0" w:oddVBand="0" w:evenVBand="0" w:oddHBand="0" w:evenHBand="0" w:firstRowFirstColumn="0" w:firstRowLastColumn="0" w:lastRowFirstColumn="0" w:lastRowLastColumn="0"/>
              <w:rPr>
                <w:sz w:val="22"/>
                <w:szCs w:val="20"/>
                <w:lang w:val="ru-RU"/>
              </w:rPr>
            </w:pPr>
            <w:r w:rsidRPr="00413276">
              <w:rPr>
                <w:sz w:val="22"/>
                <w:szCs w:val="20"/>
                <w:lang w:val="ru-RU"/>
              </w:rPr>
              <w:t xml:space="preserve">Люди, живущие с ВИЧ, </w:t>
            </w:r>
            <w:r w:rsidR="00C56072">
              <w:rPr>
                <w:sz w:val="22"/>
                <w:szCs w:val="20"/>
                <w:lang w:val="ru-RU"/>
              </w:rPr>
              <w:t>люди с ТБ</w:t>
            </w:r>
            <w:r w:rsidRPr="00413276">
              <w:rPr>
                <w:sz w:val="22"/>
                <w:szCs w:val="20"/>
                <w:lang w:val="ru-RU"/>
              </w:rPr>
              <w:t>, контактные лица, ключевые группы (</w:t>
            </w:r>
            <w:r>
              <w:rPr>
                <w:sz w:val="22"/>
                <w:szCs w:val="20"/>
                <w:lang w:val="ru-RU"/>
              </w:rPr>
              <w:t>МСМ, ТГ, СР, ЛУН, заключенные)</w:t>
            </w:r>
          </w:p>
          <w:p w14:paraId="7020C563" w14:textId="1D2C727D" w:rsidR="009C4412" w:rsidRPr="008B08A2" w:rsidRDefault="009C4412" w:rsidP="008D14E4">
            <w:pPr>
              <w:pStyle w:val="a1"/>
              <w:cnfStyle w:val="000000000000" w:firstRow="0" w:lastRow="0" w:firstColumn="0" w:lastColumn="0" w:oddVBand="0" w:evenVBand="0" w:oddHBand="0" w:evenHBand="0" w:firstRowFirstColumn="0" w:firstRowLastColumn="0" w:lastRowFirstColumn="0" w:lastRowLastColumn="0"/>
              <w:rPr>
                <w:sz w:val="22"/>
                <w:szCs w:val="20"/>
                <w:lang w:val="ru-RU"/>
              </w:rPr>
            </w:pPr>
            <w:r w:rsidRPr="00413276">
              <w:rPr>
                <w:sz w:val="22"/>
                <w:szCs w:val="20"/>
                <w:lang w:val="ru-RU"/>
              </w:rPr>
              <w:t>Кыргызская Республика</w:t>
            </w:r>
          </w:p>
        </w:tc>
      </w:tr>
      <w:tr w:rsidR="009C4412" w14:paraId="2B25F2A9" w14:textId="77777777" w:rsidTr="008D14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4C0E8612" w14:textId="77777777" w:rsidR="009C4412" w:rsidRDefault="009C4412" w:rsidP="008D14E4">
            <w:pPr>
              <w:pStyle w:val="a1"/>
            </w:pPr>
            <w:r>
              <w:rPr>
                <w:lang w:val="ru-RU"/>
              </w:rPr>
              <w:lastRenderedPageBreak/>
              <w:t>Запрашиваемая сумма</w:t>
            </w:r>
          </w:p>
        </w:tc>
        <w:tc>
          <w:tcPr>
            <w:tcW w:w="13025" w:type="dxa"/>
          </w:tcPr>
          <w:p w14:paraId="643A4996" w14:textId="77777777" w:rsidR="009C4412" w:rsidRPr="00621F12" w:rsidRDefault="009C4412" w:rsidP="008D14E4">
            <w:pPr>
              <w:pStyle w:val="a1"/>
              <w:cnfStyle w:val="000000100000" w:firstRow="0" w:lastRow="0" w:firstColumn="0" w:lastColumn="0" w:oddVBand="0" w:evenVBand="0" w:oddHBand="1" w:evenHBand="0" w:firstRowFirstColumn="0" w:firstRowLastColumn="0" w:lastRowFirstColumn="0" w:lastRowLastColumn="0"/>
              <w:rPr>
                <w:sz w:val="22"/>
                <w:szCs w:val="20"/>
              </w:rPr>
            </w:pPr>
          </w:p>
        </w:tc>
      </w:tr>
      <w:tr w:rsidR="009C4412" w14:paraId="3785C6CC" w14:textId="77777777" w:rsidTr="008D14E4">
        <w:tc>
          <w:tcPr>
            <w:cnfStyle w:val="001000000000" w:firstRow="0" w:lastRow="0" w:firstColumn="1" w:lastColumn="0" w:oddVBand="0" w:evenVBand="0" w:oddHBand="0" w:evenHBand="0" w:firstRowFirstColumn="0" w:firstRowLastColumn="0" w:lastRowFirstColumn="0" w:lastRowLastColumn="0"/>
            <w:tcW w:w="2138" w:type="dxa"/>
          </w:tcPr>
          <w:p w14:paraId="69DAF7D6" w14:textId="77777777" w:rsidR="009C4412" w:rsidRDefault="009C4412" w:rsidP="008D14E4">
            <w:pPr>
              <w:pStyle w:val="a1"/>
            </w:pPr>
            <w:r w:rsidRPr="00A55CBF">
              <w:rPr>
                <w:lang w:val="ru-RU"/>
              </w:rPr>
              <w:t>Ожидаемый результат</w:t>
            </w:r>
          </w:p>
        </w:tc>
        <w:tc>
          <w:tcPr>
            <w:tcW w:w="13025" w:type="dxa"/>
          </w:tcPr>
          <w:p w14:paraId="1062C0A9" w14:textId="77777777" w:rsidR="009C4412" w:rsidRPr="00621F12" w:rsidRDefault="009C4412" w:rsidP="008D14E4">
            <w:pPr>
              <w:pStyle w:val="a1"/>
              <w:cnfStyle w:val="000000000000" w:firstRow="0" w:lastRow="0" w:firstColumn="0" w:lastColumn="0" w:oddVBand="0" w:evenVBand="0" w:oddHBand="0" w:evenHBand="0" w:firstRowFirstColumn="0" w:firstRowLastColumn="0" w:lastRowFirstColumn="0" w:lastRowLastColumn="0"/>
              <w:rPr>
                <w:sz w:val="22"/>
                <w:szCs w:val="20"/>
              </w:rPr>
            </w:pPr>
          </w:p>
        </w:tc>
      </w:tr>
    </w:tbl>
    <w:p w14:paraId="4F8C43BD" w14:textId="3BE0F733" w:rsidR="00783A24" w:rsidRDefault="00783A24">
      <w:pPr>
        <w:spacing w:after="200"/>
        <w:rPr>
          <w:i/>
          <w:iCs/>
          <w:sz w:val="24"/>
          <w:lang w:val="ru-RU"/>
        </w:rPr>
      </w:pPr>
      <w:r>
        <w:rPr>
          <w:i/>
          <w:iCs/>
          <w:lang w:val="ru-RU"/>
        </w:rPr>
        <w:br w:type="page"/>
      </w:r>
    </w:p>
    <w:tbl>
      <w:tblPr>
        <w:tblStyle w:val="110"/>
        <w:tblpPr w:leftFromText="181" w:rightFromText="181" w:vertAnchor="page" w:horzAnchor="margin" w:tblpY="968"/>
        <w:tblW w:w="15163" w:type="dxa"/>
        <w:tblLook w:val="04A0" w:firstRow="1" w:lastRow="0" w:firstColumn="1" w:lastColumn="0" w:noHBand="0" w:noVBand="1"/>
      </w:tblPr>
      <w:tblGrid>
        <w:gridCol w:w="2138"/>
        <w:gridCol w:w="13025"/>
      </w:tblGrid>
      <w:tr w:rsidR="008D14E4" w:rsidRPr="00A26916" w14:paraId="2ADEBA7F" w14:textId="77777777" w:rsidTr="008D14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3D2CA0F4" w14:textId="60C3A2EC" w:rsidR="008D14E4" w:rsidRPr="000B517D" w:rsidRDefault="008D14E4" w:rsidP="008D14E4">
            <w:pPr>
              <w:pStyle w:val="a1"/>
              <w:rPr>
                <w:lang w:val="ru-RU"/>
              </w:rPr>
            </w:pPr>
            <w:r>
              <w:rPr>
                <w:lang w:val="ru-RU"/>
              </w:rPr>
              <w:lastRenderedPageBreak/>
              <w:t>Модуль №</w:t>
            </w:r>
            <w:r>
              <w:t xml:space="preserve"> </w:t>
            </w:r>
            <w:r w:rsidR="00540290" w:rsidRPr="00A55CBF">
              <w:rPr>
                <w:lang w:val="ru-RU"/>
              </w:rPr>
              <w:t>4</w:t>
            </w:r>
          </w:p>
        </w:tc>
        <w:tc>
          <w:tcPr>
            <w:tcW w:w="13025" w:type="dxa"/>
          </w:tcPr>
          <w:p w14:paraId="74278323" w14:textId="77777777" w:rsidR="008D14E4" w:rsidRPr="006400F6" w:rsidRDefault="008D14E4" w:rsidP="008D14E4">
            <w:pPr>
              <w:pStyle w:val="a1"/>
              <w:cnfStyle w:val="100000000000" w:firstRow="1" w:lastRow="0" w:firstColumn="0" w:lastColumn="0" w:oddVBand="0" w:evenVBand="0" w:oddHBand="0" w:evenHBand="0" w:firstRowFirstColumn="0" w:firstRowLastColumn="0" w:lastRowFirstColumn="0" w:lastRowLastColumn="0"/>
              <w:rPr>
                <w:lang w:val="ru-RU"/>
              </w:rPr>
            </w:pPr>
            <w:r w:rsidRPr="006400F6">
              <w:rPr>
                <w:lang w:val="ru-RU"/>
              </w:rPr>
              <w:t>Пакет профилактических мер для мужчин, практикующих секс с мужчинами (МСМ), и их сексуальных партнеров</w:t>
            </w:r>
          </w:p>
        </w:tc>
      </w:tr>
      <w:tr w:rsidR="008D14E4" w:rsidRPr="00A26916" w14:paraId="4F83C0DE" w14:textId="77777777" w:rsidTr="008D14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3DA55974" w14:textId="4616767A" w:rsidR="008D14E4" w:rsidRDefault="008D14E4" w:rsidP="008D14E4">
            <w:pPr>
              <w:pStyle w:val="a1"/>
            </w:pPr>
            <w:r>
              <w:rPr>
                <w:lang w:val="ru-RU"/>
              </w:rPr>
              <w:t>Вмешательства</w:t>
            </w:r>
          </w:p>
        </w:tc>
        <w:tc>
          <w:tcPr>
            <w:tcW w:w="13025" w:type="dxa"/>
          </w:tcPr>
          <w:p w14:paraId="00C37DEC" w14:textId="4C979D56" w:rsidR="00775B1D" w:rsidRDefault="00E10CB7" w:rsidP="004959B9">
            <w:pPr>
              <w:jc w:val="both"/>
              <w:cnfStyle w:val="000000100000" w:firstRow="0" w:lastRow="0" w:firstColumn="0" w:lastColumn="0" w:oddVBand="0" w:evenVBand="0" w:oddHBand="1" w:evenHBand="0" w:firstRowFirstColumn="0" w:firstRowLastColumn="0" w:lastRowFirstColumn="0" w:lastRowLastColumn="0"/>
              <w:rPr>
                <w:szCs w:val="20"/>
                <w:lang w:val="ru-RU"/>
              </w:rPr>
            </w:pPr>
            <w:r w:rsidRPr="004959B9">
              <w:rPr>
                <w:szCs w:val="20"/>
                <w:lang w:val="ru-RU"/>
              </w:rPr>
              <w:t>Согласно данным IBBS</w:t>
            </w:r>
            <w:r w:rsidR="004959B9">
              <w:rPr>
                <w:szCs w:val="20"/>
                <w:lang w:val="ru-RU"/>
              </w:rPr>
              <w:t xml:space="preserve"> от 2021 года</w:t>
            </w:r>
            <w:r w:rsidRPr="004959B9">
              <w:rPr>
                <w:szCs w:val="20"/>
                <w:lang w:val="ru-RU"/>
              </w:rPr>
              <w:t xml:space="preserve"> распространенность ВИЧ</w:t>
            </w:r>
            <w:r w:rsidR="004959B9">
              <w:rPr>
                <w:szCs w:val="20"/>
                <w:lang w:val="ru-RU"/>
              </w:rPr>
              <w:t xml:space="preserve"> среди МСМ</w:t>
            </w:r>
            <w:r w:rsidRPr="004959B9">
              <w:rPr>
                <w:szCs w:val="20"/>
                <w:lang w:val="ru-RU"/>
              </w:rPr>
              <w:t xml:space="preserve"> выросла до 10</w:t>
            </w:r>
            <w:r w:rsidR="00191C0B">
              <w:rPr>
                <w:szCs w:val="20"/>
                <w:lang w:val="ru-RU"/>
              </w:rPr>
              <w:t>.</w:t>
            </w:r>
            <w:r w:rsidRPr="004959B9">
              <w:rPr>
                <w:szCs w:val="20"/>
                <w:lang w:val="ru-RU"/>
              </w:rPr>
              <w:t>8% (г. Бишкек</w:t>
            </w:r>
            <w:r w:rsidRPr="00775B1D">
              <w:rPr>
                <w:szCs w:val="20"/>
                <w:lang w:val="ru-RU"/>
              </w:rPr>
              <w:t>)</w:t>
            </w:r>
            <w:r w:rsidR="00A26916">
              <w:rPr>
                <w:rStyle w:val="aff1"/>
                <w:szCs w:val="20"/>
                <w:lang w:val="ru-RU"/>
              </w:rPr>
              <w:footnoteReference w:id="24"/>
            </w:r>
            <w:r w:rsidR="004959B9" w:rsidRPr="00775B1D">
              <w:rPr>
                <w:szCs w:val="20"/>
                <w:lang w:val="ru-RU"/>
              </w:rPr>
              <w:t xml:space="preserve"> с </w:t>
            </w:r>
            <w:r w:rsidR="00775B1D" w:rsidRPr="00775B1D">
              <w:rPr>
                <w:szCs w:val="20"/>
                <w:lang w:val="ru-RU"/>
              </w:rPr>
              <w:t>6,6%</w:t>
            </w:r>
            <w:r w:rsidR="00775B1D">
              <w:rPr>
                <w:szCs w:val="20"/>
                <w:lang w:val="ru-RU"/>
              </w:rPr>
              <w:t xml:space="preserve"> в 2016</w:t>
            </w:r>
            <w:r w:rsidR="004959B9">
              <w:rPr>
                <w:szCs w:val="20"/>
                <w:lang w:val="ru-RU"/>
              </w:rPr>
              <w:t xml:space="preserve"> году, оценочное количество остается в пределах 16</w:t>
            </w:r>
            <w:r w:rsidR="00191C0B">
              <w:rPr>
                <w:szCs w:val="20"/>
                <w:lang w:val="ru-RU"/>
              </w:rPr>
              <w:t>,</w:t>
            </w:r>
            <w:r w:rsidR="004959B9">
              <w:rPr>
                <w:szCs w:val="20"/>
                <w:lang w:val="ru-RU"/>
              </w:rPr>
              <w:t xml:space="preserve">900 человек. </w:t>
            </w:r>
            <w:r w:rsidR="004313E9">
              <w:rPr>
                <w:szCs w:val="20"/>
                <w:lang w:val="ru-RU"/>
              </w:rPr>
              <w:t xml:space="preserve">Охват профилактическими услугами по данным ГФ/ПРООН составляет </w:t>
            </w:r>
            <w:r w:rsidR="004313E9" w:rsidRPr="00110FCB">
              <w:rPr>
                <w:szCs w:val="20"/>
                <w:highlight w:val="yellow"/>
                <w:lang w:val="ru-RU"/>
              </w:rPr>
              <w:t>….</w:t>
            </w:r>
            <w:r w:rsidR="004313E9">
              <w:rPr>
                <w:szCs w:val="20"/>
                <w:lang w:val="ru-RU"/>
              </w:rPr>
              <w:t xml:space="preserve"> </w:t>
            </w:r>
            <w:r w:rsidR="00775B1D">
              <w:rPr>
                <w:szCs w:val="20"/>
                <w:lang w:val="ru-RU"/>
              </w:rPr>
              <w:t>П</w:t>
            </w:r>
            <w:r w:rsidR="004313E9">
              <w:rPr>
                <w:szCs w:val="20"/>
                <w:lang w:val="ru-RU"/>
              </w:rPr>
              <w:t xml:space="preserve">о данным службы СПИДа, </w:t>
            </w:r>
            <w:r w:rsidR="00775B1D">
              <w:rPr>
                <w:szCs w:val="20"/>
                <w:lang w:val="ru-RU"/>
              </w:rPr>
              <w:t>оценочное количество МСМ/ЛЖВ составляет 1727 человек, из них знают свой статус 410 (24%), 327 МСМ/ЛЖВ (80%) находятся на АРТ и у 282 человек (86%) подавлена вирусная нагрузка.</w:t>
            </w:r>
          </w:p>
          <w:p w14:paraId="6AFAD10D" w14:textId="7AA67372" w:rsidR="004959B9" w:rsidRDefault="004959B9" w:rsidP="004959B9">
            <w:pPr>
              <w:jc w:val="both"/>
              <w:cnfStyle w:val="000000100000" w:firstRow="0" w:lastRow="0" w:firstColumn="0" w:lastColumn="0" w:oddVBand="0" w:evenVBand="0" w:oddHBand="1" w:evenHBand="0" w:firstRowFirstColumn="0" w:firstRowLastColumn="0" w:lastRowFirstColumn="0" w:lastRowLastColumn="0"/>
              <w:rPr>
                <w:szCs w:val="20"/>
                <w:lang w:val="ru-RU"/>
              </w:rPr>
            </w:pPr>
            <w:r>
              <w:rPr>
                <w:szCs w:val="20"/>
                <w:lang w:val="ru-RU"/>
              </w:rPr>
              <w:t>Рост распространенности</w:t>
            </w:r>
            <w:r w:rsidR="00775B1D">
              <w:rPr>
                <w:szCs w:val="20"/>
                <w:lang w:val="ru-RU"/>
              </w:rPr>
              <w:t xml:space="preserve"> и недостаточное выявление ВИЧ</w:t>
            </w:r>
            <w:r>
              <w:rPr>
                <w:szCs w:val="20"/>
                <w:lang w:val="ru-RU"/>
              </w:rPr>
              <w:t xml:space="preserve"> требует усиления и расширения профилактических программ для данной группы. </w:t>
            </w:r>
            <w:r w:rsidR="00E10CB7" w:rsidRPr="004959B9">
              <w:rPr>
                <w:szCs w:val="20"/>
                <w:lang w:val="ru-RU"/>
              </w:rPr>
              <w:t xml:space="preserve">За счет средств ГФ будет поддержана работа 3х НПО в </w:t>
            </w:r>
            <w:r>
              <w:rPr>
                <w:szCs w:val="20"/>
                <w:lang w:val="ru-RU"/>
              </w:rPr>
              <w:t>регионах, где имеется доступ в группы и в текущее время реализуются программы</w:t>
            </w:r>
            <w:r w:rsidR="00C56072">
              <w:rPr>
                <w:szCs w:val="20"/>
                <w:lang w:val="ru-RU"/>
              </w:rPr>
              <w:t>:</w:t>
            </w:r>
            <w:r>
              <w:rPr>
                <w:szCs w:val="20"/>
                <w:lang w:val="ru-RU"/>
              </w:rPr>
              <w:t xml:space="preserve"> </w:t>
            </w:r>
            <w:r w:rsidR="00E10CB7" w:rsidRPr="004959B9">
              <w:rPr>
                <w:szCs w:val="20"/>
                <w:lang w:val="ru-RU"/>
              </w:rPr>
              <w:t xml:space="preserve">г. Бишкек и Западная часть Чуйской области, Таласская обл. (1 НПО), г. Бишкек, Восточная часть Чуйской обл., Иссык-Кульская обл. (1 НПО), Ошская и Джалал-Абадская области (1 НПО). </w:t>
            </w:r>
          </w:p>
          <w:p w14:paraId="464085E0" w14:textId="07D34E6A" w:rsidR="004959B9" w:rsidRDefault="00F34CD1" w:rsidP="004959B9">
            <w:pPr>
              <w:jc w:val="both"/>
              <w:cnfStyle w:val="000000100000" w:firstRow="0" w:lastRow="0" w:firstColumn="0" w:lastColumn="0" w:oddVBand="0" w:evenVBand="0" w:oddHBand="1" w:evenHBand="0" w:firstRowFirstColumn="0" w:firstRowLastColumn="0" w:lastRowFirstColumn="0" w:lastRowLastColumn="0"/>
              <w:rPr>
                <w:szCs w:val="20"/>
                <w:lang w:val="ru-RU"/>
              </w:rPr>
            </w:pPr>
            <w:r>
              <w:rPr>
                <w:szCs w:val="20"/>
                <w:lang w:val="ru-RU"/>
              </w:rPr>
              <w:t xml:space="preserve">Предоставление услуг в рамках профилактических программ в связи с ВИЧ будет продолжаться как с помощью традиционного аутрич, так и с использованием новых подходов. </w:t>
            </w:r>
            <w:r w:rsidR="004959B9">
              <w:rPr>
                <w:szCs w:val="20"/>
                <w:lang w:val="ru-RU"/>
              </w:rPr>
              <w:t xml:space="preserve">Учитывая </w:t>
            </w:r>
            <w:r>
              <w:rPr>
                <w:szCs w:val="20"/>
                <w:lang w:val="ru-RU"/>
              </w:rPr>
              <w:t>изменившиеся каналы</w:t>
            </w:r>
            <w:r w:rsidR="004959B9">
              <w:rPr>
                <w:szCs w:val="20"/>
                <w:lang w:val="ru-RU"/>
              </w:rPr>
              <w:t xml:space="preserve"> коммуникации между людьми, роста роли интернета, использования социальных сетей, </w:t>
            </w:r>
            <w:r>
              <w:rPr>
                <w:szCs w:val="20"/>
                <w:lang w:val="ru-RU"/>
              </w:rPr>
              <w:t>д</w:t>
            </w:r>
            <w:r w:rsidR="00E10CB7" w:rsidRPr="004959B9">
              <w:rPr>
                <w:szCs w:val="20"/>
                <w:lang w:val="ru-RU"/>
              </w:rPr>
              <w:t xml:space="preserve">ля </w:t>
            </w:r>
            <w:r>
              <w:rPr>
                <w:szCs w:val="20"/>
                <w:lang w:val="ru-RU"/>
              </w:rPr>
              <w:t xml:space="preserve">расширения </w:t>
            </w:r>
            <w:r w:rsidR="00E10CB7" w:rsidRPr="004959B9">
              <w:rPr>
                <w:szCs w:val="20"/>
                <w:lang w:val="ru-RU"/>
              </w:rPr>
              <w:t xml:space="preserve">выхода на </w:t>
            </w:r>
            <w:r>
              <w:rPr>
                <w:szCs w:val="20"/>
                <w:lang w:val="ru-RU"/>
              </w:rPr>
              <w:t>закрытые</w:t>
            </w:r>
            <w:r w:rsidR="00E10CB7" w:rsidRPr="004959B9">
              <w:rPr>
                <w:szCs w:val="20"/>
                <w:lang w:val="ru-RU"/>
              </w:rPr>
              <w:t xml:space="preserve"> </w:t>
            </w:r>
            <w:r>
              <w:rPr>
                <w:szCs w:val="20"/>
                <w:lang w:val="ru-RU"/>
              </w:rPr>
              <w:t>группы</w:t>
            </w:r>
            <w:r w:rsidR="00E10CB7" w:rsidRPr="004959B9">
              <w:rPr>
                <w:szCs w:val="20"/>
                <w:lang w:val="ru-RU"/>
              </w:rPr>
              <w:t xml:space="preserve"> МСМ будет </w:t>
            </w:r>
            <w:r>
              <w:rPr>
                <w:szCs w:val="20"/>
                <w:lang w:val="ru-RU"/>
              </w:rPr>
              <w:t xml:space="preserve">расширен </w:t>
            </w:r>
            <w:r w:rsidR="00990DA7" w:rsidRPr="00990DA7">
              <w:rPr>
                <w:szCs w:val="20"/>
                <w:lang w:val="ru-RU"/>
              </w:rPr>
              <w:t>он-лайн</w:t>
            </w:r>
            <w:r>
              <w:rPr>
                <w:szCs w:val="20"/>
                <w:lang w:val="ru-RU"/>
              </w:rPr>
              <w:t xml:space="preserve"> аутрич. </w:t>
            </w:r>
            <w:r w:rsidR="00C56072">
              <w:rPr>
                <w:szCs w:val="20"/>
                <w:lang w:val="ru-RU"/>
              </w:rPr>
              <w:t>Планируется, что в</w:t>
            </w:r>
            <w:r>
              <w:rPr>
                <w:szCs w:val="20"/>
                <w:lang w:val="ru-RU"/>
              </w:rPr>
              <w:t xml:space="preserve"> первый год гранта 10%, второй 15% и третий 20% от планируемого охвата будет осуществляться через </w:t>
            </w:r>
            <w:r w:rsidR="00990DA7" w:rsidRPr="00990DA7">
              <w:rPr>
                <w:szCs w:val="20"/>
                <w:lang w:val="ru-RU"/>
              </w:rPr>
              <w:t>он-лайн</w:t>
            </w:r>
            <w:r w:rsidRPr="00F34CD1">
              <w:rPr>
                <w:szCs w:val="20"/>
                <w:lang w:val="ru-RU"/>
              </w:rPr>
              <w:t xml:space="preserve"> </w:t>
            </w:r>
            <w:r>
              <w:rPr>
                <w:szCs w:val="20"/>
                <w:lang w:val="ru-RU"/>
              </w:rPr>
              <w:t>аутрич. Для традиционного аутрич подхода будет предоставляться минимальный пакет</w:t>
            </w:r>
            <w:r w:rsidR="00D123BA">
              <w:rPr>
                <w:szCs w:val="20"/>
                <w:lang w:val="ru-RU"/>
              </w:rPr>
              <w:t xml:space="preserve"> услуг, включая консультирование</w:t>
            </w:r>
            <w:r>
              <w:rPr>
                <w:szCs w:val="20"/>
                <w:lang w:val="ru-RU"/>
              </w:rPr>
              <w:t>, предоставление презервативов</w:t>
            </w:r>
            <w:r w:rsidR="00535AF2">
              <w:rPr>
                <w:szCs w:val="20"/>
                <w:lang w:val="ru-RU"/>
              </w:rPr>
              <w:t>, любрикантов</w:t>
            </w:r>
            <w:r>
              <w:rPr>
                <w:szCs w:val="20"/>
                <w:lang w:val="ru-RU"/>
              </w:rPr>
              <w:t xml:space="preserve"> и перенаправление</w:t>
            </w:r>
            <w:r w:rsidR="00D123BA">
              <w:rPr>
                <w:szCs w:val="20"/>
                <w:lang w:val="ru-RU"/>
              </w:rPr>
              <w:t>/сопровождение для получения специализированных услуг</w:t>
            </w:r>
            <w:r>
              <w:rPr>
                <w:szCs w:val="20"/>
                <w:lang w:val="ru-RU"/>
              </w:rPr>
              <w:t xml:space="preserve">. </w:t>
            </w:r>
            <w:r w:rsidR="00191C0B">
              <w:rPr>
                <w:szCs w:val="20"/>
                <w:lang w:val="ru-RU"/>
              </w:rPr>
              <w:t>Онлайн</w:t>
            </w:r>
            <w:r>
              <w:rPr>
                <w:szCs w:val="20"/>
                <w:lang w:val="ru-RU"/>
              </w:rPr>
              <w:t xml:space="preserve"> аутрич предполагает о</w:t>
            </w:r>
            <w:r w:rsidR="00D123BA">
              <w:rPr>
                <w:szCs w:val="20"/>
                <w:lang w:val="ru-RU"/>
              </w:rPr>
              <w:t xml:space="preserve">казание </w:t>
            </w:r>
            <w:r w:rsidR="00191C0B">
              <w:rPr>
                <w:szCs w:val="20"/>
                <w:lang w:val="ru-RU"/>
              </w:rPr>
              <w:t>онлайн</w:t>
            </w:r>
            <w:r w:rsidR="00D123BA">
              <w:rPr>
                <w:szCs w:val="20"/>
                <w:lang w:val="ru-RU"/>
              </w:rPr>
              <w:t xml:space="preserve"> консультирования</w:t>
            </w:r>
            <w:r>
              <w:rPr>
                <w:szCs w:val="20"/>
                <w:lang w:val="ru-RU"/>
              </w:rPr>
              <w:t>, обеспечения доступа к тестированию через тестоматы или предоставление самотестов через аптеки</w:t>
            </w:r>
            <w:r w:rsidR="00C56072">
              <w:rPr>
                <w:rStyle w:val="aff1"/>
                <w:szCs w:val="20"/>
                <w:lang w:val="ru-RU"/>
              </w:rPr>
              <w:footnoteReference w:id="25"/>
            </w:r>
            <w:r>
              <w:rPr>
                <w:szCs w:val="20"/>
                <w:lang w:val="ru-RU"/>
              </w:rPr>
              <w:t xml:space="preserve">, курьерские службы. </w:t>
            </w:r>
            <w:r w:rsidR="00535AF2">
              <w:rPr>
                <w:szCs w:val="20"/>
                <w:lang w:val="ru-RU"/>
              </w:rPr>
              <w:t>Для инициации</w:t>
            </w:r>
            <w:r>
              <w:rPr>
                <w:szCs w:val="20"/>
                <w:lang w:val="ru-RU"/>
              </w:rPr>
              <w:t xml:space="preserve"> получения сообщения о результатах тестирования</w:t>
            </w:r>
            <w:r w:rsidR="00535AF2">
              <w:rPr>
                <w:szCs w:val="20"/>
                <w:lang w:val="ru-RU"/>
              </w:rPr>
              <w:t xml:space="preserve"> будет предложен на выбор ряд других услуг, включая возможность пройти экспресс-тест на вирусные гепатиты, получить консультацию медицинского специалиста по запросу, юриста, психолога, получать на регулярной основе ИМН.</w:t>
            </w:r>
            <w:r>
              <w:rPr>
                <w:szCs w:val="20"/>
                <w:lang w:val="ru-RU"/>
              </w:rPr>
              <w:t xml:space="preserve"> </w:t>
            </w:r>
            <w:r w:rsidR="00535AF2">
              <w:rPr>
                <w:szCs w:val="20"/>
                <w:lang w:val="ru-RU"/>
              </w:rPr>
              <w:t xml:space="preserve">В первый год гранта будут разработаны механизмы предоставления таких услуг, будут приобретены и установлены вендинговые аппараты в привлекательных местах, в которых, кроме тестов, будут доступны презервативы, любриканты, шприцы. </w:t>
            </w:r>
            <w:r w:rsidR="00191C0B">
              <w:rPr>
                <w:szCs w:val="20"/>
                <w:lang w:val="ru-RU"/>
              </w:rPr>
              <w:t>Онлайн</w:t>
            </w:r>
            <w:r w:rsidR="00535AF2">
              <w:rPr>
                <w:szCs w:val="20"/>
                <w:lang w:val="ru-RU"/>
              </w:rPr>
              <w:t xml:space="preserve"> </w:t>
            </w:r>
            <w:r w:rsidR="00E10CB7" w:rsidRPr="004959B9">
              <w:rPr>
                <w:szCs w:val="20"/>
                <w:lang w:val="ru-RU"/>
              </w:rPr>
              <w:t xml:space="preserve">аутрич сотрудники продолжат разрабатывать мотивационные и информационные посты и публиковать в общинных пабликах популярных социальных сетей, которые повысят привлекательность </w:t>
            </w:r>
            <w:r w:rsidR="00535AF2">
              <w:rPr>
                <w:szCs w:val="20"/>
                <w:lang w:val="ru-RU"/>
              </w:rPr>
              <w:t>услуг</w:t>
            </w:r>
            <w:r w:rsidR="00E10CB7" w:rsidRPr="004959B9">
              <w:rPr>
                <w:szCs w:val="20"/>
                <w:lang w:val="ru-RU"/>
              </w:rPr>
              <w:t xml:space="preserve">. </w:t>
            </w:r>
          </w:p>
          <w:p w14:paraId="605B05DF" w14:textId="5D105B30" w:rsidR="00E24704" w:rsidRDefault="00535AF2" w:rsidP="004959B9">
            <w:pPr>
              <w:jc w:val="both"/>
              <w:cnfStyle w:val="000000100000" w:firstRow="0" w:lastRow="0" w:firstColumn="0" w:lastColumn="0" w:oddVBand="0" w:evenVBand="0" w:oddHBand="1" w:evenHBand="0" w:firstRowFirstColumn="0" w:firstRowLastColumn="0" w:lastRowFirstColumn="0" w:lastRowLastColumn="0"/>
              <w:rPr>
                <w:szCs w:val="20"/>
                <w:lang w:val="ru-RU"/>
              </w:rPr>
            </w:pPr>
            <w:r>
              <w:rPr>
                <w:szCs w:val="20"/>
                <w:lang w:val="ru-RU"/>
              </w:rPr>
              <w:t>В данном гранте расширятся мероприятия по диагностике</w:t>
            </w:r>
            <w:r w:rsidR="00D123BA">
              <w:rPr>
                <w:szCs w:val="20"/>
                <w:lang w:val="ru-RU"/>
              </w:rPr>
              <w:t xml:space="preserve"> и лечению</w:t>
            </w:r>
            <w:r w:rsidR="00E10CB7" w:rsidRPr="004959B9">
              <w:rPr>
                <w:szCs w:val="20"/>
                <w:lang w:val="ru-RU"/>
              </w:rPr>
              <w:t xml:space="preserve"> ИППП, а также комплекс мероприятий, направленных на повышение осведомленности и формирование позитивных изменений сексуальных практик. </w:t>
            </w:r>
            <w:r w:rsidR="00E24704" w:rsidRPr="00E24704">
              <w:rPr>
                <w:szCs w:val="20"/>
                <w:lang w:val="ru-RU"/>
              </w:rPr>
              <w:t>Во всех сайтах будут предоставляться услуги в области сексуального и репродуктивного здоровья, вкл</w:t>
            </w:r>
            <w:r w:rsidR="00E24704">
              <w:rPr>
                <w:szCs w:val="20"/>
                <w:lang w:val="ru-RU"/>
              </w:rPr>
              <w:t xml:space="preserve">ючая диагностику </w:t>
            </w:r>
            <w:r w:rsidR="00E24704" w:rsidRPr="00E24704">
              <w:rPr>
                <w:szCs w:val="20"/>
                <w:lang w:val="ru-RU"/>
              </w:rPr>
              <w:t>и</w:t>
            </w:r>
            <w:r w:rsidR="00E24704">
              <w:rPr>
                <w:szCs w:val="20"/>
                <w:lang w:val="ru-RU"/>
              </w:rPr>
              <w:t xml:space="preserve"> базовое лечение ИППП</w:t>
            </w:r>
            <w:r w:rsidR="00E24704" w:rsidRPr="00E24704">
              <w:rPr>
                <w:szCs w:val="20"/>
                <w:lang w:val="ru-RU"/>
              </w:rPr>
              <w:t>. Данные услуги будут предоставляться обученными дружественными специалистами (дерматовенеролог, проктол</w:t>
            </w:r>
            <w:r w:rsidR="00E24704">
              <w:rPr>
                <w:szCs w:val="20"/>
                <w:lang w:val="ru-RU"/>
              </w:rPr>
              <w:t xml:space="preserve">ог) в </w:t>
            </w:r>
            <w:r w:rsidR="00E24704">
              <w:rPr>
                <w:szCs w:val="20"/>
                <w:lang w:val="ru-RU"/>
              </w:rPr>
              <w:lastRenderedPageBreak/>
              <w:t>организациях ПМСП и в НПО. Будет поддерживаться психолог</w:t>
            </w:r>
            <w:r w:rsidR="00E24704" w:rsidRPr="00E24704">
              <w:rPr>
                <w:szCs w:val="20"/>
                <w:lang w:val="ru-RU"/>
              </w:rPr>
              <w:t xml:space="preserve"> во всех НПО, работающих с МСМ/ГБ, для людей пострадавших от правонарушений/насилия/дискриминации по признаку принадлежности к ЛГБТ/МСМ сообществу. </w:t>
            </w:r>
          </w:p>
          <w:p w14:paraId="4BDDED8B" w14:textId="1A7D9F75" w:rsidR="00535AF2" w:rsidRDefault="00E10CB7" w:rsidP="004959B9">
            <w:pPr>
              <w:jc w:val="both"/>
              <w:cnfStyle w:val="000000100000" w:firstRow="0" w:lastRow="0" w:firstColumn="0" w:lastColumn="0" w:oddVBand="0" w:evenVBand="0" w:oddHBand="1" w:evenHBand="0" w:firstRowFirstColumn="0" w:firstRowLastColumn="0" w:lastRowFirstColumn="0" w:lastRowLastColumn="0"/>
              <w:rPr>
                <w:szCs w:val="20"/>
                <w:lang w:val="ru-RU"/>
              </w:rPr>
            </w:pPr>
            <w:r w:rsidRPr="004959B9">
              <w:rPr>
                <w:szCs w:val="20"/>
                <w:lang w:val="ru-RU"/>
              </w:rPr>
              <w:t>В целях расширения охвата группы и внедрения лучших практик консультирования (ВИЧ, ВГВ и С, правовые вопросы, СРЗП) будут разработаны/адаптированы видео курсы в приложении для ВИЧ-консультантов/аутрич сотрудников. Будет продолжена</w:t>
            </w:r>
            <w:r w:rsidR="00535AF2">
              <w:rPr>
                <w:szCs w:val="20"/>
                <w:lang w:val="ru-RU"/>
              </w:rPr>
              <w:t xml:space="preserve"> </w:t>
            </w:r>
            <w:r w:rsidRPr="004959B9">
              <w:rPr>
                <w:szCs w:val="20"/>
                <w:lang w:val="ru-RU"/>
              </w:rPr>
              <w:t>работа по привлечению новых клиентов в программу доконтактной профилактики (PrEP).</w:t>
            </w:r>
            <w:r w:rsidR="00535AF2">
              <w:rPr>
                <w:szCs w:val="20"/>
                <w:lang w:val="ru-RU"/>
              </w:rPr>
              <w:t xml:space="preserve"> Препараты для </w:t>
            </w:r>
            <w:r w:rsidR="00535AF2">
              <w:rPr>
                <w:szCs w:val="20"/>
              </w:rPr>
              <w:t>PrEP</w:t>
            </w:r>
            <w:r w:rsidR="00535AF2" w:rsidRPr="00535AF2">
              <w:rPr>
                <w:szCs w:val="20"/>
                <w:lang w:val="ru-RU"/>
              </w:rPr>
              <w:t xml:space="preserve"> </w:t>
            </w:r>
            <w:r w:rsidR="00535AF2">
              <w:rPr>
                <w:szCs w:val="20"/>
                <w:lang w:val="ru-RU"/>
              </w:rPr>
              <w:t>закупаются из государственного бюджета.</w:t>
            </w:r>
          </w:p>
          <w:p w14:paraId="366C2B97" w14:textId="186D8170" w:rsidR="004313E9" w:rsidRDefault="00535AF2" w:rsidP="004313E9">
            <w:pPr>
              <w:jc w:val="both"/>
              <w:cnfStyle w:val="000000100000" w:firstRow="0" w:lastRow="0" w:firstColumn="0" w:lastColumn="0" w:oddVBand="0" w:evenVBand="0" w:oddHBand="1" w:evenHBand="0" w:firstRowFirstColumn="0" w:firstRowLastColumn="0" w:lastRowFirstColumn="0" w:lastRowLastColumn="0"/>
              <w:rPr>
                <w:szCs w:val="20"/>
                <w:lang w:val="ru-RU"/>
              </w:rPr>
            </w:pPr>
            <w:r>
              <w:rPr>
                <w:szCs w:val="20"/>
                <w:lang w:val="ru-RU"/>
              </w:rPr>
              <w:t>Будет поддержан 1 шелтер для групп МСМ/ТГ</w:t>
            </w:r>
            <w:r w:rsidR="00E10CB7" w:rsidRPr="004959B9">
              <w:rPr>
                <w:szCs w:val="20"/>
                <w:lang w:val="ru-RU"/>
              </w:rPr>
              <w:t xml:space="preserve"> с возможностью временного пребывания</w:t>
            </w:r>
            <w:r w:rsidR="004313E9" w:rsidRPr="00702064">
              <w:rPr>
                <w:rFonts w:ascii="Arial" w:hAnsi="Arial" w:cs="Arial"/>
                <w:lang w:val="ru-RU"/>
              </w:rPr>
              <w:t xml:space="preserve"> как безопасн</w:t>
            </w:r>
            <w:r w:rsidR="004313E9">
              <w:rPr>
                <w:rFonts w:ascii="Arial" w:hAnsi="Arial" w:cs="Arial"/>
                <w:lang w:val="ru-RU"/>
              </w:rPr>
              <w:t>ое</w:t>
            </w:r>
            <w:r w:rsidR="004313E9" w:rsidRPr="00702064">
              <w:rPr>
                <w:rFonts w:ascii="Arial" w:hAnsi="Arial" w:cs="Arial"/>
                <w:lang w:val="ru-RU"/>
              </w:rPr>
              <w:t xml:space="preserve"> пространство для сообществ в кризисной ситуации из всех регионов</w:t>
            </w:r>
            <w:r w:rsidR="00E10CB7" w:rsidRPr="004959B9">
              <w:rPr>
                <w:szCs w:val="20"/>
                <w:lang w:val="ru-RU"/>
              </w:rPr>
              <w:t>. Продолжатся мероприятия по документированию нарушений прав, поддержки и развития сообществ.</w:t>
            </w:r>
          </w:p>
          <w:p w14:paraId="7D96E0AB" w14:textId="77777777" w:rsidR="004313E9" w:rsidRDefault="00E10CB7" w:rsidP="004313E9">
            <w:pPr>
              <w:jc w:val="both"/>
              <w:cnfStyle w:val="000000100000" w:firstRow="0" w:lastRow="0" w:firstColumn="0" w:lastColumn="0" w:oddVBand="0" w:evenVBand="0" w:oddHBand="1" w:evenHBand="0" w:firstRowFirstColumn="0" w:firstRowLastColumn="0" w:lastRowFirstColumn="0" w:lastRowLastColumn="0"/>
              <w:rPr>
                <w:szCs w:val="20"/>
                <w:lang w:val="ru-RU"/>
              </w:rPr>
            </w:pPr>
            <w:r w:rsidRPr="004959B9">
              <w:rPr>
                <w:szCs w:val="20"/>
                <w:lang w:val="ru-RU"/>
              </w:rPr>
              <w:t>Для аутр</w:t>
            </w:r>
            <w:r w:rsidR="00D123BA">
              <w:rPr>
                <w:szCs w:val="20"/>
                <w:lang w:val="ru-RU"/>
              </w:rPr>
              <w:t>ич сотрудников</w:t>
            </w:r>
            <w:r w:rsidRPr="004959B9">
              <w:rPr>
                <w:szCs w:val="20"/>
                <w:lang w:val="ru-RU"/>
              </w:rPr>
              <w:t xml:space="preserve"> и клиентов </w:t>
            </w:r>
            <w:r w:rsidR="00D123BA">
              <w:rPr>
                <w:szCs w:val="20"/>
                <w:lang w:val="ru-RU"/>
              </w:rPr>
              <w:t>будут разработаны</w:t>
            </w:r>
            <w:r w:rsidRPr="004959B9">
              <w:rPr>
                <w:szCs w:val="20"/>
                <w:lang w:val="ru-RU"/>
              </w:rPr>
              <w:t xml:space="preserve"> обучающие сессии/модули (материалы в видео и печатном форматах по ментальному здоровью, снижению рисков потребления новых ПАВ, ВИЧ и СРЗП) с учетом специфики работы.</w:t>
            </w:r>
          </w:p>
          <w:p w14:paraId="4F66A368" w14:textId="166A672C" w:rsidR="004313E9" w:rsidRDefault="00E10CB7" w:rsidP="004313E9">
            <w:pPr>
              <w:jc w:val="both"/>
              <w:cnfStyle w:val="000000100000" w:firstRow="0" w:lastRow="0" w:firstColumn="0" w:lastColumn="0" w:oddVBand="0" w:evenVBand="0" w:oddHBand="1" w:evenHBand="0" w:firstRowFirstColumn="0" w:firstRowLastColumn="0" w:lastRowFirstColumn="0" w:lastRowLastColumn="0"/>
              <w:rPr>
                <w:szCs w:val="20"/>
                <w:lang w:val="ru-RU"/>
              </w:rPr>
            </w:pPr>
            <w:r w:rsidRPr="004959B9">
              <w:rPr>
                <w:szCs w:val="20"/>
                <w:lang w:val="ru-RU"/>
              </w:rPr>
              <w:t>Кроме того, будет проводится непрерывное обучение аутрич сотрудников по вопросам химического секса, СРЗ, включая вопросы ИППП, профилактик</w:t>
            </w:r>
            <w:r w:rsidR="004313E9">
              <w:rPr>
                <w:szCs w:val="20"/>
                <w:lang w:val="ru-RU"/>
              </w:rPr>
              <w:t>и</w:t>
            </w:r>
            <w:r w:rsidRPr="004959B9">
              <w:rPr>
                <w:szCs w:val="20"/>
                <w:lang w:val="ru-RU"/>
              </w:rPr>
              <w:t xml:space="preserve"> заболеваний прямой кишки, мотивационно</w:t>
            </w:r>
            <w:r w:rsidR="004313E9">
              <w:rPr>
                <w:szCs w:val="20"/>
                <w:lang w:val="ru-RU"/>
              </w:rPr>
              <w:t>го</w:t>
            </w:r>
            <w:r w:rsidRPr="004959B9">
              <w:rPr>
                <w:szCs w:val="20"/>
                <w:lang w:val="ru-RU"/>
              </w:rPr>
              <w:t xml:space="preserve"> консультировани</w:t>
            </w:r>
            <w:r w:rsidR="004313E9">
              <w:rPr>
                <w:szCs w:val="20"/>
                <w:lang w:val="ru-RU"/>
              </w:rPr>
              <w:t>я</w:t>
            </w:r>
            <w:r w:rsidRPr="004959B9">
              <w:rPr>
                <w:szCs w:val="20"/>
                <w:lang w:val="ru-RU"/>
              </w:rPr>
              <w:t>, проведени</w:t>
            </w:r>
            <w:r w:rsidR="004313E9">
              <w:rPr>
                <w:szCs w:val="20"/>
                <w:lang w:val="ru-RU"/>
              </w:rPr>
              <w:t>я</w:t>
            </w:r>
            <w:r w:rsidRPr="004959B9">
              <w:rPr>
                <w:szCs w:val="20"/>
                <w:lang w:val="ru-RU"/>
              </w:rPr>
              <w:t xml:space="preserve"> ЭТ на ВИЧ.</w:t>
            </w:r>
          </w:p>
          <w:p w14:paraId="2D8AD605" w14:textId="1C376211" w:rsidR="004313E9" w:rsidRDefault="00D123BA" w:rsidP="004313E9">
            <w:pPr>
              <w:jc w:val="both"/>
              <w:cnfStyle w:val="000000100000" w:firstRow="0" w:lastRow="0" w:firstColumn="0" w:lastColumn="0" w:oddVBand="0" w:evenVBand="0" w:oddHBand="1" w:evenHBand="0" w:firstRowFirstColumn="0" w:firstRowLastColumn="0" w:lastRowFirstColumn="0" w:lastRowLastColumn="0"/>
              <w:rPr>
                <w:szCs w:val="20"/>
                <w:lang w:val="ru-RU"/>
              </w:rPr>
            </w:pPr>
            <w:r w:rsidRPr="00D123BA">
              <w:rPr>
                <w:szCs w:val="20"/>
                <w:lang w:val="ru-RU"/>
              </w:rPr>
              <w:t>В рамках компонент</w:t>
            </w:r>
            <w:r w:rsidR="004313E9">
              <w:rPr>
                <w:szCs w:val="20"/>
                <w:lang w:val="ru-RU"/>
              </w:rPr>
              <w:t>ов</w:t>
            </w:r>
            <w:r w:rsidRPr="00D123BA">
              <w:rPr>
                <w:szCs w:val="20"/>
                <w:lang w:val="ru-RU"/>
              </w:rPr>
              <w:t xml:space="preserve"> по преодолению правовых барьеров (12 модуль) и мобилизации сообществ (2 модуль) будет п</w:t>
            </w:r>
            <w:r w:rsidR="00E10CB7" w:rsidRPr="00D123BA">
              <w:rPr>
                <w:szCs w:val="20"/>
                <w:lang w:val="ru-RU"/>
              </w:rPr>
              <w:t>оддерж</w:t>
            </w:r>
            <w:r w:rsidR="004313E9">
              <w:rPr>
                <w:szCs w:val="20"/>
                <w:lang w:val="ru-RU"/>
              </w:rPr>
              <w:t>ано</w:t>
            </w:r>
            <w:r w:rsidR="00E10CB7" w:rsidRPr="00D123BA">
              <w:rPr>
                <w:szCs w:val="20"/>
                <w:lang w:val="ru-RU"/>
              </w:rPr>
              <w:t xml:space="preserve"> продвижени</w:t>
            </w:r>
            <w:r w:rsidR="004313E9">
              <w:rPr>
                <w:szCs w:val="20"/>
                <w:lang w:val="ru-RU"/>
              </w:rPr>
              <w:t>е</w:t>
            </w:r>
            <w:r w:rsidR="00E10CB7" w:rsidRPr="00D123BA">
              <w:rPr>
                <w:szCs w:val="20"/>
                <w:lang w:val="ru-RU"/>
              </w:rPr>
              <w:t xml:space="preserve"> </w:t>
            </w:r>
            <w:r w:rsidR="004313E9">
              <w:rPr>
                <w:szCs w:val="20"/>
                <w:lang w:val="ru-RU"/>
              </w:rPr>
              <w:t>внедрения</w:t>
            </w:r>
            <w:r w:rsidR="004313E9" w:rsidRPr="00D123BA">
              <w:rPr>
                <w:szCs w:val="20"/>
                <w:lang w:val="ru-RU"/>
              </w:rPr>
              <w:t xml:space="preserve"> </w:t>
            </w:r>
            <w:r w:rsidR="00E10CB7" w:rsidRPr="00D123BA">
              <w:rPr>
                <w:szCs w:val="20"/>
                <w:lang w:val="ru-RU"/>
              </w:rPr>
              <w:t>руководств MSMIТ (охват регионов приоритет) по мобилизации сообщества, активному вовлечению в процессы при</w:t>
            </w:r>
            <w:r w:rsidRPr="00D123BA">
              <w:rPr>
                <w:szCs w:val="20"/>
                <w:lang w:val="ru-RU"/>
              </w:rPr>
              <w:t>нятия решений.</w:t>
            </w:r>
          </w:p>
          <w:p w14:paraId="182DFD69" w14:textId="58DE908A" w:rsidR="004313E9" w:rsidRPr="004313E9" w:rsidRDefault="00D123BA" w:rsidP="004313E9">
            <w:pPr>
              <w:jc w:val="both"/>
              <w:cnfStyle w:val="000000100000" w:firstRow="0" w:lastRow="0" w:firstColumn="0" w:lastColumn="0" w:oddVBand="0" w:evenVBand="0" w:oddHBand="1" w:evenHBand="0" w:firstRowFirstColumn="0" w:firstRowLastColumn="0" w:lastRowFirstColumn="0" w:lastRowLastColumn="0"/>
              <w:rPr>
                <w:szCs w:val="20"/>
                <w:lang w:val="ru-RU"/>
              </w:rPr>
            </w:pPr>
            <w:r w:rsidRPr="00D123BA">
              <w:rPr>
                <w:szCs w:val="20"/>
                <w:lang w:val="ru-RU"/>
              </w:rPr>
              <w:t>На регулярной</w:t>
            </w:r>
            <w:r w:rsidR="00E10CB7" w:rsidRPr="00D123BA">
              <w:rPr>
                <w:szCs w:val="20"/>
                <w:lang w:val="ru-RU"/>
              </w:rPr>
              <w:t xml:space="preserve"> основе будут проводиться МСМ/ГБ форумы для отслеживания мировых тенденций, механизмов и инструментов активной вовлеченности и своевременной профилактики кризисных ситуаций, разработка стратегий ГБ движения и механизмы комплексного внедрения передовых практик в области профилактики </w:t>
            </w:r>
            <w:r w:rsidRPr="00D123BA">
              <w:rPr>
                <w:szCs w:val="20"/>
                <w:lang w:val="ru-RU"/>
              </w:rPr>
              <w:t>ВИЧ на государственном уровне</w:t>
            </w:r>
            <w:r w:rsidR="004313E9">
              <w:rPr>
                <w:szCs w:val="20"/>
                <w:lang w:val="ru-RU"/>
              </w:rPr>
              <w:t>.</w:t>
            </w:r>
          </w:p>
          <w:p w14:paraId="0B657D47" w14:textId="74C08151" w:rsidR="008D14E4" w:rsidRPr="00D123BA" w:rsidRDefault="00E10CB7" w:rsidP="004313E9">
            <w:pPr>
              <w:jc w:val="both"/>
              <w:cnfStyle w:val="000000100000" w:firstRow="0" w:lastRow="0" w:firstColumn="0" w:lastColumn="0" w:oddVBand="0" w:evenVBand="0" w:oddHBand="1" w:evenHBand="0" w:firstRowFirstColumn="0" w:firstRowLastColumn="0" w:lastRowFirstColumn="0" w:lastRowLastColumn="0"/>
              <w:rPr>
                <w:szCs w:val="20"/>
                <w:highlight w:val="yellow"/>
                <w:lang w:val="ru-RU"/>
              </w:rPr>
            </w:pPr>
            <w:r w:rsidRPr="00D123BA">
              <w:rPr>
                <w:lang w:val="ru-RU"/>
              </w:rPr>
              <w:t xml:space="preserve">В рамках программы «уличных юристов» и использования электронной системы документирования правонарушений </w:t>
            </w:r>
            <w:r w:rsidRPr="00D123BA">
              <w:t>REAct</w:t>
            </w:r>
            <w:r w:rsidRPr="00D123BA">
              <w:rPr>
                <w:lang w:val="ru-RU"/>
              </w:rPr>
              <w:t xml:space="preserve"> продолжится работа по документированию случаев нарушения прав и оказанию юридической помощи силами параюристов пострадавшим МСМ.</w:t>
            </w:r>
          </w:p>
        </w:tc>
      </w:tr>
      <w:tr w:rsidR="008D14E4" w:rsidRPr="00A26916" w14:paraId="21376692" w14:textId="77777777" w:rsidTr="008D14E4">
        <w:tc>
          <w:tcPr>
            <w:cnfStyle w:val="001000000000" w:firstRow="0" w:lastRow="0" w:firstColumn="1" w:lastColumn="0" w:oddVBand="0" w:evenVBand="0" w:oddHBand="0" w:evenHBand="0" w:firstRowFirstColumn="0" w:firstRowLastColumn="0" w:lastRowFirstColumn="0" w:lastRowLastColumn="0"/>
            <w:tcW w:w="2138" w:type="dxa"/>
          </w:tcPr>
          <w:p w14:paraId="0C8AE7B5" w14:textId="77777777" w:rsidR="008D14E4" w:rsidRPr="008B08A2" w:rsidRDefault="008D14E4" w:rsidP="008D14E4">
            <w:pPr>
              <w:pStyle w:val="a1"/>
              <w:rPr>
                <w:lang w:val="ru-RU"/>
              </w:rPr>
            </w:pPr>
            <w:r>
              <w:rPr>
                <w:lang w:val="ru-RU"/>
              </w:rPr>
              <w:lastRenderedPageBreak/>
              <w:t>Население</w:t>
            </w:r>
            <w:r w:rsidRPr="008B08A2">
              <w:rPr>
                <w:lang w:val="ru-RU"/>
              </w:rPr>
              <w:t xml:space="preserve">, </w:t>
            </w:r>
            <w:r>
              <w:rPr>
                <w:lang w:val="ru-RU"/>
              </w:rPr>
              <w:t>территории</w:t>
            </w:r>
            <w:r w:rsidRPr="008B08A2">
              <w:rPr>
                <w:lang w:val="ru-RU"/>
              </w:rPr>
              <w:t xml:space="preserve"> </w:t>
            </w:r>
            <w:r>
              <w:rPr>
                <w:lang w:val="ru-RU"/>
              </w:rPr>
              <w:t>и</w:t>
            </w:r>
            <w:r w:rsidRPr="008B08A2">
              <w:rPr>
                <w:lang w:val="ru-RU"/>
              </w:rPr>
              <w:t>/</w:t>
            </w:r>
            <w:r>
              <w:rPr>
                <w:lang w:val="ru-RU"/>
              </w:rPr>
              <w:t>или</w:t>
            </w:r>
            <w:r w:rsidRPr="008B08A2">
              <w:rPr>
                <w:lang w:val="ru-RU"/>
              </w:rPr>
              <w:t xml:space="preserve"> </w:t>
            </w:r>
            <w:r w:rsidRPr="00A55CBF">
              <w:rPr>
                <w:lang w:val="ru-RU"/>
              </w:rPr>
              <w:t>барьеры</w:t>
            </w:r>
            <w:r w:rsidRPr="008B08A2">
              <w:rPr>
                <w:lang w:val="ru-RU"/>
              </w:rPr>
              <w:t xml:space="preserve">, </w:t>
            </w:r>
            <w:r>
              <w:rPr>
                <w:lang w:val="ru-RU"/>
              </w:rPr>
              <w:t>на</w:t>
            </w:r>
            <w:r w:rsidRPr="008B08A2">
              <w:rPr>
                <w:lang w:val="ru-RU"/>
              </w:rPr>
              <w:t xml:space="preserve"> </w:t>
            </w:r>
            <w:r>
              <w:rPr>
                <w:lang w:val="ru-RU"/>
              </w:rPr>
              <w:t>которые направлена деятельность</w:t>
            </w:r>
          </w:p>
        </w:tc>
        <w:tc>
          <w:tcPr>
            <w:tcW w:w="13025" w:type="dxa"/>
          </w:tcPr>
          <w:p w14:paraId="022B01A0" w14:textId="77777777" w:rsidR="00144E53" w:rsidRDefault="00110FCB" w:rsidP="00D63A3A">
            <w:pPr>
              <w:pStyle w:val="a1"/>
              <w:jc w:val="both"/>
              <w:cnfStyle w:val="000000000000" w:firstRow="0" w:lastRow="0" w:firstColumn="0" w:lastColumn="0" w:oddVBand="0" w:evenVBand="0" w:oddHBand="0" w:evenHBand="0" w:firstRowFirstColumn="0" w:firstRowLastColumn="0" w:lastRowFirstColumn="0" w:lastRowLastColumn="0"/>
              <w:rPr>
                <w:bCs/>
                <w:sz w:val="22"/>
                <w:szCs w:val="20"/>
                <w:lang w:val="ru-RU"/>
              </w:rPr>
            </w:pPr>
            <w:r w:rsidRPr="00110FCB">
              <w:rPr>
                <w:bCs/>
                <w:sz w:val="22"/>
                <w:szCs w:val="20"/>
                <w:lang w:val="ru-RU"/>
              </w:rPr>
              <w:t>Геи, бисексуалы и другие</w:t>
            </w:r>
            <w:r w:rsidR="00E10CB7" w:rsidRPr="00110FCB">
              <w:rPr>
                <w:bCs/>
                <w:sz w:val="22"/>
                <w:szCs w:val="20"/>
                <w:lang w:val="ru-RU"/>
              </w:rPr>
              <w:t xml:space="preserve"> мужчин</w:t>
            </w:r>
            <w:r w:rsidRPr="00110FCB">
              <w:rPr>
                <w:bCs/>
                <w:sz w:val="22"/>
                <w:szCs w:val="20"/>
                <w:lang w:val="ru-RU"/>
              </w:rPr>
              <w:t>ы</w:t>
            </w:r>
            <w:r w:rsidR="00E10CB7" w:rsidRPr="00110FCB">
              <w:rPr>
                <w:bCs/>
                <w:sz w:val="22"/>
                <w:szCs w:val="20"/>
                <w:lang w:val="ru-RU"/>
              </w:rPr>
              <w:t>, практикующих секс с мужчинами</w:t>
            </w:r>
            <w:r w:rsidR="00144E53">
              <w:rPr>
                <w:bCs/>
                <w:sz w:val="22"/>
                <w:szCs w:val="20"/>
                <w:lang w:val="ru-RU"/>
              </w:rPr>
              <w:t>.</w:t>
            </w:r>
          </w:p>
          <w:p w14:paraId="3C355910" w14:textId="77777777" w:rsidR="004313E9" w:rsidRDefault="00144E53" w:rsidP="00144E53">
            <w:pPr>
              <w:pStyle w:val="a1"/>
              <w:jc w:val="both"/>
              <w:cnfStyle w:val="000000000000" w:firstRow="0" w:lastRow="0" w:firstColumn="0" w:lastColumn="0" w:oddVBand="0" w:evenVBand="0" w:oddHBand="0" w:evenHBand="0" w:firstRowFirstColumn="0" w:firstRowLastColumn="0" w:lastRowFirstColumn="0" w:lastRowLastColumn="0"/>
              <w:rPr>
                <w:bCs/>
                <w:sz w:val="22"/>
                <w:szCs w:val="20"/>
                <w:lang w:val="ru-RU"/>
              </w:rPr>
            </w:pPr>
            <w:r>
              <w:rPr>
                <w:bCs/>
                <w:sz w:val="22"/>
                <w:szCs w:val="20"/>
                <w:lang w:val="ru-RU"/>
              </w:rPr>
              <w:t>Кыргызская Республика.</w:t>
            </w:r>
          </w:p>
          <w:p w14:paraId="41D6B17B" w14:textId="517CCB07" w:rsidR="004313E9" w:rsidRDefault="00E10CB7" w:rsidP="00144E53">
            <w:pPr>
              <w:pStyle w:val="a1"/>
              <w:jc w:val="both"/>
              <w:cnfStyle w:val="000000000000" w:firstRow="0" w:lastRow="0" w:firstColumn="0" w:lastColumn="0" w:oddVBand="0" w:evenVBand="0" w:oddHBand="0" w:evenHBand="0" w:firstRowFirstColumn="0" w:firstRowLastColumn="0" w:lastRowFirstColumn="0" w:lastRowLastColumn="0"/>
              <w:rPr>
                <w:sz w:val="22"/>
                <w:szCs w:val="20"/>
                <w:lang w:val="ru-RU"/>
              </w:rPr>
            </w:pPr>
            <w:r w:rsidRPr="004F4FEA">
              <w:rPr>
                <w:sz w:val="22"/>
                <w:szCs w:val="20"/>
                <w:lang w:val="ru-RU"/>
              </w:rPr>
              <w:t xml:space="preserve">Распространенность ВИЧ в группе МСМ, согласно IBBS 2021, увеличилась </w:t>
            </w:r>
            <w:r w:rsidR="009D2598">
              <w:rPr>
                <w:sz w:val="22"/>
                <w:szCs w:val="20"/>
                <w:lang w:val="ru-RU"/>
              </w:rPr>
              <w:t xml:space="preserve">с </w:t>
            </w:r>
            <w:r w:rsidR="009D2598" w:rsidRPr="009D2598">
              <w:rPr>
                <w:sz w:val="22"/>
                <w:szCs w:val="20"/>
                <w:lang w:val="ru-RU"/>
              </w:rPr>
              <w:t>6,6% в 2016</w:t>
            </w:r>
            <w:r w:rsidR="00110FCB" w:rsidRPr="009D2598">
              <w:rPr>
                <w:sz w:val="22"/>
                <w:szCs w:val="20"/>
                <w:lang w:val="ru-RU"/>
              </w:rPr>
              <w:t xml:space="preserve"> году</w:t>
            </w:r>
            <w:r w:rsidR="00110FCB">
              <w:rPr>
                <w:sz w:val="22"/>
                <w:szCs w:val="20"/>
                <w:lang w:val="ru-RU"/>
              </w:rPr>
              <w:t xml:space="preserve"> </w:t>
            </w:r>
            <w:r w:rsidRPr="004F4FEA">
              <w:rPr>
                <w:sz w:val="22"/>
                <w:szCs w:val="20"/>
                <w:lang w:val="ru-RU"/>
              </w:rPr>
              <w:t>до 10</w:t>
            </w:r>
            <w:r w:rsidR="00191C0B">
              <w:rPr>
                <w:sz w:val="22"/>
                <w:szCs w:val="20"/>
                <w:lang w:val="ru-RU"/>
              </w:rPr>
              <w:t>.</w:t>
            </w:r>
            <w:r w:rsidRPr="004F4FEA">
              <w:rPr>
                <w:sz w:val="22"/>
                <w:szCs w:val="20"/>
                <w:lang w:val="ru-RU"/>
              </w:rPr>
              <w:t>8%</w:t>
            </w:r>
            <w:r w:rsidR="00110FCB">
              <w:rPr>
                <w:sz w:val="22"/>
                <w:szCs w:val="20"/>
                <w:lang w:val="ru-RU"/>
              </w:rPr>
              <w:t xml:space="preserve"> в 2021 году</w:t>
            </w:r>
            <w:r w:rsidR="00E547A1">
              <w:rPr>
                <w:sz w:val="22"/>
                <w:szCs w:val="20"/>
                <w:lang w:val="ru-RU"/>
              </w:rPr>
              <w:t xml:space="preserve">, что </w:t>
            </w:r>
            <w:r w:rsidR="004313E9" w:rsidRPr="004313E9">
              <w:rPr>
                <w:sz w:val="22"/>
                <w:szCs w:val="20"/>
                <w:lang w:val="ru-RU"/>
              </w:rPr>
              <w:t>требует расширения профилактических программ для данной группы.</w:t>
            </w:r>
          </w:p>
          <w:p w14:paraId="47E7C32D" w14:textId="486E12DE" w:rsidR="008D14E4" w:rsidRPr="008B08A2" w:rsidRDefault="00E10CB7" w:rsidP="00144E53">
            <w:pPr>
              <w:pStyle w:val="a1"/>
              <w:jc w:val="both"/>
              <w:cnfStyle w:val="000000000000" w:firstRow="0" w:lastRow="0" w:firstColumn="0" w:lastColumn="0" w:oddVBand="0" w:evenVBand="0" w:oddHBand="0" w:evenHBand="0" w:firstRowFirstColumn="0" w:firstRowLastColumn="0" w:lastRowFirstColumn="0" w:lastRowLastColumn="0"/>
              <w:rPr>
                <w:sz w:val="22"/>
                <w:szCs w:val="20"/>
                <w:lang w:val="ru-RU"/>
              </w:rPr>
            </w:pPr>
            <w:r w:rsidRPr="004F4FEA">
              <w:rPr>
                <w:sz w:val="22"/>
                <w:szCs w:val="20"/>
                <w:lang w:val="ru-RU"/>
              </w:rPr>
              <w:t xml:space="preserve">На данный момент </w:t>
            </w:r>
            <w:r w:rsidR="00D63A3A">
              <w:rPr>
                <w:sz w:val="22"/>
                <w:szCs w:val="20"/>
                <w:lang w:val="ru-RU"/>
              </w:rPr>
              <w:t>программы профилактики для МСМ осуществляются только силами неправительственных организаций</w:t>
            </w:r>
            <w:r w:rsidRPr="004F4FEA">
              <w:rPr>
                <w:sz w:val="22"/>
                <w:szCs w:val="20"/>
                <w:lang w:val="ru-RU"/>
              </w:rPr>
              <w:t xml:space="preserve">. </w:t>
            </w:r>
            <w:r w:rsidR="00D63A3A">
              <w:rPr>
                <w:sz w:val="22"/>
                <w:szCs w:val="20"/>
                <w:lang w:val="ru-RU"/>
              </w:rPr>
              <w:t xml:space="preserve">Многие МСМ, из-за высокого уровня стигмы и дискриминации, остаются недоступными для программ и продолжают рискованное поведение. Ряд медицинских и социальных услуг для МСМ остаются труднодоступными из-за низкого уровня </w:t>
            </w:r>
            <w:r w:rsidR="00D63A3A">
              <w:rPr>
                <w:sz w:val="22"/>
                <w:szCs w:val="20"/>
                <w:lang w:val="ru-RU"/>
              </w:rPr>
              <w:lastRenderedPageBreak/>
              <w:t>жизни, проявлений стигмы и дискриминации. Предлагаемые услуги в программах не всегда соответствуют потребностям МСМ</w:t>
            </w:r>
            <w:r w:rsidR="00144E53">
              <w:rPr>
                <w:sz w:val="22"/>
                <w:szCs w:val="20"/>
                <w:lang w:val="ru-RU"/>
              </w:rPr>
              <w:t xml:space="preserve"> и они не мотивированы для участия. Каналы коммуникации с сообществами отстают от требований времени. Периодически в отношении сообществ и организаций сообществ МСМ/ТГ идут нападки со стороны консервативных слоев общества, в связи с чем активисты, сотрудники организаций вынуждены менять место жительства, менять местоположение офисов и шелтеров, чтобы находиться в безопасности.</w:t>
            </w:r>
          </w:p>
        </w:tc>
      </w:tr>
      <w:tr w:rsidR="008D14E4" w:rsidRPr="00144E53" w14:paraId="3467E038" w14:textId="77777777" w:rsidTr="008D14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6566C4FB" w14:textId="77777777" w:rsidR="008D14E4" w:rsidRPr="00144E53" w:rsidRDefault="008D14E4" w:rsidP="008D14E4">
            <w:pPr>
              <w:pStyle w:val="a1"/>
              <w:rPr>
                <w:lang w:val="ru-RU"/>
              </w:rPr>
            </w:pPr>
            <w:r>
              <w:rPr>
                <w:lang w:val="ru-RU"/>
              </w:rPr>
              <w:lastRenderedPageBreak/>
              <w:t>Запрашиваемая сумма</w:t>
            </w:r>
          </w:p>
        </w:tc>
        <w:tc>
          <w:tcPr>
            <w:tcW w:w="13025" w:type="dxa"/>
          </w:tcPr>
          <w:p w14:paraId="329FB823" w14:textId="290B034C" w:rsidR="008D14E4" w:rsidRPr="00144E53" w:rsidRDefault="00E10CB7" w:rsidP="008D14E4">
            <w:pPr>
              <w:pStyle w:val="a1"/>
              <w:cnfStyle w:val="000000100000" w:firstRow="0" w:lastRow="0" w:firstColumn="0" w:lastColumn="0" w:oddVBand="0" w:evenVBand="0" w:oddHBand="1" w:evenHBand="0" w:firstRowFirstColumn="0" w:firstRowLastColumn="0" w:lastRowFirstColumn="0" w:lastRowLastColumn="0"/>
              <w:rPr>
                <w:sz w:val="22"/>
                <w:szCs w:val="20"/>
                <w:lang w:val="ru-RU"/>
              </w:rPr>
            </w:pPr>
            <w:r w:rsidRPr="001E179A">
              <w:rPr>
                <w:b/>
                <w:bCs/>
                <w:sz w:val="22"/>
                <w:szCs w:val="20"/>
                <w:lang w:val="ru-RU"/>
              </w:rPr>
              <w:t>$</w:t>
            </w:r>
            <w:r>
              <w:rPr>
                <w:b/>
                <w:bCs/>
                <w:sz w:val="22"/>
                <w:szCs w:val="20"/>
                <w:lang w:val="ru-RU"/>
              </w:rPr>
              <w:t>1млн</w:t>
            </w:r>
          </w:p>
        </w:tc>
      </w:tr>
      <w:tr w:rsidR="008D14E4" w:rsidRPr="00A26916" w14:paraId="2E31922C" w14:textId="77777777" w:rsidTr="008D14E4">
        <w:tc>
          <w:tcPr>
            <w:cnfStyle w:val="001000000000" w:firstRow="0" w:lastRow="0" w:firstColumn="1" w:lastColumn="0" w:oddVBand="0" w:evenVBand="0" w:oddHBand="0" w:evenHBand="0" w:firstRowFirstColumn="0" w:firstRowLastColumn="0" w:lastRowFirstColumn="0" w:lastRowLastColumn="0"/>
            <w:tcW w:w="2138" w:type="dxa"/>
          </w:tcPr>
          <w:p w14:paraId="1011A574" w14:textId="77777777" w:rsidR="008D14E4" w:rsidRPr="00144E53" w:rsidRDefault="008D14E4" w:rsidP="008D14E4">
            <w:pPr>
              <w:pStyle w:val="a1"/>
              <w:rPr>
                <w:lang w:val="ru-RU"/>
              </w:rPr>
            </w:pPr>
            <w:r w:rsidRPr="00114059">
              <w:rPr>
                <w:lang w:val="ru-RU"/>
              </w:rPr>
              <w:t>Ожидаемый результат</w:t>
            </w:r>
          </w:p>
        </w:tc>
        <w:tc>
          <w:tcPr>
            <w:tcW w:w="13025" w:type="dxa"/>
          </w:tcPr>
          <w:p w14:paraId="68D3F41A" w14:textId="59B20528" w:rsidR="00E10CB7" w:rsidRPr="00B64988" w:rsidRDefault="00E10CB7" w:rsidP="001710B9">
            <w:pPr>
              <w:pStyle w:val="a1"/>
              <w:numPr>
                <w:ilvl w:val="0"/>
                <w:numId w:val="20"/>
              </w:numPr>
              <w:cnfStyle w:val="000000000000" w:firstRow="0" w:lastRow="0" w:firstColumn="0" w:lastColumn="0" w:oddVBand="0" w:evenVBand="0" w:oddHBand="0" w:evenHBand="0" w:firstRowFirstColumn="0" w:firstRowLastColumn="0" w:lastRowFirstColumn="0" w:lastRowLastColumn="0"/>
              <w:rPr>
                <w:sz w:val="22"/>
                <w:szCs w:val="20"/>
                <w:lang w:val="ru-RU"/>
              </w:rPr>
            </w:pPr>
            <w:r w:rsidRPr="00B64988">
              <w:rPr>
                <w:sz w:val="22"/>
                <w:szCs w:val="20"/>
                <w:lang w:val="ru-RU"/>
              </w:rPr>
              <w:t xml:space="preserve">Не </w:t>
            </w:r>
            <w:r w:rsidRPr="00B64988">
              <w:rPr>
                <w:sz w:val="22"/>
                <w:szCs w:val="20"/>
                <w:highlight w:val="yellow"/>
                <w:lang w:val="ru-RU"/>
              </w:rPr>
              <w:t>менее 75%</w:t>
            </w:r>
            <w:r w:rsidRPr="00B64988">
              <w:rPr>
                <w:sz w:val="22"/>
                <w:szCs w:val="20"/>
                <w:lang w:val="ru-RU"/>
              </w:rPr>
              <w:t xml:space="preserve"> МСМ от общей числен</w:t>
            </w:r>
            <w:r w:rsidR="00B64988">
              <w:rPr>
                <w:sz w:val="22"/>
                <w:szCs w:val="20"/>
                <w:lang w:val="ru-RU"/>
              </w:rPr>
              <w:t>ности будут охвачены МПУ к 2026</w:t>
            </w:r>
            <w:r w:rsidRPr="00B64988">
              <w:rPr>
                <w:sz w:val="22"/>
                <w:szCs w:val="20"/>
                <w:lang w:val="ru-RU"/>
              </w:rPr>
              <w:t xml:space="preserve"> год</w:t>
            </w:r>
            <w:r w:rsidR="00B64988">
              <w:rPr>
                <w:sz w:val="22"/>
                <w:szCs w:val="20"/>
                <w:lang w:val="ru-RU"/>
              </w:rPr>
              <w:t>у</w:t>
            </w:r>
            <w:r w:rsidRPr="00B64988">
              <w:rPr>
                <w:sz w:val="22"/>
                <w:szCs w:val="20"/>
                <w:lang w:val="ru-RU"/>
              </w:rPr>
              <w:t>;</w:t>
            </w:r>
          </w:p>
          <w:p w14:paraId="264872F2" w14:textId="2B8CA3F3" w:rsidR="00E10CB7" w:rsidRPr="00B64988" w:rsidRDefault="00E10CB7" w:rsidP="001710B9">
            <w:pPr>
              <w:pStyle w:val="a1"/>
              <w:numPr>
                <w:ilvl w:val="0"/>
                <w:numId w:val="20"/>
              </w:numPr>
              <w:cnfStyle w:val="000000000000" w:firstRow="0" w:lastRow="0" w:firstColumn="0" w:lastColumn="0" w:oddVBand="0" w:evenVBand="0" w:oddHBand="0" w:evenHBand="0" w:firstRowFirstColumn="0" w:firstRowLastColumn="0" w:lastRowFirstColumn="0" w:lastRowLastColumn="0"/>
              <w:rPr>
                <w:sz w:val="22"/>
                <w:szCs w:val="20"/>
                <w:lang w:val="ru-RU"/>
              </w:rPr>
            </w:pPr>
            <w:r w:rsidRPr="00B64988">
              <w:rPr>
                <w:sz w:val="22"/>
                <w:szCs w:val="20"/>
                <w:lang w:val="ru-RU"/>
              </w:rPr>
              <w:t>Не менее 95% от охвата МСМ минимальным пакетом услуг пройдут тестирование на ВИЧ и не менее 95% новых выявленных случаев ВИЧ пройдут полный каскад программы социальног</w:t>
            </w:r>
            <w:r w:rsidR="00D123BA" w:rsidRPr="00B64988">
              <w:rPr>
                <w:sz w:val="22"/>
                <w:szCs w:val="20"/>
                <w:lang w:val="ru-RU"/>
              </w:rPr>
              <w:t>о сопровождения</w:t>
            </w:r>
            <w:r w:rsidRPr="00B64988">
              <w:rPr>
                <w:sz w:val="22"/>
                <w:szCs w:val="20"/>
                <w:lang w:val="ru-RU"/>
              </w:rPr>
              <w:t>;</w:t>
            </w:r>
          </w:p>
          <w:p w14:paraId="10051634" w14:textId="409E187C" w:rsidR="008D14E4" w:rsidRPr="00B64988" w:rsidRDefault="00E10CB7" w:rsidP="001710B9">
            <w:pPr>
              <w:pStyle w:val="a1"/>
              <w:numPr>
                <w:ilvl w:val="0"/>
                <w:numId w:val="20"/>
              </w:numPr>
              <w:cnfStyle w:val="000000000000" w:firstRow="0" w:lastRow="0" w:firstColumn="0" w:lastColumn="0" w:oddVBand="0" w:evenVBand="0" w:oddHBand="0" w:evenHBand="0" w:firstRowFirstColumn="0" w:firstRowLastColumn="0" w:lastRowFirstColumn="0" w:lastRowLastColumn="0"/>
              <w:rPr>
                <w:sz w:val="22"/>
                <w:szCs w:val="20"/>
                <w:lang w:val="ru-RU"/>
              </w:rPr>
            </w:pPr>
            <w:r w:rsidRPr="00B64988">
              <w:rPr>
                <w:sz w:val="22"/>
                <w:szCs w:val="20"/>
                <w:lang w:val="ru-RU"/>
              </w:rPr>
              <w:t>Не менее 95% МСМ с ВИЧ будут получать АРТ и достигнут вирусной супрессии</w:t>
            </w:r>
          </w:p>
        </w:tc>
      </w:tr>
    </w:tbl>
    <w:p w14:paraId="069BBBA9" w14:textId="0D2D7CC2" w:rsidR="008D14E4" w:rsidRDefault="008D14E4">
      <w:pPr>
        <w:spacing w:after="200"/>
        <w:rPr>
          <w:i/>
          <w:iCs/>
          <w:sz w:val="24"/>
          <w:lang w:val="ru-RU"/>
        </w:rPr>
      </w:pPr>
      <w:r>
        <w:rPr>
          <w:i/>
          <w:iCs/>
          <w:lang w:val="ru-RU"/>
        </w:rPr>
        <w:br w:type="page"/>
      </w:r>
    </w:p>
    <w:tbl>
      <w:tblPr>
        <w:tblStyle w:val="110"/>
        <w:tblpPr w:leftFromText="181" w:rightFromText="181" w:vertAnchor="page" w:horzAnchor="margin" w:tblpY="891"/>
        <w:tblW w:w="15163" w:type="dxa"/>
        <w:tblLook w:val="04A0" w:firstRow="1" w:lastRow="0" w:firstColumn="1" w:lastColumn="0" w:noHBand="0" w:noVBand="1"/>
      </w:tblPr>
      <w:tblGrid>
        <w:gridCol w:w="2138"/>
        <w:gridCol w:w="13025"/>
      </w:tblGrid>
      <w:tr w:rsidR="008D14E4" w:rsidRPr="00A26916" w14:paraId="51D6EB26" w14:textId="77777777" w:rsidTr="008D14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09058BFA" w14:textId="35DD705D" w:rsidR="008D14E4" w:rsidRPr="00114059" w:rsidRDefault="008D14E4" w:rsidP="008D14E4">
            <w:pPr>
              <w:pStyle w:val="a1"/>
              <w:rPr>
                <w:lang w:val="ru-RU"/>
              </w:rPr>
            </w:pPr>
            <w:r>
              <w:rPr>
                <w:lang w:val="ru-RU"/>
              </w:rPr>
              <w:lastRenderedPageBreak/>
              <w:t>Модуль №</w:t>
            </w:r>
            <w:r>
              <w:t xml:space="preserve"> </w:t>
            </w:r>
            <w:r w:rsidR="00540290" w:rsidRPr="00E547A1">
              <w:rPr>
                <w:lang w:val="ru-RU"/>
              </w:rPr>
              <w:t>5</w:t>
            </w:r>
          </w:p>
        </w:tc>
        <w:tc>
          <w:tcPr>
            <w:tcW w:w="13025" w:type="dxa"/>
          </w:tcPr>
          <w:p w14:paraId="34D7B210" w14:textId="77777777" w:rsidR="008D14E4" w:rsidRPr="0028070E" w:rsidRDefault="008D14E4" w:rsidP="008D14E4">
            <w:pPr>
              <w:pStyle w:val="a1"/>
              <w:cnfStyle w:val="100000000000" w:firstRow="1" w:lastRow="0" w:firstColumn="0" w:lastColumn="0" w:oddVBand="0" w:evenVBand="0" w:oddHBand="0" w:evenHBand="0" w:firstRowFirstColumn="0" w:firstRowLastColumn="0" w:lastRowFirstColumn="0" w:lastRowLastColumn="0"/>
              <w:rPr>
                <w:lang w:val="ru-RU"/>
              </w:rPr>
            </w:pPr>
            <w:r w:rsidRPr="0028070E">
              <w:rPr>
                <w:lang w:val="ru-RU"/>
              </w:rPr>
              <w:t>Пакет профилактических мер для секс-работников, их клиентов и других сексуальных партнеров</w:t>
            </w:r>
          </w:p>
        </w:tc>
      </w:tr>
      <w:tr w:rsidR="008D14E4" w:rsidRPr="00A26916" w14:paraId="59BCA4A6" w14:textId="77777777" w:rsidTr="008D14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3D07FAC1" w14:textId="0C88006A" w:rsidR="008D14E4" w:rsidRDefault="00C41B0A" w:rsidP="008D14E4">
            <w:pPr>
              <w:pStyle w:val="a1"/>
            </w:pPr>
            <w:r>
              <w:rPr>
                <w:lang w:val="ru-RU"/>
              </w:rPr>
              <w:t>Вмешательства</w:t>
            </w:r>
          </w:p>
        </w:tc>
        <w:tc>
          <w:tcPr>
            <w:tcW w:w="13025" w:type="dxa"/>
          </w:tcPr>
          <w:p w14:paraId="6CEBB99A" w14:textId="7E5FCC52" w:rsidR="008F2B5A" w:rsidRDefault="008F2B5A" w:rsidP="00BE4054">
            <w:pPr>
              <w:jc w:val="both"/>
              <w:cnfStyle w:val="000000100000" w:firstRow="0" w:lastRow="0" w:firstColumn="0" w:lastColumn="0" w:oddVBand="0" w:evenVBand="0" w:oddHBand="1" w:evenHBand="0" w:firstRowFirstColumn="0" w:firstRowLastColumn="0" w:lastRowFirstColumn="0" w:lastRowLastColumn="0"/>
              <w:rPr>
                <w:szCs w:val="20"/>
                <w:lang w:val="ru-RU"/>
              </w:rPr>
            </w:pPr>
            <w:r w:rsidRPr="009A7DA8">
              <w:rPr>
                <w:szCs w:val="20"/>
                <w:lang w:val="ru-RU"/>
              </w:rPr>
              <w:t>Согласно предварительным данным IBBS от 2022 года распространенность ВИЧ среди секс-работников выросла до 3</w:t>
            </w:r>
            <w:r w:rsidR="00191C0B" w:rsidRPr="009A7DA8">
              <w:rPr>
                <w:szCs w:val="20"/>
                <w:lang w:val="ru-RU"/>
              </w:rPr>
              <w:t>.</w:t>
            </w:r>
            <w:r w:rsidRPr="009A7DA8">
              <w:rPr>
                <w:szCs w:val="20"/>
                <w:lang w:val="ru-RU"/>
              </w:rPr>
              <w:t>8 %</w:t>
            </w:r>
            <w:r w:rsidR="00A26916">
              <w:rPr>
                <w:rStyle w:val="aff1"/>
                <w:szCs w:val="20"/>
                <w:lang w:val="ru-RU"/>
              </w:rPr>
              <w:footnoteReference w:id="26"/>
            </w:r>
            <w:r w:rsidRPr="009A7DA8">
              <w:rPr>
                <w:szCs w:val="20"/>
                <w:lang w:val="ru-RU"/>
              </w:rPr>
              <w:t xml:space="preserve"> с </w:t>
            </w:r>
            <w:r w:rsidR="00DD29A9" w:rsidRPr="009A7DA8">
              <w:rPr>
                <w:szCs w:val="20"/>
                <w:lang w:val="ru-RU"/>
              </w:rPr>
              <w:t>1.97</w:t>
            </w:r>
            <w:r w:rsidRPr="009A7DA8">
              <w:rPr>
                <w:szCs w:val="20"/>
                <w:lang w:val="ru-RU"/>
              </w:rPr>
              <w:t xml:space="preserve">% </w:t>
            </w:r>
            <w:r w:rsidR="00DD29A9" w:rsidRPr="009A7DA8">
              <w:rPr>
                <w:szCs w:val="20"/>
                <w:lang w:val="ru-RU"/>
              </w:rPr>
              <w:t>(</w:t>
            </w:r>
            <w:r w:rsidR="00DD29A9" w:rsidRPr="009A7DA8">
              <w:rPr>
                <w:szCs w:val="20"/>
              </w:rPr>
              <w:t>IBBS</w:t>
            </w:r>
            <w:r w:rsidR="00DD29A9" w:rsidRPr="009A7DA8">
              <w:rPr>
                <w:szCs w:val="20"/>
                <w:lang w:val="ru-RU"/>
              </w:rPr>
              <w:t xml:space="preserve"> </w:t>
            </w:r>
            <w:r w:rsidRPr="009A7DA8">
              <w:rPr>
                <w:szCs w:val="20"/>
                <w:lang w:val="ru-RU"/>
              </w:rPr>
              <w:t>201</w:t>
            </w:r>
            <w:r w:rsidR="00DD29A9" w:rsidRPr="009A7DA8">
              <w:rPr>
                <w:szCs w:val="20"/>
                <w:lang w:val="ru-RU"/>
              </w:rPr>
              <w:t>6)</w:t>
            </w:r>
            <w:r w:rsidRPr="009A7DA8">
              <w:rPr>
                <w:szCs w:val="20"/>
                <w:lang w:val="ru-RU"/>
              </w:rPr>
              <w:t>,</w:t>
            </w:r>
            <w:r>
              <w:rPr>
                <w:szCs w:val="20"/>
                <w:lang w:val="ru-RU"/>
              </w:rPr>
              <w:t xml:space="preserve"> оценочное количество остается в пределах </w:t>
            </w:r>
            <w:r w:rsidRPr="00D123BA">
              <w:rPr>
                <w:szCs w:val="20"/>
                <w:lang w:val="ru-RU"/>
              </w:rPr>
              <w:t>7</w:t>
            </w:r>
            <w:r w:rsidR="00191C0B">
              <w:rPr>
                <w:szCs w:val="20"/>
                <w:lang w:val="ru-RU"/>
              </w:rPr>
              <w:t>,</w:t>
            </w:r>
            <w:r w:rsidRPr="00D123BA">
              <w:rPr>
                <w:szCs w:val="20"/>
                <w:lang w:val="ru-RU"/>
              </w:rPr>
              <w:t>100</w:t>
            </w:r>
            <w:r>
              <w:rPr>
                <w:szCs w:val="20"/>
                <w:lang w:val="ru-RU"/>
              </w:rPr>
              <w:t xml:space="preserve"> человек. Рост распространенности ВИЧ требует усиления и расширения профилактических программ для данной группы.</w:t>
            </w:r>
          </w:p>
          <w:p w14:paraId="47C4261D" w14:textId="186D688F" w:rsidR="008F2B5A" w:rsidRDefault="008F2B5A" w:rsidP="00BE4054">
            <w:pPr>
              <w:jc w:val="both"/>
              <w:cnfStyle w:val="000000100000" w:firstRow="0" w:lastRow="0" w:firstColumn="0" w:lastColumn="0" w:oddVBand="0" w:evenVBand="0" w:oddHBand="1" w:evenHBand="0" w:firstRowFirstColumn="0" w:firstRowLastColumn="0" w:lastRowFirstColumn="0" w:lastRowLastColumn="0"/>
              <w:rPr>
                <w:szCs w:val="20"/>
                <w:lang w:val="ru-RU"/>
              </w:rPr>
            </w:pPr>
            <w:r>
              <w:rPr>
                <w:szCs w:val="20"/>
                <w:lang w:val="ru-RU"/>
              </w:rPr>
              <w:t>Для реализации профилактических программ среди</w:t>
            </w:r>
            <w:r w:rsidR="00FA1394">
              <w:rPr>
                <w:szCs w:val="20"/>
                <w:lang w:val="ru-RU"/>
              </w:rPr>
              <w:t xml:space="preserve"> СР будет поддержана работа</w:t>
            </w:r>
            <w:r w:rsidRPr="008F2B5A">
              <w:rPr>
                <w:szCs w:val="20"/>
                <w:lang w:val="ru-RU"/>
              </w:rPr>
              <w:t xml:space="preserve"> НПО в </w:t>
            </w:r>
            <w:r>
              <w:rPr>
                <w:szCs w:val="20"/>
                <w:lang w:val="ru-RU"/>
              </w:rPr>
              <w:t>г.Бишкек, Ош, Джалал-абад,</w:t>
            </w:r>
            <w:r w:rsidR="00FA1394">
              <w:rPr>
                <w:szCs w:val="20"/>
                <w:lang w:val="ru-RU"/>
              </w:rPr>
              <w:t xml:space="preserve"> </w:t>
            </w:r>
            <w:r>
              <w:rPr>
                <w:szCs w:val="20"/>
                <w:lang w:val="ru-RU"/>
              </w:rPr>
              <w:t xml:space="preserve">Чуйской области, </w:t>
            </w:r>
            <w:r w:rsidR="00FA1394">
              <w:rPr>
                <w:szCs w:val="20"/>
                <w:lang w:val="ru-RU"/>
              </w:rPr>
              <w:t>и в составе мультидисциплинарных НПО, оказывающих услуги для всех групп в Иссык-</w:t>
            </w:r>
            <w:r w:rsidR="00B4414B">
              <w:rPr>
                <w:szCs w:val="20"/>
                <w:lang w:val="ru-RU"/>
              </w:rPr>
              <w:t>К</w:t>
            </w:r>
            <w:r w:rsidR="00FA1394">
              <w:rPr>
                <w:szCs w:val="20"/>
                <w:lang w:val="ru-RU"/>
              </w:rPr>
              <w:t>ульской и Таласской областях.</w:t>
            </w:r>
          </w:p>
          <w:p w14:paraId="070FBD8A" w14:textId="09CB596D" w:rsidR="008F2B5A" w:rsidRDefault="008F2B5A" w:rsidP="00BE4054">
            <w:pPr>
              <w:jc w:val="both"/>
              <w:cnfStyle w:val="000000100000" w:firstRow="0" w:lastRow="0" w:firstColumn="0" w:lastColumn="0" w:oddVBand="0" w:evenVBand="0" w:oddHBand="1" w:evenHBand="0" w:firstRowFirstColumn="0" w:firstRowLastColumn="0" w:lastRowFirstColumn="0" w:lastRowLastColumn="0"/>
              <w:rPr>
                <w:szCs w:val="20"/>
                <w:lang w:val="ru-RU"/>
              </w:rPr>
            </w:pPr>
            <w:r w:rsidRPr="008F2B5A">
              <w:rPr>
                <w:szCs w:val="20"/>
                <w:lang w:val="ru-RU"/>
              </w:rPr>
              <w:t>Предоставление услуг в рамках профилактических программ в связи с ВИЧ будет продолжаться как с помощью традиционного аутрич, так и с использованием новых</w:t>
            </w:r>
            <w:r w:rsidR="00FA1394">
              <w:rPr>
                <w:szCs w:val="20"/>
                <w:lang w:val="ru-RU"/>
              </w:rPr>
              <w:t xml:space="preserve"> подходов. Учитывая значительное изменение каналов формирования спроса и предложения на секс-услуги с использованием</w:t>
            </w:r>
            <w:r w:rsidRPr="008F2B5A">
              <w:rPr>
                <w:szCs w:val="20"/>
                <w:lang w:val="ru-RU"/>
              </w:rPr>
              <w:t xml:space="preserve"> </w:t>
            </w:r>
            <w:r w:rsidR="00FA1394">
              <w:rPr>
                <w:szCs w:val="20"/>
                <w:lang w:val="ru-RU"/>
              </w:rPr>
              <w:t xml:space="preserve">интернета и </w:t>
            </w:r>
            <w:r w:rsidRPr="008F2B5A">
              <w:rPr>
                <w:szCs w:val="20"/>
                <w:lang w:val="ru-RU"/>
              </w:rPr>
              <w:t xml:space="preserve">социальных сетей, </w:t>
            </w:r>
            <w:r w:rsidR="00B4414B">
              <w:rPr>
                <w:szCs w:val="20"/>
                <w:lang w:val="ru-RU"/>
              </w:rPr>
              <w:t>будут</w:t>
            </w:r>
            <w:r w:rsidR="00FA1394">
              <w:rPr>
                <w:szCs w:val="20"/>
                <w:lang w:val="ru-RU"/>
              </w:rPr>
              <w:t xml:space="preserve"> внесены существенные изменения подходов для обеспечения доступа в группы.</w:t>
            </w:r>
            <w:r w:rsidR="00D123BA">
              <w:rPr>
                <w:szCs w:val="20"/>
                <w:lang w:val="ru-RU"/>
              </w:rPr>
              <w:t xml:space="preserve"> </w:t>
            </w:r>
            <w:r w:rsidR="00FA1394">
              <w:rPr>
                <w:szCs w:val="20"/>
                <w:lang w:val="ru-RU"/>
              </w:rPr>
              <w:t xml:space="preserve">С этой целью будет расширяться онлайн аутрич. </w:t>
            </w:r>
            <w:r w:rsidRPr="008F2B5A">
              <w:rPr>
                <w:szCs w:val="20"/>
                <w:lang w:val="ru-RU"/>
              </w:rPr>
              <w:t>В первый год гранта 10%, второй 15% и третий 20% от планируемого охвата будет осуществл</w:t>
            </w:r>
            <w:r w:rsidR="00FA1394">
              <w:rPr>
                <w:szCs w:val="20"/>
                <w:lang w:val="ru-RU"/>
              </w:rPr>
              <w:t>яться через онлайн</w:t>
            </w:r>
            <w:r w:rsidRPr="008F2B5A">
              <w:rPr>
                <w:szCs w:val="20"/>
                <w:lang w:val="ru-RU"/>
              </w:rPr>
              <w:t xml:space="preserve"> аутрич. </w:t>
            </w:r>
            <w:r w:rsidR="00FA1394">
              <w:rPr>
                <w:szCs w:val="20"/>
                <w:lang w:val="ru-RU"/>
              </w:rPr>
              <w:t>В рамках</w:t>
            </w:r>
            <w:r w:rsidRPr="008F2B5A">
              <w:rPr>
                <w:szCs w:val="20"/>
                <w:lang w:val="ru-RU"/>
              </w:rPr>
              <w:t xml:space="preserve"> традиционного аутрич подхода будет предоставляться минимальный пакет</w:t>
            </w:r>
            <w:r w:rsidR="00FA1394">
              <w:rPr>
                <w:szCs w:val="20"/>
                <w:lang w:val="ru-RU"/>
              </w:rPr>
              <w:t xml:space="preserve"> услуг, включая консультирование</w:t>
            </w:r>
            <w:r w:rsidRPr="008F2B5A">
              <w:rPr>
                <w:szCs w:val="20"/>
                <w:lang w:val="ru-RU"/>
              </w:rPr>
              <w:t xml:space="preserve">, предоставление презервативов, любрикантов и перенаправление. Онлайн аутрич предполагает оказание </w:t>
            </w:r>
            <w:r w:rsidR="00B4414B" w:rsidRPr="008F2B5A">
              <w:rPr>
                <w:szCs w:val="20"/>
                <w:lang w:val="ru-RU"/>
              </w:rPr>
              <w:t>онлайн</w:t>
            </w:r>
            <w:r w:rsidRPr="008F2B5A">
              <w:rPr>
                <w:szCs w:val="20"/>
                <w:lang w:val="ru-RU"/>
              </w:rPr>
              <w:t xml:space="preserve"> консультировани</w:t>
            </w:r>
            <w:r w:rsidR="00B4414B">
              <w:rPr>
                <w:szCs w:val="20"/>
                <w:lang w:val="ru-RU"/>
              </w:rPr>
              <w:t>я</w:t>
            </w:r>
            <w:r w:rsidRPr="008F2B5A">
              <w:rPr>
                <w:szCs w:val="20"/>
                <w:lang w:val="ru-RU"/>
              </w:rPr>
              <w:t>, обеспечени</w:t>
            </w:r>
            <w:r w:rsidR="00B4414B">
              <w:rPr>
                <w:szCs w:val="20"/>
                <w:lang w:val="ru-RU"/>
              </w:rPr>
              <w:t>е</w:t>
            </w:r>
            <w:r w:rsidRPr="008F2B5A">
              <w:rPr>
                <w:szCs w:val="20"/>
                <w:lang w:val="ru-RU"/>
              </w:rPr>
              <w:t xml:space="preserve"> доступа к тестированию через тестоматы или предоставление самотестов </w:t>
            </w:r>
            <w:r w:rsidR="00FA1394">
              <w:rPr>
                <w:szCs w:val="20"/>
                <w:lang w:val="ru-RU"/>
              </w:rPr>
              <w:t>через аптеки, курьерские службы, предоставление презервативов через вендинговые аппараты.</w:t>
            </w:r>
            <w:r w:rsidRPr="008F2B5A">
              <w:rPr>
                <w:szCs w:val="20"/>
                <w:lang w:val="ru-RU"/>
              </w:rPr>
              <w:t xml:space="preserve"> Для инициации получения сообщения о результатах тестирования будет предложен на выбор ряд других услуг, включая возможность пройти экспресс-тест на вирусные гепатиты, получить консультацию медицинского специалиста </w:t>
            </w:r>
            <w:r w:rsidR="00FA1394">
              <w:rPr>
                <w:szCs w:val="20"/>
                <w:lang w:val="ru-RU"/>
              </w:rPr>
              <w:t>по запросу, юриста, психолога</w:t>
            </w:r>
            <w:r w:rsidRPr="008F2B5A">
              <w:rPr>
                <w:szCs w:val="20"/>
                <w:lang w:val="ru-RU"/>
              </w:rPr>
              <w:t xml:space="preserve">. В первый год гранта будут разработаны механизмы предоставления таких услуг, будут приобретены и установлены вендинговые аппараты в привлекательных местах, в которых, кроме тестов, будут доступны </w:t>
            </w:r>
            <w:r w:rsidR="00FA1394">
              <w:rPr>
                <w:szCs w:val="20"/>
                <w:lang w:val="ru-RU"/>
              </w:rPr>
              <w:t>презервативы, любриканты</w:t>
            </w:r>
            <w:r w:rsidRPr="008F2B5A">
              <w:rPr>
                <w:szCs w:val="20"/>
                <w:lang w:val="ru-RU"/>
              </w:rPr>
              <w:t xml:space="preserve">. </w:t>
            </w:r>
            <w:r w:rsidR="00B4414B" w:rsidRPr="008F2B5A">
              <w:rPr>
                <w:szCs w:val="20"/>
                <w:lang w:val="ru-RU"/>
              </w:rPr>
              <w:t>Онлайн</w:t>
            </w:r>
            <w:r w:rsidRPr="008F2B5A">
              <w:rPr>
                <w:szCs w:val="20"/>
                <w:lang w:val="ru-RU"/>
              </w:rPr>
              <w:t xml:space="preserve"> аутрич сотрудники </w:t>
            </w:r>
            <w:r w:rsidR="00FA1394">
              <w:rPr>
                <w:szCs w:val="20"/>
                <w:lang w:val="ru-RU"/>
              </w:rPr>
              <w:t xml:space="preserve">будут вести информационную работу в различных </w:t>
            </w:r>
            <w:r w:rsidR="00B4414B">
              <w:rPr>
                <w:szCs w:val="20"/>
                <w:lang w:val="ru-RU"/>
              </w:rPr>
              <w:t>онлайн</w:t>
            </w:r>
            <w:r w:rsidR="00FA1394">
              <w:rPr>
                <w:szCs w:val="20"/>
                <w:lang w:val="ru-RU"/>
              </w:rPr>
              <w:t xml:space="preserve"> группах, социальных сетях по расширению привлечения секс-работников в программы.</w:t>
            </w:r>
          </w:p>
          <w:p w14:paraId="70BEA39A" w14:textId="2E618970" w:rsidR="00BE4054" w:rsidRPr="00A30CC0" w:rsidRDefault="00FA1394" w:rsidP="00BE4054">
            <w:pPr>
              <w:jc w:val="both"/>
              <w:cnfStyle w:val="000000100000" w:firstRow="0" w:lastRow="0" w:firstColumn="0" w:lastColumn="0" w:oddVBand="0" w:evenVBand="0" w:oddHBand="1" w:evenHBand="0" w:firstRowFirstColumn="0" w:firstRowLastColumn="0" w:lastRowFirstColumn="0" w:lastRowLastColumn="0"/>
              <w:rPr>
                <w:lang w:val="ru-RU"/>
              </w:rPr>
            </w:pPr>
            <w:r>
              <w:rPr>
                <w:lang w:val="ru-RU"/>
              </w:rPr>
              <w:t>П</w:t>
            </w:r>
            <w:r w:rsidR="00BE4054">
              <w:rPr>
                <w:lang w:val="ru-RU"/>
              </w:rPr>
              <w:t xml:space="preserve">редоставление </w:t>
            </w:r>
            <w:r w:rsidR="00BE4054" w:rsidRPr="00A30CC0">
              <w:rPr>
                <w:lang w:val="ru-RU"/>
              </w:rPr>
              <w:t xml:space="preserve">презервативов и лубрикантов </w:t>
            </w:r>
            <w:r>
              <w:rPr>
                <w:lang w:val="ru-RU"/>
              </w:rPr>
              <w:t xml:space="preserve">для всех групп СР будет осуществляться как традиционным путем через аутрич работников, так и через кондоматы. </w:t>
            </w:r>
            <w:r w:rsidR="00BE4054">
              <w:rPr>
                <w:lang w:val="ru-RU"/>
              </w:rPr>
              <w:t xml:space="preserve">Доступ к средствам защиты будет сопровождаться </w:t>
            </w:r>
            <w:r w:rsidR="00BE4054" w:rsidRPr="00A30CC0">
              <w:rPr>
                <w:lang w:val="ru-RU"/>
              </w:rPr>
              <w:t>консультировани</w:t>
            </w:r>
            <w:r w:rsidR="00BE4054">
              <w:rPr>
                <w:lang w:val="ru-RU"/>
              </w:rPr>
              <w:t xml:space="preserve">ем </w:t>
            </w:r>
            <w:r w:rsidR="00BE4054" w:rsidRPr="00A30CC0">
              <w:rPr>
                <w:lang w:val="ru-RU"/>
              </w:rPr>
              <w:t>по более безопасному сексу и сексуально-репродуктивному здоровью, профилактике ВИЧ</w:t>
            </w:r>
            <w:r w:rsidR="00E806B9">
              <w:rPr>
                <w:lang w:val="ru-RU"/>
              </w:rPr>
              <w:t>,</w:t>
            </w:r>
            <w:r w:rsidR="00BE4054">
              <w:rPr>
                <w:lang w:val="ru-RU"/>
              </w:rPr>
              <w:t xml:space="preserve"> ТБ</w:t>
            </w:r>
            <w:r w:rsidR="00BE4054" w:rsidRPr="00A30CC0">
              <w:rPr>
                <w:lang w:val="ru-RU"/>
              </w:rPr>
              <w:t>, ИППП, гепатитов</w:t>
            </w:r>
            <w:r w:rsidR="00BE4054">
              <w:rPr>
                <w:lang w:val="ru-RU"/>
              </w:rPr>
              <w:t xml:space="preserve"> и информированием</w:t>
            </w:r>
            <w:r w:rsidR="00BE4054" w:rsidRPr="00A30CC0">
              <w:rPr>
                <w:lang w:val="ru-RU"/>
              </w:rPr>
              <w:t>.</w:t>
            </w:r>
            <w:r w:rsidR="007B5F9F">
              <w:rPr>
                <w:lang w:val="ru-RU"/>
              </w:rPr>
              <w:t xml:space="preserve"> К 2026 году до 95% от охвата пройдут тестирование на ВИЧ.</w:t>
            </w:r>
          </w:p>
          <w:p w14:paraId="5C973A83" w14:textId="7C63EFAA" w:rsidR="00BE4054" w:rsidRDefault="00BE4054" w:rsidP="00BE4054">
            <w:pPr>
              <w:jc w:val="both"/>
              <w:cnfStyle w:val="000000100000" w:firstRow="0" w:lastRow="0" w:firstColumn="0" w:lastColumn="0" w:oddVBand="0" w:evenVBand="0" w:oddHBand="1" w:evenHBand="0" w:firstRowFirstColumn="0" w:firstRowLastColumn="0" w:lastRowFirstColumn="0" w:lastRowLastColumn="0"/>
              <w:rPr>
                <w:lang w:val="ru-RU"/>
              </w:rPr>
            </w:pPr>
            <w:r>
              <w:rPr>
                <w:lang w:val="ru-RU"/>
              </w:rPr>
              <w:t xml:space="preserve">Для информирования секс-работников будут разработаны или обновлены информационные материалы наиболее приемлемого формата по темам, востребованным секс-работниками (короткие видеоролики и текст, сопровождаемый понятными иллюстрациями). Потребности молодых секс-работников (18-24) </w:t>
            </w:r>
            <w:r w:rsidR="007E4693">
              <w:rPr>
                <w:lang w:val="ru-RU"/>
              </w:rPr>
              <w:t xml:space="preserve">будут </w:t>
            </w:r>
            <w:r>
              <w:rPr>
                <w:lang w:val="ru-RU"/>
              </w:rPr>
              <w:t>изуч</w:t>
            </w:r>
            <w:r w:rsidR="007E4693">
              <w:rPr>
                <w:lang w:val="ru-RU"/>
              </w:rPr>
              <w:t>ены</w:t>
            </w:r>
            <w:r>
              <w:rPr>
                <w:lang w:val="ru-RU"/>
              </w:rPr>
              <w:t xml:space="preserve"> дополнительно (исследование), включая более востребованные способы коммуникации и получения услуг.</w:t>
            </w:r>
          </w:p>
          <w:p w14:paraId="4737250C" w14:textId="58BFEAEB" w:rsidR="00E806B9" w:rsidRDefault="007B5F9F" w:rsidP="00331B27">
            <w:pPr>
              <w:jc w:val="both"/>
              <w:cnfStyle w:val="000000100000" w:firstRow="0" w:lastRow="0" w:firstColumn="0" w:lastColumn="0" w:oddVBand="0" w:evenVBand="0" w:oddHBand="1" w:evenHBand="0" w:firstRowFirstColumn="0" w:firstRowLastColumn="0" w:lastRowFirstColumn="0" w:lastRowLastColumn="0"/>
              <w:rPr>
                <w:lang w:val="ru-RU"/>
              </w:rPr>
            </w:pPr>
            <w:r>
              <w:rPr>
                <w:lang w:val="ru-RU"/>
              </w:rPr>
              <w:lastRenderedPageBreak/>
              <w:t>Расширятся услуги</w:t>
            </w:r>
            <w:r w:rsidR="00BE4054" w:rsidRPr="003B7A7C">
              <w:rPr>
                <w:lang w:val="ru-RU"/>
              </w:rPr>
              <w:t xml:space="preserve"> в области сексуального и репродуктивного здоровья</w:t>
            </w:r>
            <w:r w:rsidR="00BE4054">
              <w:rPr>
                <w:lang w:val="ru-RU"/>
              </w:rPr>
              <w:t xml:space="preserve"> для всех нуждающихся СР</w:t>
            </w:r>
            <w:r w:rsidR="00BE4054" w:rsidRPr="003B7A7C">
              <w:rPr>
                <w:lang w:val="ru-RU"/>
              </w:rPr>
              <w:t>,</w:t>
            </w:r>
            <w:r w:rsidR="00BE4054">
              <w:rPr>
                <w:lang w:val="ru-RU"/>
              </w:rPr>
              <w:t xml:space="preserve"> включая регулярную бесплатную диагностику и лечение ИППП, тестирование на беременность, скрининг на рак шейки матки, консультирование и психологическая поддержка на базе сообществ по вопросам </w:t>
            </w:r>
            <w:r w:rsidR="00BE4054" w:rsidRPr="003B7A7C">
              <w:rPr>
                <w:lang w:val="ru-RU"/>
              </w:rPr>
              <w:t>сексуальн</w:t>
            </w:r>
            <w:r w:rsidR="00BE4054">
              <w:rPr>
                <w:lang w:val="ru-RU"/>
              </w:rPr>
              <w:t>ого и репродуктивного здоровья, противодействия насилию</w:t>
            </w:r>
            <w:r w:rsidR="007E4693">
              <w:rPr>
                <w:lang w:val="ru-RU"/>
              </w:rPr>
              <w:t xml:space="preserve">; </w:t>
            </w:r>
            <w:r w:rsidR="00331B27" w:rsidRPr="00E77B09">
              <w:rPr>
                <w:lang w:val="ru-RU"/>
              </w:rPr>
              <w:t xml:space="preserve">перенаправление и сопровождение будет осуществляться на основании основных потребностей и проблем, с которыми сталкиваются </w:t>
            </w:r>
            <w:r w:rsidR="007E4693">
              <w:rPr>
                <w:lang w:val="ru-RU"/>
              </w:rPr>
              <w:t>СР.</w:t>
            </w:r>
          </w:p>
          <w:p w14:paraId="7114FAA7" w14:textId="75382375" w:rsidR="00331B27" w:rsidRDefault="00E806B9" w:rsidP="00331B27">
            <w:pPr>
              <w:jc w:val="both"/>
              <w:cnfStyle w:val="000000100000" w:firstRow="0" w:lastRow="0" w:firstColumn="0" w:lastColumn="0" w:oddVBand="0" w:evenVBand="0" w:oddHBand="1" w:evenHBand="0" w:firstRowFirstColumn="0" w:firstRowLastColumn="0" w:lastRowFirstColumn="0" w:lastRowLastColumn="0"/>
              <w:rPr>
                <w:lang w:val="ru-RU"/>
              </w:rPr>
            </w:pPr>
            <w:r w:rsidRPr="00E806B9">
              <w:rPr>
                <w:lang w:val="ru-RU"/>
              </w:rPr>
              <w:t>В рамках компонент</w:t>
            </w:r>
            <w:r w:rsidR="007E4693">
              <w:rPr>
                <w:lang w:val="ru-RU"/>
              </w:rPr>
              <w:t>ов</w:t>
            </w:r>
            <w:r w:rsidRPr="00E806B9">
              <w:rPr>
                <w:lang w:val="ru-RU"/>
              </w:rPr>
              <w:t xml:space="preserve"> по преодолению правовых барьеров (12 модуль) и мобилизации сообществ (2 модуль) </w:t>
            </w:r>
            <w:r>
              <w:rPr>
                <w:lang w:val="ru-RU"/>
              </w:rPr>
              <w:t>продолжится работа по регистрации нарушения прав и насилия</w:t>
            </w:r>
            <w:r w:rsidR="00331B27" w:rsidRPr="00E77B09">
              <w:rPr>
                <w:lang w:val="ru-RU"/>
              </w:rPr>
              <w:t xml:space="preserve">, </w:t>
            </w:r>
            <w:r>
              <w:rPr>
                <w:lang w:val="ru-RU"/>
              </w:rPr>
              <w:t>решение проблем</w:t>
            </w:r>
            <w:r w:rsidR="00331B27" w:rsidRPr="00E77B09">
              <w:rPr>
                <w:lang w:val="ru-RU"/>
              </w:rPr>
              <w:t xml:space="preserve"> с документами, удостоверяющими личность, </w:t>
            </w:r>
            <w:r>
              <w:rPr>
                <w:lang w:val="ru-RU"/>
              </w:rPr>
              <w:t xml:space="preserve">преодоления барьеров в </w:t>
            </w:r>
            <w:r w:rsidR="00331B27" w:rsidRPr="00E77B09">
              <w:rPr>
                <w:lang w:val="ru-RU"/>
              </w:rPr>
              <w:t>доступ</w:t>
            </w:r>
            <w:r>
              <w:rPr>
                <w:lang w:val="ru-RU"/>
              </w:rPr>
              <w:t>е</w:t>
            </w:r>
            <w:r w:rsidR="00331B27" w:rsidRPr="00E77B09">
              <w:rPr>
                <w:lang w:val="ru-RU"/>
              </w:rPr>
              <w:t xml:space="preserve"> к со</w:t>
            </w:r>
            <w:r>
              <w:rPr>
                <w:lang w:val="ru-RU"/>
              </w:rPr>
              <w:t>циальным и медицинским услугам.</w:t>
            </w:r>
          </w:p>
          <w:p w14:paraId="6671716A" w14:textId="20EE5607" w:rsidR="00331B27" w:rsidRPr="00CC3350" w:rsidRDefault="00331B27" w:rsidP="00331B27">
            <w:pPr>
              <w:jc w:val="both"/>
              <w:cnfStyle w:val="000000100000" w:firstRow="0" w:lastRow="0" w:firstColumn="0" w:lastColumn="0" w:oddVBand="0" w:evenVBand="0" w:oddHBand="1" w:evenHBand="0" w:firstRowFirstColumn="0" w:firstRowLastColumn="0" w:lastRowFirstColumn="0" w:lastRowLastColumn="0"/>
              <w:rPr>
                <w:lang w:val="ru-RU"/>
              </w:rPr>
            </w:pPr>
            <w:r>
              <w:rPr>
                <w:lang w:val="ru-RU"/>
              </w:rPr>
              <w:t xml:space="preserve">Для эффективной реализации программы </w:t>
            </w:r>
            <w:r w:rsidR="007E4693">
              <w:rPr>
                <w:lang w:val="ru-RU"/>
              </w:rPr>
              <w:t xml:space="preserve">будет проводиться </w:t>
            </w:r>
            <w:r>
              <w:rPr>
                <w:lang w:val="ru-RU"/>
              </w:rPr>
              <w:t xml:space="preserve">постоянное обновление знаний равных полевых работников и консультантов. </w:t>
            </w:r>
          </w:p>
          <w:p w14:paraId="2918CCDF" w14:textId="77777777" w:rsidR="00331B27" w:rsidRDefault="00331B27" w:rsidP="00331B27">
            <w:pPr>
              <w:jc w:val="both"/>
              <w:cnfStyle w:val="000000100000" w:firstRow="0" w:lastRow="0" w:firstColumn="0" w:lastColumn="0" w:oddVBand="0" w:evenVBand="0" w:oddHBand="1" w:evenHBand="0" w:firstRowFirstColumn="0" w:firstRowLastColumn="0" w:lastRowFirstColumn="0" w:lastRowLastColumn="0"/>
              <w:rPr>
                <w:lang w:val="ru-RU"/>
              </w:rPr>
            </w:pPr>
            <w:r>
              <w:rPr>
                <w:lang w:val="ru-RU"/>
              </w:rPr>
              <w:t xml:space="preserve">Мероприятия по расширению прав и возможностей секс-работников являются неотъемлемой частью программ профилактики ВИЧ, включая встречи, акции к значимым датам, повышение потенциала сообщества. </w:t>
            </w:r>
          </w:p>
          <w:p w14:paraId="7579B90A" w14:textId="09817C4B" w:rsidR="008D14E4" w:rsidRPr="00BE4054" w:rsidRDefault="00331B27" w:rsidP="00E54B45">
            <w:pPr>
              <w:jc w:val="both"/>
              <w:cnfStyle w:val="000000100000" w:firstRow="0" w:lastRow="0" w:firstColumn="0" w:lastColumn="0" w:oddVBand="0" w:evenVBand="0" w:oddHBand="1" w:evenHBand="0" w:firstRowFirstColumn="0" w:firstRowLastColumn="0" w:lastRowFirstColumn="0" w:lastRowLastColumn="0"/>
              <w:rPr>
                <w:lang w:val="ru-RU"/>
              </w:rPr>
            </w:pPr>
            <w:r>
              <w:rPr>
                <w:lang w:val="ru-RU"/>
              </w:rPr>
              <w:t>Регулярное п</w:t>
            </w:r>
            <w:r w:rsidRPr="002211ED">
              <w:rPr>
                <w:lang w:val="ru-RU"/>
              </w:rPr>
              <w:t>роведение опросов о потребностях сообществ</w:t>
            </w:r>
            <w:r>
              <w:rPr>
                <w:lang w:val="ru-RU"/>
              </w:rPr>
              <w:t xml:space="preserve"> через национальные исследования и регулярный МСС необходимо для своевременной коррекции программы и введения новых направлений, рекомендованных для повышения эффективности программ по ВИЧ с секс-работниками.</w:t>
            </w:r>
          </w:p>
        </w:tc>
      </w:tr>
      <w:tr w:rsidR="008D14E4" w:rsidRPr="00A26916" w14:paraId="35A8EAB3" w14:textId="77777777" w:rsidTr="008D14E4">
        <w:tc>
          <w:tcPr>
            <w:cnfStyle w:val="001000000000" w:firstRow="0" w:lastRow="0" w:firstColumn="1" w:lastColumn="0" w:oddVBand="0" w:evenVBand="0" w:oddHBand="0" w:evenHBand="0" w:firstRowFirstColumn="0" w:firstRowLastColumn="0" w:lastRowFirstColumn="0" w:lastRowLastColumn="0"/>
            <w:tcW w:w="2138" w:type="dxa"/>
          </w:tcPr>
          <w:p w14:paraId="3505636D" w14:textId="77777777" w:rsidR="008D14E4" w:rsidRPr="008B08A2" w:rsidRDefault="008D14E4" w:rsidP="008D14E4">
            <w:pPr>
              <w:pStyle w:val="a1"/>
              <w:rPr>
                <w:lang w:val="ru-RU"/>
              </w:rPr>
            </w:pPr>
            <w:r>
              <w:rPr>
                <w:lang w:val="ru-RU"/>
              </w:rPr>
              <w:lastRenderedPageBreak/>
              <w:t>Население</w:t>
            </w:r>
            <w:r w:rsidRPr="008B08A2">
              <w:rPr>
                <w:lang w:val="ru-RU"/>
              </w:rPr>
              <w:t xml:space="preserve">, </w:t>
            </w:r>
            <w:r>
              <w:rPr>
                <w:lang w:val="ru-RU"/>
              </w:rPr>
              <w:t>территории</w:t>
            </w:r>
            <w:r w:rsidRPr="008B08A2">
              <w:rPr>
                <w:lang w:val="ru-RU"/>
              </w:rPr>
              <w:t xml:space="preserve"> </w:t>
            </w:r>
            <w:r>
              <w:rPr>
                <w:lang w:val="ru-RU"/>
              </w:rPr>
              <w:t>и</w:t>
            </w:r>
            <w:r w:rsidRPr="008B08A2">
              <w:rPr>
                <w:lang w:val="ru-RU"/>
              </w:rPr>
              <w:t>/</w:t>
            </w:r>
            <w:r>
              <w:rPr>
                <w:lang w:val="ru-RU"/>
              </w:rPr>
              <w:t>или</w:t>
            </w:r>
            <w:r w:rsidRPr="008B08A2">
              <w:rPr>
                <w:lang w:val="ru-RU"/>
              </w:rPr>
              <w:t xml:space="preserve"> </w:t>
            </w:r>
            <w:r>
              <w:rPr>
                <w:lang w:val="ru-RU"/>
              </w:rPr>
              <w:t>барьеры</w:t>
            </w:r>
            <w:r w:rsidRPr="008B08A2">
              <w:rPr>
                <w:lang w:val="ru-RU"/>
              </w:rPr>
              <w:t xml:space="preserve">, </w:t>
            </w:r>
            <w:r>
              <w:rPr>
                <w:lang w:val="ru-RU"/>
              </w:rPr>
              <w:t>на</w:t>
            </w:r>
            <w:r w:rsidRPr="008B08A2">
              <w:rPr>
                <w:lang w:val="ru-RU"/>
              </w:rPr>
              <w:t xml:space="preserve"> </w:t>
            </w:r>
            <w:r>
              <w:rPr>
                <w:lang w:val="ru-RU"/>
              </w:rPr>
              <w:t>которые направлена деятельность</w:t>
            </w:r>
          </w:p>
        </w:tc>
        <w:tc>
          <w:tcPr>
            <w:tcW w:w="13025" w:type="dxa"/>
          </w:tcPr>
          <w:p w14:paraId="6096A6F5" w14:textId="59BA5E07" w:rsidR="00331B27" w:rsidRDefault="00331B27" w:rsidP="00331B27">
            <w:pPr>
              <w:jc w:val="both"/>
              <w:cnfStyle w:val="000000000000" w:firstRow="0" w:lastRow="0" w:firstColumn="0" w:lastColumn="0" w:oddVBand="0" w:evenVBand="0" w:oddHBand="0" w:evenHBand="0" w:firstRowFirstColumn="0" w:firstRowLastColumn="0" w:lastRowFirstColumn="0" w:lastRowLastColumn="0"/>
              <w:rPr>
                <w:lang w:val="ru-RU"/>
              </w:rPr>
            </w:pPr>
            <w:r>
              <w:rPr>
                <w:lang w:val="ru-RU"/>
              </w:rPr>
              <w:t>Группа секс-работники</w:t>
            </w:r>
            <w:r w:rsidR="007E4693">
              <w:rPr>
                <w:lang w:val="ru-RU"/>
              </w:rPr>
              <w:t>:</w:t>
            </w:r>
            <w:r>
              <w:rPr>
                <w:lang w:val="ru-RU"/>
              </w:rPr>
              <w:t xml:space="preserve"> женщины, мужчины и транс секс-работники и их клиенты.</w:t>
            </w:r>
          </w:p>
          <w:p w14:paraId="0E8FF2C7" w14:textId="244990C2" w:rsidR="00331B27" w:rsidRDefault="00331B27" w:rsidP="00331B27">
            <w:pPr>
              <w:jc w:val="both"/>
              <w:cnfStyle w:val="000000000000" w:firstRow="0" w:lastRow="0" w:firstColumn="0" w:lastColumn="0" w:oddVBand="0" w:evenVBand="0" w:oddHBand="0" w:evenHBand="0" w:firstRowFirstColumn="0" w:firstRowLastColumn="0" w:lastRowFirstColumn="0" w:lastRowLastColumn="0"/>
              <w:rPr>
                <w:lang w:val="ru-RU"/>
              </w:rPr>
            </w:pPr>
            <w:r>
              <w:rPr>
                <w:lang w:val="ru-RU"/>
              </w:rPr>
              <w:t>Организации будут охватывать гг. Б</w:t>
            </w:r>
            <w:r w:rsidR="007B5F9F">
              <w:rPr>
                <w:lang w:val="ru-RU"/>
              </w:rPr>
              <w:t xml:space="preserve">ишкек, Чуйская область, </w:t>
            </w:r>
            <w:r>
              <w:rPr>
                <w:lang w:val="ru-RU"/>
              </w:rPr>
              <w:t>Таласская область, Джа</w:t>
            </w:r>
            <w:r w:rsidR="007B5F9F">
              <w:rPr>
                <w:lang w:val="ru-RU"/>
              </w:rPr>
              <w:t>лалабад</w:t>
            </w:r>
            <w:r>
              <w:rPr>
                <w:lang w:val="ru-RU"/>
              </w:rPr>
              <w:t>,</w:t>
            </w:r>
            <w:r w:rsidR="007B5F9F">
              <w:rPr>
                <w:lang w:val="ru-RU"/>
              </w:rPr>
              <w:t xml:space="preserve"> Ош и Ошская область, </w:t>
            </w:r>
            <w:r>
              <w:rPr>
                <w:lang w:val="ru-RU"/>
              </w:rPr>
              <w:t>Иссык Кульская область,</w:t>
            </w:r>
            <w:r w:rsidR="007B5F9F">
              <w:rPr>
                <w:lang w:val="ru-RU"/>
              </w:rPr>
              <w:t xml:space="preserve"> Нарынская</w:t>
            </w:r>
            <w:r>
              <w:rPr>
                <w:lang w:val="ru-RU"/>
              </w:rPr>
              <w:t xml:space="preserve"> область.</w:t>
            </w:r>
          </w:p>
          <w:p w14:paraId="436173BD" w14:textId="72671B63" w:rsidR="00331B27" w:rsidRDefault="00302523" w:rsidP="00331B27">
            <w:pPr>
              <w:jc w:val="both"/>
              <w:cnfStyle w:val="000000000000" w:firstRow="0" w:lastRow="0" w:firstColumn="0" w:lastColumn="0" w:oddVBand="0" w:evenVBand="0" w:oddHBand="0" w:evenHBand="0" w:firstRowFirstColumn="0" w:firstRowLastColumn="0" w:lastRowFirstColumn="0" w:lastRowLastColumn="0"/>
              <w:rPr>
                <w:lang w:val="ru-RU"/>
              </w:rPr>
            </w:pPr>
            <w:r>
              <w:rPr>
                <w:lang w:val="ru-RU"/>
              </w:rPr>
              <w:t>В 2019-2021</w:t>
            </w:r>
            <w:r w:rsidR="00331B27" w:rsidRPr="00805AE2">
              <w:rPr>
                <w:lang w:val="ru-RU"/>
              </w:rPr>
              <w:t xml:space="preserve"> гг. охват </w:t>
            </w:r>
            <w:r w:rsidR="002F4002">
              <w:rPr>
                <w:lang w:val="ru-RU"/>
              </w:rPr>
              <w:t>СР</w:t>
            </w:r>
            <w:r w:rsidR="00331B27" w:rsidRPr="00805AE2">
              <w:rPr>
                <w:lang w:val="ru-RU"/>
              </w:rPr>
              <w:t xml:space="preserve"> услугами сократился более чем на 40%</w:t>
            </w:r>
            <w:r>
              <w:rPr>
                <w:lang w:val="ru-RU"/>
              </w:rPr>
              <w:t>, и в соответствии с отчетом ГФ/ПРООН (</w:t>
            </w:r>
            <w:r>
              <w:t>PUDR</w:t>
            </w:r>
            <w:r w:rsidRPr="00302523">
              <w:rPr>
                <w:lang w:val="ru-RU"/>
              </w:rPr>
              <w:t xml:space="preserve"> </w:t>
            </w:r>
            <w:r>
              <w:rPr>
                <w:lang w:val="ru-RU"/>
              </w:rPr>
              <w:t>2021) такая ситуация была вызвана</w:t>
            </w:r>
            <w:r w:rsidR="00331B27" w:rsidRPr="00805AE2">
              <w:rPr>
                <w:lang w:val="ru-RU"/>
              </w:rPr>
              <w:t xml:space="preserve"> рейдами милиции и связанного с этим ограничением доступа в группу. Заявленные в предыдущей страновой заявке индикаторы не достигались. </w:t>
            </w:r>
            <w:r>
              <w:rPr>
                <w:lang w:val="ru-RU"/>
              </w:rPr>
              <w:t>В то же время, как отмечено выше, существенно изменились каналы спроса и предложения на секс-услуги, секс-работники перешли в виртуальное пространство, что значительно повлияло на доступ в группы</w:t>
            </w:r>
            <w:r w:rsidR="00667082">
              <w:rPr>
                <w:lang w:val="ru-RU"/>
              </w:rPr>
              <w:t xml:space="preserve">. </w:t>
            </w:r>
            <w:r w:rsidR="002F4002">
              <w:rPr>
                <w:lang w:val="ru-RU"/>
              </w:rPr>
              <w:t>П</w:t>
            </w:r>
            <w:r>
              <w:rPr>
                <w:lang w:val="ru-RU"/>
              </w:rPr>
              <w:t xml:space="preserve">рограммы недостаточно адаптировались к новым условиям, </w:t>
            </w:r>
            <w:r w:rsidR="002F4002">
              <w:rPr>
                <w:lang w:val="ru-RU"/>
              </w:rPr>
              <w:t>онлайн</w:t>
            </w:r>
            <w:r>
              <w:rPr>
                <w:lang w:val="ru-RU"/>
              </w:rPr>
              <w:t xml:space="preserve"> аутрич начал развиваться только в последний период. </w:t>
            </w:r>
            <w:r w:rsidR="0027482A">
              <w:rPr>
                <w:lang w:val="ru-RU"/>
              </w:rPr>
              <w:t xml:space="preserve">Действующие показатели, ориентированные на предоставление минимального пакета услуг при физическом контакте с клиентом, ограничивали возможности расширения </w:t>
            </w:r>
            <w:r w:rsidR="002F4002">
              <w:rPr>
                <w:lang w:val="ru-RU"/>
              </w:rPr>
              <w:t>онлайн</w:t>
            </w:r>
            <w:r w:rsidR="0027482A">
              <w:rPr>
                <w:lang w:val="ru-RU"/>
              </w:rPr>
              <w:t xml:space="preserve"> услуг. Имеются дискуссии о верификации данных о предоставлении </w:t>
            </w:r>
            <w:r w:rsidR="002F4002">
              <w:rPr>
                <w:lang w:val="ru-RU"/>
              </w:rPr>
              <w:t>онлайн</w:t>
            </w:r>
            <w:r w:rsidR="0027482A">
              <w:rPr>
                <w:lang w:val="ru-RU"/>
              </w:rPr>
              <w:t xml:space="preserve"> услуг и изменении пакета услуг.</w:t>
            </w:r>
          </w:p>
          <w:p w14:paraId="0CA20363" w14:textId="7892A4CA" w:rsidR="00331B27" w:rsidRDefault="002F4002" w:rsidP="00331B27">
            <w:pPr>
              <w:jc w:val="both"/>
              <w:cnfStyle w:val="000000000000" w:firstRow="0" w:lastRow="0" w:firstColumn="0" w:lastColumn="0" w:oddVBand="0" w:evenVBand="0" w:oddHBand="0" w:evenHBand="0" w:firstRowFirstColumn="0" w:firstRowLastColumn="0" w:lastRowFirstColumn="0" w:lastRowLastColumn="0"/>
              <w:rPr>
                <w:lang w:val="ru-RU"/>
              </w:rPr>
            </w:pPr>
            <w:r>
              <w:rPr>
                <w:lang w:val="ru-RU"/>
              </w:rPr>
              <w:t>С</w:t>
            </w:r>
            <w:r w:rsidR="00331B27">
              <w:rPr>
                <w:lang w:val="ru-RU"/>
              </w:rPr>
              <w:t xml:space="preserve"> 1998 года секс-работа в КР декриминализована, </w:t>
            </w:r>
            <w:r w:rsidR="0027482A">
              <w:rPr>
                <w:lang w:val="ru-RU"/>
              </w:rPr>
              <w:t xml:space="preserve">но </w:t>
            </w:r>
            <w:r w:rsidR="00331B27">
              <w:rPr>
                <w:lang w:val="ru-RU"/>
              </w:rPr>
              <w:t>несмотря на это</w:t>
            </w:r>
            <w:r w:rsidR="0027482A">
              <w:rPr>
                <w:lang w:val="ru-RU"/>
              </w:rPr>
              <w:t xml:space="preserve"> рейды продолжаются, данные о секс-работниках заносятся</w:t>
            </w:r>
            <w:r w:rsidR="00331B27">
              <w:rPr>
                <w:lang w:val="ru-RU"/>
              </w:rPr>
              <w:t xml:space="preserve"> </w:t>
            </w:r>
            <w:r w:rsidR="00331B27" w:rsidRPr="002C69AE">
              <w:rPr>
                <w:lang w:val="ru-RU"/>
              </w:rPr>
              <w:t>в</w:t>
            </w:r>
            <w:r w:rsidR="00331B27">
              <w:rPr>
                <w:lang w:val="ru-RU"/>
              </w:rPr>
              <w:t xml:space="preserve"> </w:t>
            </w:r>
            <w:r w:rsidR="00331B27" w:rsidRPr="002C69AE">
              <w:rPr>
                <w:lang w:val="ru-RU"/>
              </w:rPr>
              <w:t xml:space="preserve">компьютерную базу данных, </w:t>
            </w:r>
            <w:r w:rsidR="0027482A">
              <w:rPr>
                <w:lang w:val="ru-RU"/>
              </w:rPr>
              <w:t>такие ситуации</w:t>
            </w:r>
            <w:r w:rsidR="00331B27">
              <w:rPr>
                <w:lang w:val="ru-RU"/>
              </w:rPr>
              <w:t xml:space="preserve"> </w:t>
            </w:r>
            <w:r w:rsidR="0027482A">
              <w:rPr>
                <w:lang w:val="ru-RU"/>
              </w:rPr>
              <w:t>сопровождаю</w:t>
            </w:r>
            <w:r w:rsidR="00331B27" w:rsidRPr="002C69AE">
              <w:rPr>
                <w:lang w:val="ru-RU"/>
              </w:rPr>
              <w:t>тся вымогательством и другими видами насилия</w:t>
            </w:r>
            <w:r w:rsidR="00331B27">
              <w:rPr>
                <w:lang w:val="ru-RU"/>
              </w:rPr>
              <w:t xml:space="preserve">. </w:t>
            </w:r>
            <w:r w:rsidR="0027482A">
              <w:rPr>
                <w:lang w:val="ru-RU"/>
              </w:rPr>
              <w:t>При этом, с</w:t>
            </w:r>
            <w:r w:rsidR="00331B27">
              <w:rPr>
                <w:lang w:val="ru-RU"/>
              </w:rPr>
              <w:t xml:space="preserve">екс-работники </w:t>
            </w:r>
            <w:r w:rsidR="00331B27" w:rsidRPr="00CF5E61">
              <w:rPr>
                <w:lang w:val="ru-RU"/>
              </w:rPr>
              <w:t>стараются</w:t>
            </w:r>
            <w:r w:rsidR="00331B27">
              <w:rPr>
                <w:lang w:val="ru-RU"/>
              </w:rPr>
              <w:t xml:space="preserve"> </w:t>
            </w:r>
            <w:r w:rsidR="00331B27" w:rsidRPr="00CF5E61">
              <w:rPr>
                <w:lang w:val="ru-RU"/>
              </w:rPr>
              <w:t xml:space="preserve">не </w:t>
            </w:r>
            <w:r w:rsidR="0027482A">
              <w:rPr>
                <w:lang w:val="ru-RU"/>
              </w:rPr>
              <w:t>обращаться за защитой,</w:t>
            </w:r>
            <w:r w:rsidR="00331B27" w:rsidRPr="00CF5E61">
              <w:rPr>
                <w:lang w:val="ru-RU"/>
              </w:rPr>
              <w:t xml:space="preserve"> опасаясь повторного насилия, изматывающего</w:t>
            </w:r>
            <w:r w:rsidR="00331B27">
              <w:rPr>
                <w:lang w:val="ru-RU"/>
              </w:rPr>
              <w:t xml:space="preserve"> </w:t>
            </w:r>
            <w:r w:rsidR="00331B27" w:rsidRPr="00CF5E61">
              <w:rPr>
                <w:lang w:val="ru-RU"/>
              </w:rPr>
              <w:t>и длительного следствия, унижающего обращения</w:t>
            </w:r>
            <w:r w:rsidR="00331B27">
              <w:rPr>
                <w:lang w:val="ru-RU"/>
              </w:rPr>
              <w:t xml:space="preserve"> </w:t>
            </w:r>
            <w:r w:rsidR="00331B27" w:rsidRPr="00CF5E61">
              <w:rPr>
                <w:lang w:val="ru-RU"/>
              </w:rPr>
              <w:t>и не веря в справедливость судов</w:t>
            </w:r>
            <w:r w:rsidR="00331B27">
              <w:rPr>
                <w:lang w:val="ru-RU"/>
              </w:rPr>
              <w:t xml:space="preserve">, и следствия, а также раскрытия личной информации во время следствия. </w:t>
            </w:r>
          </w:p>
          <w:p w14:paraId="2FA9976E" w14:textId="76A30EC9" w:rsidR="00331B27" w:rsidRPr="004966C0" w:rsidRDefault="00331B27" w:rsidP="00331B27">
            <w:pPr>
              <w:jc w:val="both"/>
              <w:cnfStyle w:val="000000000000" w:firstRow="0" w:lastRow="0" w:firstColumn="0" w:lastColumn="0" w:oddVBand="0" w:evenVBand="0" w:oddHBand="0" w:evenHBand="0" w:firstRowFirstColumn="0" w:firstRowLastColumn="0" w:lastRowFirstColumn="0" w:lastRowLastColumn="0"/>
              <w:rPr>
                <w:lang w:val="ru-RU"/>
              </w:rPr>
            </w:pPr>
            <w:r>
              <w:rPr>
                <w:lang w:val="ru-RU"/>
              </w:rPr>
              <w:lastRenderedPageBreak/>
              <w:t>Транс-секс-работники наиболее преследуемая группа, в отношении которой совершается наиболее же</w:t>
            </w:r>
            <w:r w:rsidR="0027482A">
              <w:rPr>
                <w:lang w:val="ru-RU"/>
              </w:rPr>
              <w:t>стокое насилие</w:t>
            </w:r>
            <w:r>
              <w:rPr>
                <w:lang w:val="ru-RU"/>
              </w:rPr>
              <w:t>. Часто практикуется видеосъемка, котор</w:t>
            </w:r>
            <w:r w:rsidR="00736723">
              <w:rPr>
                <w:lang w:val="ru-RU"/>
              </w:rPr>
              <w:t>ую</w:t>
            </w:r>
            <w:r>
              <w:rPr>
                <w:lang w:val="ru-RU"/>
              </w:rPr>
              <w:t xml:space="preserve"> в последствии используют для угроз и шантажа и распространяют в социальных сетях.</w:t>
            </w:r>
          </w:p>
          <w:p w14:paraId="517CA3E8" w14:textId="3FFFF988" w:rsidR="008D14E4" w:rsidRPr="00331B27" w:rsidRDefault="00331B27" w:rsidP="00331B27">
            <w:pPr>
              <w:jc w:val="both"/>
              <w:cnfStyle w:val="000000000000" w:firstRow="0" w:lastRow="0" w:firstColumn="0" w:lastColumn="0" w:oddVBand="0" w:evenVBand="0" w:oddHBand="0" w:evenHBand="0" w:firstRowFirstColumn="0" w:firstRowLastColumn="0" w:lastRowFirstColumn="0" w:lastRowLastColumn="0"/>
              <w:rPr>
                <w:lang w:val="ru-RU"/>
              </w:rPr>
            </w:pPr>
            <w:r w:rsidRPr="00CF5E61">
              <w:rPr>
                <w:lang w:val="ru-RU"/>
              </w:rPr>
              <w:t>Одна из основных потребностей</w:t>
            </w:r>
            <w:r>
              <w:rPr>
                <w:lang w:val="ru-RU"/>
              </w:rPr>
              <w:t xml:space="preserve"> </w:t>
            </w:r>
            <w:r w:rsidRPr="00CF5E61">
              <w:rPr>
                <w:lang w:val="ru-RU"/>
              </w:rPr>
              <w:t>секс-работников</w:t>
            </w:r>
            <w:r w:rsidR="00321F66">
              <w:rPr>
                <w:lang w:val="ru-RU"/>
              </w:rPr>
              <w:t xml:space="preserve"> </w:t>
            </w:r>
            <w:r w:rsidRPr="00CF5E61">
              <w:rPr>
                <w:lang w:val="ru-RU"/>
              </w:rPr>
              <w:t>–</w:t>
            </w:r>
            <w:r w:rsidR="00321F66">
              <w:rPr>
                <w:lang w:val="ru-RU"/>
              </w:rPr>
              <w:t xml:space="preserve"> это </w:t>
            </w:r>
            <w:r w:rsidRPr="00CF5E61">
              <w:rPr>
                <w:lang w:val="ru-RU"/>
              </w:rPr>
              <w:t>услуги в области сексуального и</w:t>
            </w:r>
            <w:r>
              <w:rPr>
                <w:lang w:val="ru-RU"/>
              </w:rPr>
              <w:t xml:space="preserve"> </w:t>
            </w:r>
            <w:r w:rsidRPr="00CF5E61">
              <w:rPr>
                <w:lang w:val="ru-RU"/>
              </w:rPr>
              <w:t>репродуктивного здоровья. Секс-работники, даже имея документы и прописку, не будут</w:t>
            </w:r>
            <w:r>
              <w:rPr>
                <w:lang w:val="ru-RU"/>
              </w:rPr>
              <w:t xml:space="preserve"> </w:t>
            </w:r>
            <w:r w:rsidRPr="00CF5E61">
              <w:rPr>
                <w:lang w:val="ru-RU"/>
              </w:rPr>
              <w:t>обращаться в учреждения здравоохранения</w:t>
            </w:r>
            <w:r>
              <w:rPr>
                <w:lang w:val="ru-RU"/>
              </w:rPr>
              <w:t xml:space="preserve"> </w:t>
            </w:r>
            <w:r w:rsidRPr="00CF5E61">
              <w:rPr>
                <w:lang w:val="ru-RU"/>
              </w:rPr>
              <w:t>из-за</w:t>
            </w:r>
            <w:r>
              <w:rPr>
                <w:lang w:val="ru-RU"/>
              </w:rPr>
              <w:t xml:space="preserve"> </w:t>
            </w:r>
            <w:r w:rsidRPr="00CF5E61">
              <w:rPr>
                <w:lang w:val="ru-RU"/>
              </w:rPr>
              <w:t>стигмы и нежелания столкнуться с</w:t>
            </w:r>
            <w:r>
              <w:rPr>
                <w:lang w:val="ru-RU"/>
              </w:rPr>
              <w:t xml:space="preserve"> </w:t>
            </w:r>
            <w:r w:rsidRPr="00CF5E61">
              <w:rPr>
                <w:lang w:val="ru-RU"/>
              </w:rPr>
              <w:t>осуждением, а в малых городах</w:t>
            </w:r>
            <w:r w:rsidR="00321F66">
              <w:rPr>
                <w:lang w:val="ru-RU"/>
              </w:rPr>
              <w:t xml:space="preserve"> </w:t>
            </w:r>
            <w:r w:rsidRPr="00CF5E61">
              <w:rPr>
                <w:lang w:val="ru-RU"/>
              </w:rPr>
              <w:t>еще и из-за угрозы раскрытия личной информации</w:t>
            </w:r>
            <w:r>
              <w:rPr>
                <w:lang w:val="ru-RU"/>
              </w:rPr>
              <w:t xml:space="preserve">. В медицинских государственных учреждениях </w:t>
            </w:r>
            <w:r w:rsidRPr="002C69AE">
              <w:rPr>
                <w:lang w:val="ru-RU"/>
              </w:rPr>
              <w:t xml:space="preserve">многие врачи, узнав о </w:t>
            </w:r>
            <w:r>
              <w:rPr>
                <w:lang w:val="ru-RU"/>
              </w:rPr>
              <w:t>секс работе</w:t>
            </w:r>
            <w:r w:rsidRPr="002C69AE">
              <w:rPr>
                <w:lang w:val="ru-RU"/>
              </w:rPr>
              <w:t>, позволяют себе унижающие и</w:t>
            </w:r>
            <w:r>
              <w:rPr>
                <w:lang w:val="ru-RU"/>
              </w:rPr>
              <w:t xml:space="preserve"> </w:t>
            </w:r>
            <w:r w:rsidRPr="002C69AE">
              <w:rPr>
                <w:lang w:val="ru-RU"/>
              </w:rPr>
              <w:t>оскорбительные высказывания, раскрывают личную информацию, в результате</w:t>
            </w:r>
            <w:r>
              <w:rPr>
                <w:lang w:val="ru-RU"/>
              </w:rPr>
              <w:t xml:space="preserve"> </w:t>
            </w:r>
            <w:r w:rsidRPr="002C69AE">
              <w:rPr>
                <w:lang w:val="ru-RU"/>
              </w:rPr>
              <w:t>секс-работники избегают обращаться в государственные медучреждения</w:t>
            </w:r>
            <w:r>
              <w:rPr>
                <w:lang w:val="ru-RU"/>
              </w:rPr>
              <w:t xml:space="preserve">. </w:t>
            </w:r>
            <w:r w:rsidRPr="00CF5E61">
              <w:rPr>
                <w:lang w:val="ru-RU"/>
              </w:rPr>
              <w:t>Доступ к медицинской помощи затруднен из-за</w:t>
            </w:r>
            <w:r>
              <w:rPr>
                <w:lang w:val="ru-RU"/>
              </w:rPr>
              <w:t xml:space="preserve"> </w:t>
            </w:r>
            <w:r w:rsidRPr="00CF5E61">
              <w:rPr>
                <w:lang w:val="ru-RU"/>
              </w:rPr>
              <w:t>правил приписки населения к</w:t>
            </w:r>
            <w:r>
              <w:rPr>
                <w:lang w:val="ru-RU"/>
              </w:rPr>
              <w:t xml:space="preserve"> </w:t>
            </w:r>
            <w:r w:rsidRPr="00CF5E61">
              <w:rPr>
                <w:lang w:val="ru-RU"/>
              </w:rPr>
              <w:t>учреждениям ПМСП</w:t>
            </w:r>
            <w:r>
              <w:rPr>
                <w:lang w:val="ru-RU"/>
              </w:rPr>
              <w:t>.</w:t>
            </w:r>
          </w:p>
        </w:tc>
      </w:tr>
      <w:tr w:rsidR="008D14E4" w14:paraId="1B60D79B" w14:textId="77777777" w:rsidTr="008D14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2C40B2B0" w14:textId="77777777" w:rsidR="008D14E4" w:rsidRDefault="008D14E4" w:rsidP="008D14E4">
            <w:pPr>
              <w:pStyle w:val="a1"/>
            </w:pPr>
            <w:r>
              <w:rPr>
                <w:lang w:val="ru-RU"/>
              </w:rPr>
              <w:lastRenderedPageBreak/>
              <w:t>Запрашиваемая сумма</w:t>
            </w:r>
          </w:p>
        </w:tc>
        <w:tc>
          <w:tcPr>
            <w:tcW w:w="13025" w:type="dxa"/>
          </w:tcPr>
          <w:p w14:paraId="4913E5B9" w14:textId="77777777" w:rsidR="008D14E4" w:rsidRPr="00621F12" w:rsidRDefault="008D14E4" w:rsidP="008D14E4">
            <w:pPr>
              <w:pStyle w:val="a1"/>
              <w:cnfStyle w:val="000000100000" w:firstRow="0" w:lastRow="0" w:firstColumn="0" w:lastColumn="0" w:oddVBand="0" w:evenVBand="0" w:oddHBand="1" w:evenHBand="0" w:firstRowFirstColumn="0" w:firstRowLastColumn="0" w:lastRowFirstColumn="0" w:lastRowLastColumn="0"/>
              <w:rPr>
                <w:sz w:val="22"/>
                <w:szCs w:val="20"/>
              </w:rPr>
            </w:pPr>
          </w:p>
        </w:tc>
      </w:tr>
      <w:tr w:rsidR="008D14E4" w:rsidRPr="00A26916" w14:paraId="7AEC34E7" w14:textId="77777777" w:rsidTr="008D14E4">
        <w:tc>
          <w:tcPr>
            <w:cnfStyle w:val="001000000000" w:firstRow="0" w:lastRow="0" w:firstColumn="1" w:lastColumn="0" w:oddVBand="0" w:evenVBand="0" w:oddHBand="0" w:evenHBand="0" w:firstRowFirstColumn="0" w:firstRowLastColumn="0" w:lastRowFirstColumn="0" w:lastRowLastColumn="0"/>
            <w:tcW w:w="2138" w:type="dxa"/>
          </w:tcPr>
          <w:p w14:paraId="6D3C1046" w14:textId="77777777" w:rsidR="008D14E4" w:rsidRDefault="008D14E4" w:rsidP="008D14E4">
            <w:pPr>
              <w:pStyle w:val="a1"/>
            </w:pPr>
            <w:r w:rsidRPr="00B64988">
              <w:rPr>
                <w:lang w:val="ru-RU"/>
              </w:rPr>
              <w:t>Ожидаемый результат</w:t>
            </w:r>
          </w:p>
        </w:tc>
        <w:tc>
          <w:tcPr>
            <w:tcW w:w="13025" w:type="dxa"/>
          </w:tcPr>
          <w:p w14:paraId="535BD9FC" w14:textId="77777777" w:rsidR="00E806B9" w:rsidRDefault="00E806B9" w:rsidP="001710B9">
            <w:pPr>
              <w:pStyle w:val="a1"/>
              <w:numPr>
                <w:ilvl w:val="0"/>
                <w:numId w:val="20"/>
              </w:numPr>
              <w:cnfStyle w:val="000000000000" w:firstRow="0" w:lastRow="0" w:firstColumn="0" w:lastColumn="0" w:oddVBand="0" w:evenVBand="0" w:oddHBand="0" w:evenHBand="0" w:firstRowFirstColumn="0" w:firstRowLastColumn="0" w:lastRowFirstColumn="0" w:lastRowLastColumn="0"/>
              <w:rPr>
                <w:sz w:val="22"/>
                <w:szCs w:val="20"/>
                <w:lang w:val="ru-RU"/>
              </w:rPr>
            </w:pPr>
            <w:r w:rsidRPr="00E806B9">
              <w:rPr>
                <w:sz w:val="22"/>
                <w:szCs w:val="20"/>
                <w:lang w:val="ru-RU"/>
              </w:rPr>
              <w:t xml:space="preserve">Не менее </w:t>
            </w:r>
            <w:r w:rsidRPr="00E806B9">
              <w:rPr>
                <w:sz w:val="22"/>
                <w:szCs w:val="20"/>
                <w:highlight w:val="yellow"/>
                <w:lang w:val="ru-RU"/>
              </w:rPr>
              <w:t>75%</w:t>
            </w:r>
            <w:r>
              <w:rPr>
                <w:sz w:val="22"/>
                <w:szCs w:val="20"/>
                <w:lang w:val="ru-RU"/>
              </w:rPr>
              <w:t xml:space="preserve"> СР</w:t>
            </w:r>
            <w:r w:rsidRPr="00E806B9">
              <w:rPr>
                <w:sz w:val="22"/>
                <w:szCs w:val="20"/>
                <w:lang w:val="ru-RU"/>
              </w:rPr>
              <w:t xml:space="preserve"> от обще</w:t>
            </w:r>
            <w:r>
              <w:rPr>
                <w:sz w:val="22"/>
                <w:szCs w:val="20"/>
                <w:lang w:val="ru-RU"/>
              </w:rPr>
              <w:t>й численности будут охвачены минимальным пакетом услуг к 2026 году</w:t>
            </w:r>
            <w:r w:rsidRPr="00E806B9">
              <w:rPr>
                <w:sz w:val="22"/>
                <w:szCs w:val="20"/>
                <w:lang w:val="ru-RU"/>
              </w:rPr>
              <w:t>;</w:t>
            </w:r>
          </w:p>
          <w:p w14:paraId="3CBD4462" w14:textId="77777777" w:rsidR="00B64988" w:rsidRDefault="00E806B9" w:rsidP="001710B9">
            <w:pPr>
              <w:pStyle w:val="a1"/>
              <w:numPr>
                <w:ilvl w:val="0"/>
                <w:numId w:val="20"/>
              </w:numPr>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Не менее 95% от охвата СР</w:t>
            </w:r>
            <w:r w:rsidRPr="00E806B9">
              <w:rPr>
                <w:sz w:val="22"/>
                <w:szCs w:val="20"/>
                <w:lang w:val="ru-RU"/>
              </w:rPr>
              <w:t xml:space="preserve"> минимальным пакетом услуг пройдут тестирование на ВИЧ и не менее 95% новых выявленных случаев ВИЧ пройдут полный каскад программы социального сопровождения;</w:t>
            </w:r>
          </w:p>
          <w:p w14:paraId="34494BC3" w14:textId="5861D88B" w:rsidR="008D14E4" w:rsidRPr="00B64988" w:rsidRDefault="00E806B9" w:rsidP="001710B9">
            <w:pPr>
              <w:pStyle w:val="a1"/>
              <w:numPr>
                <w:ilvl w:val="0"/>
                <w:numId w:val="20"/>
              </w:numPr>
              <w:cnfStyle w:val="000000000000" w:firstRow="0" w:lastRow="0" w:firstColumn="0" w:lastColumn="0" w:oddVBand="0" w:evenVBand="0" w:oddHBand="0" w:evenHBand="0" w:firstRowFirstColumn="0" w:firstRowLastColumn="0" w:lastRowFirstColumn="0" w:lastRowLastColumn="0"/>
              <w:rPr>
                <w:sz w:val="22"/>
                <w:szCs w:val="20"/>
                <w:lang w:val="ru-RU"/>
              </w:rPr>
            </w:pPr>
            <w:r w:rsidRPr="00B64988">
              <w:rPr>
                <w:sz w:val="22"/>
                <w:szCs w:val="20"/>
                <w:lang w:val="ru-RU"/>
              </w:rPr>
              <w:t>Не менее 95% СР с ВИЧ будут получать АРТ и достигнут вирусной супрессии</w:t>
            </w:r>
          </w:p>
        </w:tc>
      </w:tr>
    </w:tbl>
    <w:p w14:paraId="2517D241" w14:textId="7AFFB6A3" w:rsidR="00684BC6" w:rsidRDefault="00684BC6" w:rsidP="007E2465">
      <w:pPr>
        <w:pStyle w:val="a1"/>
        <w:rPr>
          <w:i/>
          <w:iCs/>
          <w:lang w:val="ru-RU"/>
        </w:rPr>
      </w:pPr>
    </w:p>
    <w:p w14:paraId="3F0E90D0" w14:textId="77777777" w:rsidR="00684BC6" w:rsidRDefault="00684BC6">
      <w:pPr>
        <w:spacing w:after="200"/>
        <w:rPr>
          <w:i/>
          <w:iCs/>
          <w:sz w:val="24"/>
          <w:lang w:val="ru-RU"/>
        </w:rPr>
      </w:pPr>
      <w:r>
        <w:rPr>
          <w:i/>
          <w:iCs/>
          <w:lang w:val="ru-RU"/>
        </w:rPr>
        <w:br w:type="page"/>
      </w:r>
    </w:p>
    <w:tbl>
      <w:tblPr>
        <w:tblStyle w:val="110"/>
        <w:tblpPr w:leftFromText="181" w:rightFromText="181" w:vertAnchor="page" w:horzAnchor="margin" w:tblpY="911"/>
        <w:tblW w:w="15163" w:type="dxa"/>
        <w:tblLook w:val="04A0" w:firstRow="1" w:lastRow="0" w:firstColumn="1" w:lastColumn="0" w:noHBand="0" w:noVBand="1"/>
      </w:tblPr>
      <w:tblGrid>
        <w:gridCol w:w="2138"/>
        <w:gridCol w:w="13025"/>
      </w:tblGrid>
      <w:tr w:rsidR="00684BC6" w:rsidRPr="00A26916" w14:paraId="048C36E3" w14:textId="77777777" w:rsidTr="00E54B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565997CC" w14:textId="41ACE039" w:rsidR="00684BC6" w:rsidRPr="00684BC6" w:rsidRDefault="00684BC6" w:rsidP="00684BC6">
            <w:pPr>
              <w:pStyle w:val="a1"/>
              <w:rPr>
                <w:lang w:val="ru-RU"/>
              </w:rPr>
            </w:pPr>
            <w:r>
              <w:rPr>
                <w:lang w:val="ru-RU"/>
              </w:rPr>
              <w:lastRenderedPageBreak/>
              <w:t>Модуль №</w:t>
            </w:r>
            <w:r>
              <w:t xml:space="preserve"> </w:t>
            </w:r>
            <w:r w:rsidR="00540290" w:rsidRPr="00B64988">
              <w:rPr>
                <w:lang w:val="ru-RU"/>
              </w:rPr>
              <w:t>6</w:t>
            </w:r>
          </w:p>
        </w:tc>
        <w:tc>
          <w:tcPr>
            <w:tcW w:w="13025" w:type="dxa"/>
            <w:tcBorders>
              <w:bottom w:val="single" w:sz="4" w:space="0" w:color="BFBFBF" w:themeColor="background1" w:themeShade="BF"/>
            </w:tcBorders>
          </w:tcPr>
          <w:p w14:paraId="46213F75" w14:textId="77777777" w:rsidR="00684BC6" w:rsidRPr="004C2937" w:rsidRDefault="00684BC6" w:rsidP="00684BC6">
            <w:pPr>
              <w:pStyle w:val="a1"/>
              <w:cnfStyle w:val="100000000000" w:firstRow="1" w:lastRow="0" w:firstColumn="0" w:lastColumn="0" w:oddVBand="0" w:evenVBand="0" w:oddHBand="0" w:evenHBand="0" w:firstRowFirstColumn="0" w:firstRowLastColumn="0" w:lastRowFirstColumn="0" w:lastRowLastColumn="0"/>
              <w:rPr>
                <w:lang w:val="ru-RU"/>
              </w:rPr>
            </w:pPr>
            <w:r w:rsidRPr="004C2937">
              <w:rPr>
                <w:lang w:val="ru-RU"/>
              </w:rPr>
              <w:t>Пакет профилактических мер для трансгендеров и их сексуальных партнеров</w:t>
            </w:r>
          </w:p>
        </w:tc>
      </w:tr>
      <w:tr w:rsidR="00684BC6" w:rsidRPr="00A26916" w14:paraId="16A937A1" w14:textId="77777777" w:rsidTr="00684B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12224B9B" w14:textId="3BD8D831" w:rsidR="00684BC6" w:rsidRDefault="00C41B0A" w:rsidP="00684BC6">
            <w:pPr>
              <w:pStyle w:val="a1"/>
            </w:pPr>
            <w:r>
              <w:rPr>
                <w:lang w:val="ru-RU"/>
              </w:rPr>
              <w:t>Вмешательства</w:t>
            </w:r>
          </w:p>
        </w:tc>
        <w:tc>
          <w:tcPr>
            <w:tcW w:w="13025" w:type="dxa"/>
          </w:tcPr>
          <w:p w14:paraId="6A154B37" w14:textId="3652FC15" w:rsidR="00E54B45" w:rsidRPr="0068067C" w:rsidRDefault="0068067C" w:rsidP="00E54B45">
            <w:pPr>
              <w:jc w:val="both"/>
              <w:cnfStyle w:val="000000100000" w:firstRow="0" w:lastRow="0" w:firstColumn="0" w:lastColumn="0" w:oddVBand="0" w:evenVBand="0" w:oddHBand="1" w:evenHBand="0" w:firstRowFirstColumn="0" w:firstRowLastColumn="0" w:lastRowFirstColumn="0" w:lastRowLastColumn="0"/>
              <w:rPr>
                <w:lang w:val="ru-RU"/>
              </w:rPr>
            </w:pPr>
            <w:r w:rsidRPr="0068067C">
              <w:rPr>
                <w:lang w:val="ru-RU"/>
              </w:rPr>
              <w:t xml:space="preserve">В Кыргызстане не проводился </w:t>
            </w:r>
            <w:r w:rsidRPr="0068067C">
              <w:t>IBBS</w:t>
            </w:r>
            <w:r w:rsidRPr="0068067C">
              <w:rPr>
                <w:lang w:val="ru-RU"/>
              </w:rPr>
              <w:t xml:space="preserve"> среди трансгендерных людей и их партнеров, в связи с чем одной из первых задач является проведение такого исследования.</w:t>
            </w:r>
          </w:p>
          <w:p w14:paraId="0F41BAD4" w14:textId="4A873B8A" w:rsidR="00E54B45" w:rsidRPr="00E54B45" w:rsidRDefault="0068067C" w:rsidP="00E54B45">
            <w:pPr>
              <w:jc w:val="both"/>
              <w:cnfStyle w:val="000000100000" w:firstRow="0" w:lastRow="0" w:firstColumn="0" w:lastColumn="0" w:oddVBand="0" w:evenVBand="0" w:oddHBand="1" w:evenHBand="0" w:firstRowFirstColumn="0" w:firstRowLastColumn="0" w:lastRowFirstColumn="0" w:lastRowLastColumn="0"/>
              <w:rPr>
                <w:bCs/>
                <w:lang w:val="ru-RU"/>
              </w:rPr>
            </w:pPr>
            <w:r>
              <w:rPr>
                <w:bCs/>
                <w:lang w:val="ru-RU"/>
              </w:rPr>
              <w:t>В то же время, уже на протяжении 3х лет реализуется пилотный проект по расширению вовлечения ТГ в профилактические программы и повышению потенциала сообщества ТГ. Учитывая прогресс в расширении охвата ТГ профилактическими программами, в текущей заявке будет поддержана работа одного</w:t>
            </w:r>
            <w:r w:rsidR="00E54B45" w:rsidRPr="00E54B45">
              <w:rPr>
                <w:bCs/>
                <w:lang w:val="ru-RU"/>
              </w:rPr>
              <w:t xml:space="preserve"> НПО в г. Бишкек с наработанной базой клиентов, с расш</w:t>
            </w:r>
            <w:r>
              <w:rPr>
                <w:bCs/>
                <w:lang w:val="ru-RU"/>
              </w:rPr>
              <w:t>ирением охвата на</w:t>
            </w:r>
            <w:r w:rsidR="00E54B45" w:rsidRPr="00E54B45">
              <w:rPr>
                <w:bCs/>
                <w:lang w:val="ru-RU"/>
              </w:rPr>
              <w:t xml:space="preserve"> г. Ош. Охват по программным данным </w:t>
            </w:r>
            <w:r w:rsidR="000B6FE9">
              <w:rPr>
                <w:bCs/>
                <w:lang w:val="ru-RU"/>
              </w:rPr>
              <w:t>ПРООН/ГФ за 2022 год</w:t>
            </w:r>
            <w:r w:rsidR="00E54B45" w:rsidRPr="00E54B45">
              <w:rPr>
                <w:bCs/>
                <w:lang w:val="ru-RU"/>
              </w:rPr>
              <w:t xml:space="preserve"> составляет 250 транс-людей. </w:t>
            </w:r>
            <w:r>
              <w:rPr>
                <w:bCs/>
                <w:lang w:val="ru-RU"/>
              </w:rPr>
              <w:t xml:space="preserve">Более </w:t>
            </w:r>
            <w:r w:rsidR="00E54B45" w:rsidRPr="00E54B45">
              <w:rPr>
                <w:bCs/>
                <w:lang w:val="ru-RU"/>
              </w:rPr>
              <w:t xml:space="preserve">20% охвата консультированием распространиться на социальные сети и другие площадки с фокусом на потребителей новых ПАВ из числа ТГ, аутрич сотрудник займется разработкой мотивационных и информационных постов, которые повысят привлекательность проектных услуг среди бенефициаров. Аутрич работник будет заниматься повышением привлекательности проектных услуг, консультировать и перенаправлять (80% </w:t>
            </w:r>
            <w:r w:rsidR="00321F66" w:rsidRPr="00E54B45">
              <w:rPr>
                <w:bCs/>
                <w:lang w:val="ru-RU"/>
              </w:rPr>
              <w:t>охвата) на</w:t>
            </w:r>
            <w:r w:rsidR="00E54B45" w:rsidRPr="00E54B45">
              <w:rPr>
                <w:bCs/>
                <w:lang w:val="ru-RU"/>
              </w:rPr>
              <w:t xml:space="preserve"> диагностику и лечение ИППП, ЭТ на ВИЧ, эндокринологические услуги (лабораторная диагностика и консультация эндокринолога). Продолжится предоставление презервативов и любрикантов, а также комплекс мероприятий направленных на повышение осведомленности и формирование позитивных изменений сексуальных практик. Будет продолжена активная работа по привлечению новых клиентов в программу доконтак</w:t>
            </w:r>
            <w:r>
              <w:rPr>
                <w:bCs/>
                <w:lang w:val="ru-RU"/>
              </w:rPr>
              <w:t>тной профилактики</w:t>
            </w:r>
            <w:r w:rsidR="00E54B45" w:rsidRPr="00E54B45">
              <w:rPr>
                <w:bCs/>
                <w:lang w:val="ru-RU"/>
              </w:rPr>
              <w:t>. Продолжатся мероприятия по документированию нарушений прав, поддержки и развития сообществ. При этом, будет охвачено минимальным пакетом услуг (состоящего из презерватива и/или любриканта, консультирование/</w:t>
            </w:r>
            <w:r w:rsidR="00EE5C7F" w:rsidRPr="00E54B45">
              <w:rPr>
                <w:bCs/>
                <w:lang w:val="ru-RU"/>
              </w:rPr>
              <w:t>ИОМ) не</w:t>
            </w:r>
            <w:r w:rsidR="00E54B45" w:rsidRPr="00E54B45">
              <w:rPr>
                <w:bCs/>
                <w:lang w:val="ru-RU"/>
              </w:rPr>
              <w:t xml:space="preserve"> менее 250 транс*людей (на основании програм</w:t>
            </w:r>
            <w:r>
              <w:rPr>
                <w:bCs/>
                <w:lang w:val="ru-RU"/>
              </w:rPr>
              <w:t>мных данных 2022 г.)</w:t>
            </w:r>
            <w:r w:rsidR="00E54B45" w:rsidRPr="00E54B45">
              <w:rPr>
                <w:bCs/>
                <w:lang w:val="ru-RU"/>
              </w:rPr>
              <w:t xml:space="preserve"> с да</w:t>
            </w:r>
            <w:r>
              <w:rPr>
                <w:bCs/>
                <w:lang w:val="ru-RU"/>
              </w:rPr>
              <w:t xml:space="preserve">льнейшим увеличением. </w:t>
            </w:r>
            <w:r w:rsidR="00E54B45" w:rsidRPr="00E54B45">
              <w:rPr>
                <w:bCs/>
                <w:lang w:val="ru-RU"/>
              </w:rPr>
              <w:t>ТиК на ВИЧ пройдут не менее 95% от кол</w:t>
            </w:r>
            <w:r>
              <w:rPr>
                <w:bCs/>
                <w:lang w:val="ru-RU"/>
              </w:rPr>
              <w:t>ичества клиентов, охваченных услугами</w:t>
            </w:r>
            <w:r w:rsidR="00E54B45" w:rsidRPr="00E54B45">
              <w:rPr>
                <w:bCs/>
                <w:lang w:val="ru-RU"/>
              </w:rPr>
              <w:t xml:space="preserve">. </w:t>
            </w:r>
          </w:p>
          <w:p w14:paraId="4E66DB4E" w14:textId="53B535B4" w:rsidR="00684BC6" w:rsidRPr="00E54B45" w:rsidRDefault="00E54B45" w:rsidP="00E54B45">
            <w:pPr>
              <w:jc w:val="both"/>
              <w:cnfStyle w:val="000000100000" w:firstRow="0" w:lastRow="0" w:firstColumn="0" w:lastColumn="0" w:oddVBand="0" w:evenVBand="0" w:oddHBand="1" w:evenHBand="0" w:firstRowFirstColumn="0" w:firstRowLastColumn="0" w:lastRowFirstColumn="0" w:lastRowLastColumn="0"/>
              <w:rPr>
                <w:bCs/>
                <w:lang w:val="ru-RU"/>
              </w:rPr>
            </w:pPr>
            <w:r w:rsidRPr="00E54B45">
              <w:rPr>
                <w:bCs/>
                <w:lang w:val="ru-RU"/>
              </w:rPr>
              <w:t>Планируется работа по подключению клиентов к программе ДКП 10 человек в 2024 году, с последующим увеличением на 10% в год.</w:t>
            </w:r>
            <w:r w:rsidR="00B64988">
              <w:rPr>
                <w:bCs/>
                <w:lang w:val="ru-RU"/>
              </w:rPr>
              <w:t xml:space="preserve"> </w:t>
            </w:r>
            <w:r w:rsidR="00B64988" w:rsidRPr="00B64988">
              <w:rPr>
                <w:bCs/>
                <w:lang w:val="ru-RU"/>
              </w:rPr>
              <w:t>Предусматривается сдача анализов для начала заместительной гормональной терапи</w:t>
            </w:r>
            <w:r w:rsidR="00EE5C7F">
              <w:rPr>
                <w:bCs/>
                <w:lang w:val="ru-RU"/>
              </w:rPr>
              <w:t>и</w:t>
            </w:r>
            <w:r w:rsidR="00B64988" w:rsidRPr="00B64988">
              <w:rPr>
                <w:bCs/>
                <w:lang w:val="ru-RU"/>
              </w:rPr>
              <w:t xml:space="preserve"> 80 чел в год.</w:t>
            </w:r>
          </w:p>
          <w:p w14:paraId="44F41486" w14:textId="4F398A2A" w:rsidR="00E54B45" w:rsidRPr="00B64988" w:rsidRDefault="00B64988" w:rsidP="00E54B45">
            <w:pPr>
              <w:jc w:val="both"/>
              <w:cnfStyle w:val="000000100000" w:firstRow="0" w:lastRow="0" w:firstColumn="0" w:lastColumn="0" w:oddVBand="0" w:evenVBand="0" w:oddHBand="1" w:evenHBand="0" w:firstRowFirstColumn="0" w:firstRowLastColumn="0" w:lastRowFirstColumn="0" w:lastRowLastColumn="0"/>
              <w:rPr>
                <w:bCs/>
                <w:lang w:val="ru-RU"/>
              </w:rPr>
            </w:pPr>
            <w:r w:rsidRPr="00B64988">
              <w:rPr>
                <w:bCs/>
                <w:lang w:val="ru-RU"/>
              </w:rPr>
              <w:t>В рамках компонента по преодолению правовых барьеров (12 модуль) и мобилизации сообществ (2 модуль) б</w:t>
            </w:r>
            <w:r w:rsidR="0068067C" w:rsidRPr="00B64988">
              <w:rPr>
                <w:bCs/>
                <w:lang w:val="ru-RU"/>
              </w:rPr>
              <w:t>удет осуществляться п</w:t>
            </w:r>
            <w:r w:rsidR="00E54B45" w:rsidRPr="00B64988">
              <w:rPr>
                <w:bCs/>
                <w:lang w:val="ru-RU"/>
              </w:rPr>
              <w:t>оддержка в продвижении имплементации руководств TR</w:t>
            </w:r>
            <w:r w:rsidR="0068067C" w:rsidRPr="00B64988">
              <w:rPr>
                <w:bCs/>
                <w:lang w:val="ru-RU"/>
              </w:rPr>
              <w:t>ANSIT</w:t>
            </w:r>
            <w:r w:rsidR="00E54B45" w:rsidRPr="00B64988">
              <w:rPr>
                <w:bCs/>
                <w:lang w:val="ru-RU"/>
              </w:rPr>
              <w:t xml:space="preserve"> по мобилизации сообщества, активному вовлечению в процессы принятия решений, институциональной поддержки инициативных групп. Один раз в год </w:t>
            </w:r>
            <w:r w:rsidR="0068067C" w:rsidRPr="00B64988">
              <w:rPr>
                <w:bCs/>
                <w:lang w:val="ru-RU"/>
              </w:rPr>
              <w:t xml:space="preserve">будет </w:t>
            </w:r>
            <w:r w:rsidR="00E54B45" w:rsidRPr="00B64988">
              <w:rPr>
                <w:bCs/>
                <w:lang w:val="ru-RU"/>
              </w:rPr>
              <w:t>проводить</w:t>
            </w:r>
            <w:r w:rsidR="0068067C" w:rsidRPr="00B64988">
              <w:rPr>
                <w:bCs/>
                <w:lang w:val="ru-RU"/>
              </w:rPr>
              <w:t xml:space="preserve">ся </w:t>
            </w:r>
            <w:r w:rsidR="00E54B45" w:rsidRPr="00B64988">
              <w:rPr>
                <w:bCs/>
                <w:lang w:val="ru-RU"/>
              </w:rPr>
              <w:t>лагерь для мобилизации сообщества, повышения потенциала и развитию лидерства.</w:t>
            </w:r>
          </w:p>
          <w:p w14:paraId="7E1C16F2" w14:textId="7E354313" w:rsidR="00E54B45" w:rsidRPr="009E19BF" w:rsidRDefault="00E54B45" w:rsidP="009E19BF">
            <w:pPr>
              <w:jc w:val="both"/>
              <w:cnfStyle w:val="000000100000" w:firstRow="0" w:lastRow="0" w:firstColumn="0" w:lastColumn="0" w:oddVBand="0" w:evenVBand="0" w:oddHBand="1" w:evenHBand="0" w:firstRowFirstColumn="0" w:firstRowLastColumn="0" w:lastRowFirstColumn="0" w:lastRowLastColumn="0"/>
              <w:rPr>
                <w:bCs/>
                <w:lang w:val="ru-RU"/>
              </w:rPr>
            </w:pPr>
            <w:r w:rsidRPr="00B64988">
              <w:rPr>
                <w:bCs/>
                <w:lang w:val="ru-RU"/>
              </w:rPr>
              <w:t>Продолжатся усилия по устранению связанных с правами человека барьер</w:t>
            </w:r>
            <w:r w:rsidR="009E19BF" w:rsidRPr="00B64988">
              <w:rPr>
                <w:bCs/>
                <w:lang w:val="ru-RU"/>
              </w:rPr>
              <w:t xml:space="preserve">ов на пути профилактики для ТГ. </w:t>
            </w:r>
            <w:r w:rsidRPr="00B64988">
              <w:rPr>
                <w:bCs/>
                <w:lang w:val="ru-RU"/>
              </w:rPr>
              <w:t xml:space="preserve">В рамках программы «Уличные юристы» и использования электронной системы документирования правонарушений REAct продолжится работа по документированию случаев нарушения прав и оказанию юридической помощи </w:t>
            </w:r>
            <w:r w:rsidR="009E19BF" w:rsidRPr="00B64988">
              <w:rPr>
                <w:bCs/>
                <w:lang w:val="ru-RU"/>
              </w:rPr>
              <w:t>силами параюристов и адвокатов. Предусматривается адвокация принятия антидискриминационного закона</w:t>
            </w:r>
            <w:r w:rsidRPr="00B64988">
              <w:rPr>
                <w:bCs/>
                <w:lang w:val="ru-RU"/>
              </w:rPr>
              <w:t xml:space="preserve"> с вк</w:t>
            </w:r>
            <w:r w:rsidR="009E19BF" w:rsidRPr="00B64988">
              <w:rPr>
                <w:bCs/>
                <w:lang w:val="ru-RU"/>
              </w:rPr>
              <w:t>лючением СОГИ, у</w:t>
            </w:r>
            <w:r w:rsidRPr="00B64988">
              <w:rPr>
                <w:bCs/>
                <w:lang w:val="ru-RU"/>
              </w:rPr>
              <w:t>силение компонента взаимодействия с медицинскими специалистами по депатоло</w:t>
            </w:r>
            <w:r w:rsidR="009E19BF" w:rsidRPr="00B64988">
              <w:rPr>
                <w:bCs/>
                <w:lang w:val="ru-RU"/>
              </w:rPr>
              <w:t>гизации и улучшения сервиса ЗГТ.</w:t>
            </w:r>
          </w:p>
        </w:tc>
      </w:tr>
      <w:tr w:rsidR="00684BC6" w:rsidRPr="00A26916" w14:paraId="7E414706" w14:textId="77777777" w:rsidTr="00684BC6">
        <w:tc>
          <w:tcPr>
            <w:cnfStyle w:val="001000000000" w:firstRow="0" w:lastRow="0" w:firstColumn="1" w:lastColumn="0" w:oddVBand="0" w:evenVBand="0" w:oddHBand="0" w:evenHBand="0" w:firstRowFirstColumn="0" w:firstRowLastColumn="0" w:lastRowFirstColumn="0" w:lastRowLastColumn="0"/>
            <w:tcW w:w="2138" w:type="dxa"/>
          </w:tcPr>
          <w:p w14:paraId="74C7DCBF" w14:textId="77777777" w:rsidR="00684BC6" w:rsidRPr="00E717C9" w:rsidRDefault="00684BC6" w:rsidP="00684BC6">
            <w:pPr>
              <w:pStyle w:val="a1"/>
              <w:rPr>
                <w:color w:val="FF0000"/>
                <w:lang w:val="ru-RU"/>
              </w:rPr>
            </w:pPr>
            <w:r w:rsidRPr="009E19BF">
              <w:rPr>
                <w:lang w:val="ru-RU"/>
              </w:rPr>
              <w:t xml:space="preserve">Население, территории и/или барьеры, </w:t>
            </w:r>
            <w:r w:rsidRPr="009E19BF">
              <w:rPr>
                <w:lang w:val="ru-RU"/>
              </w:rPr>
              <w:lastRenderedPageBreak/>
              <w:t>на которые направлена деятельность</w:t>
            </w:r>
          </w:p>
        </w:tc>
        <w:tc>
          <w:tcPr>
            <w:tcW w:w="13025" w:type="dxa"/>
          </w:tcPr>
          <w:p w14:paraId="0C98A3E8" w14:textId="27A3E362" w:rsidR="00144E53" w:rsidRDefault="00144E53" w:rsidP="00144E53">
            <w:pPr>
              <w:pStyle w:val="a1"/>
              <w:jc w:val="both"/>
              <w:cnfStyle w:val="000000000000" w:firstRow="0" w:lastRow="0" w:firstColumn="0" w:lastColumn="0" w:oddVBand="0" w:evenVBand="0" w:oddHBand="0" w:evenHBand="0" w:firstRowFirstColumn="0" w:firstRowLastColumn="0" w:lastRowFirstColumn="0" w:lastRowLastColumn="0"/>
              <w:rPr>
                <w:bCs/>
                <w:sz w:val="22"/>
                <w:szCs w:val="20"/>
                <w:lang w:val="ru-RU"/>
              </w:rPr>
            </w:pPr>
            <w:r>
              <w:rPr>
                <w:bCs/>
                <w:sz w:val="22"/>
                <w:szCs w:val="20"/>
                <w:lang w:val="ru-RU"/>
              </w:rPr>
              <w:lastRenderedPageBreak/>
              <w:t>Трансгендеры и их сексуальные партнеры</w:t>
            </w:r>
          </w:p>
          <w:p w14:paraId="27F9FD77" w14:textId="77777777" w:rsidR="004B0E3D" w:rsidRDefault="00144E53" w:rsidP="00144E53">
            <w:pPr>
              <w:pStyle w:val="a1"/>
              <w:jc w:val="both"/>
              <w:cnfStyle w:val="000000000000" w:firstRow="0" w:lastRow="0" w:firstColumn="0" w:lastColumn="0" w:oddVBand="0" w:evenVBand="0" w:oddHBand="0" w:evenHBand="0" w:firstRowFirstColumn="0" w:firstRowLastColumn="0" w:lastRowFirstColumn="0" w:lastRowLastColumn="0"/>
              <w:rPr>
                <w:bCs/>
                <w:sz w:val="22"/>
                <w:szCs w:val="20"/>
                <w:lang w:val="ru-RU"/>
              </w:rPr>
            </w:pPr>
            <w:r>
              <w:rPr>
                <w:bCs/>
                <w:sz w:val="22"/>
                <w:szCs w:val="20"/>
                <w:lang w:val="ru-RU"/>
              </w:rPr>
              <w:t>Кыргызская Республика.</w:t>
            </w:r>
          </w:p>
          <w:p w14:paraId="4039A37A" w14:textId="7E0E0F61" w:rsidR="00684BC6" w:rsidRPr="00E717C9" w:rsidRDefault="00144E53" w:rsidP="00144E53">
            <w:pPr>
              <w:pStyle w:val="a1"/>
              <w:jc w:val="both"/>
              <w:cnfStyle w:val="000000000000" w:firstRow="0" w:lastRow="0" w:firstColumn="0" w:lastColumn="0" w:oddVBand="0" w:evenVBand="0" w:oddHBand="0" w:evenHBand="0" w:firstRowFirstColumn="0" w:firstRowLastColumn="0" w:lastRowFirstColumn="0" w:lastRowLastColumn="0"/>
              <w:rPr>
                <w:color w:val="FF0000"/>
                <w:sz w:val="22"/>
                <w:szCs w:val="20"/>
                <w:lang w:val="ru-RU"/>
              </w:rPr>
            </w:pPr>
            <w:r w:rsidRPr="004F4FEA">
              <w:rPr>
                <w:sz w:val="22"/>
                <w:szCs w:val="20"/>
                <w:lang w:val="ru-RU"/>
              </w:rPr>
              <w:lastRenderedPageBreak/>
              <w:t>Рас</w:t>
            </w:r>
            <w:r>
              <w:rPr>
                <w:sz w:val="22"/>
                <w:szCs w:val="20"/>
                <w:lang w:val="ru-RU"/>
              </w:rPr>
              <w:t>пространенность ВИЧ в группе ТГ</w:t>
            </w:r>
            <w:r w:rsidR="00C05710">
              <w:rPr>
                <w:sz w:val="22"/>
                <w:szCs w:val="20"/>
                <w:lang w:val="ru-RU"/>
              </w:rPr>
              <w:t xml:space="preserve"> по предварительным данным</w:t>
            </w:r>
            <w:r w:rsidRPr="004F4FEA">
              <w:rPr>
                <w:sz w:val="22"/>
                <w:szCs w:val="20"/>
                <w:lang w:val="ru-RU"/>
              </w:rPr>
              <w:t xml:space="preserve">, </w:t>
            </w:r>
            <w:r>
              <w:rPr>
                <w:sz w:val="22"/>
                <w:szCs w:val="20"/>
                <w:lang w:val="ru-RU"/>
              </w:rPr>
              <w:t xml:space="preserve">составляет </w:t>
            </w:r>
            <w:r w:rsidRPr="00C05710">
              <w:rPr>
                <w:sz w:val="22"/>
                <w:szCs w:val="20"/>
                <w:lang w:val="ru-RU"/>
              </w:rPr>
              <w:t>19% в 2021 году.</w:t>
            </w:r>
            <w:r w:rsidRPr="004F4FEA">
              <w:rPr>
                <w:sz w:val="22"/>
                <w:szCs w:val="20"/>
                <w:lang w:val="ru-RU"/>
              </w:rPr>
              <w:t xml:space="preserve"> </w:t>
            </w:r>
            <w:r>
              <w:rPr>
                <w:sz w:val="22"/>
                <w:szCs w:val="20"/>
                <w:lang w:val="ru-RU"/>
              </w:rPr>
              <w:t xml:space="preserve">Оценочное количество </w:t>
            </w:r>
            <w:r w:rsidR="004B0E3D">
              <w:rPr>
                <w:sz w:val="22"/>
                <w:szCs w:val="20"/>
                <w:lang w:val="ru-RU"/>
              </w:rPr>
              <w:t>группы –</w:t>
            </w:r>
            <w:r>
              <w:rPr>
                <w:sz w:val="22"/>
                <w:szCs w:val="20"/>
                <w:lang w:val="ru-RU"/>
              </w:rPr>
              <w:t xml:space="preserve"> 300 человек, но это предполагаемые цифры</w:t>
            </w:r>
            <w:r w:rsidR="004B0E3D">
              <w:rPr>
                <w:sz w:val="22"/>
                <w:szCs w:val="20"/>
                <w:lang w:val="ru-RU"/>
              </w:rPr>
              <w:t xml:space="preserve"> (охват профилактическими услугами по данным ГФ/ПРООН составляет 250 человек)</w:t>
            </w:r>
            <w:r>
              <w:rPr>
                <w:sz w:val="22"/>
                <w:szCs w:val="20"/>
                <w:lang w:val="ru-RU"/>
              </w:rPr>
              <w:t>.</w:t>
            </w:r>
            <w:r w:rsidRPr="00144E53">
              <w:rPr>
                <w:lang w:val="ru-RU"/>
              </w:rPr>
              <w:t xml:space="preserve"> </w:t>
            </w:r>
            <w:r w:rsidRPr="00144E53">
              <w:rPr>
                <w:sz w:val="22"/>
                <w:szCs w:val="20"/>
                <w:lang w:val="ru-RU"/>
              </w:rPr>
              <w:t>Среди транс-женщин высокое количество вовлеченн</w:t>
            </w:r>
            <w:r>
              <w:rPr>
                <w:sz w:val="22"/>
                <w:szCs w:val="20"/>
                <w:lang w:val="ru-RU"/>
              </w:rPr>
              <w:t xml:space="preserve">ых в предоставление секс-услуг. </w:t>
            </w:r>
            <w:r w:rsidRPr="004F4FEA">
              <w:rPr>
                <w:sz w:val="22"/>
                <w:szCs w:val="20"/>
                <w:lang w:val="ru-RU"/>
              </w:rPr>
              <w:t xml:space="preserve">На данный момент </w:t>
            </w:r>
            <w:r>
              <w:rPr>
                <w:sz w:val="22"/>
                <w:szCs w:val="20"/>
                <w:lang w:val="ru-RU"/>
              </w:rPr>
              <w:t>программы профилактики для ТГ осуществляются только силами неправительственных организаций в г. Бишкек и г. Ош</w:t>
            </w:r>
            <w:r w:rsidRPr="004F4FEA">
              <w:rPr>
                <w:sz w:val="22"/>
                <w:szCs w:val="20"/>
                <w:lang w:val="ru-RU"/>
              </w:rPr>
              <w:t xml:space="preserve">. </w:t>
            </w:r>
            <w:r>
              <w:rPr>
                <w:sz w:val="22"/>
                <w:szCs w:val="20"/>
                <w:lang w:val="ru-RU"/>
              </w:rPr>
              <w:t>Часть ТГ, из-за высокого уровня стигмы и дискриминации, остаются недоступными для программ и продолжают рискованное поведение. Ряд медицинских и социальных услуг для ТГ остаются труднодоступными из-за низкого уровня жизни, проявлений стигмы и дискриминации. Предлагаемые услуги в программах не всегда соответствуют потребностям ТГ и они не мотивированы для участия. Периодически в отношении сообществ и организаций сообществ МСМ/ТГ идут нападки со стороны консервативных слоев общества, в связи с чем активисты, сотрудники организаций вынуждены менять место жительства, менять местоположение офисов и шелтеров, чтобы находиться в безопасности.</w:t>
            </w:r>
          </w:p>
        </w:tc>
      </w:tr>
      <w:tr w:rsidR="00684BC6" w14:paraId="25C33055" w14:textId="77777777" w:rsidTr="00684B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294EAADD" w14:textId="77777777" w:rsidR="00684BC6" w:rsidRDefault="00684BC6" w:rsidP="00684BC6">
            <w:pPr>
              <w:pStyle w:val="a1"/>
            </w:pPr>
            <w:r>
              <w:rPr>
                <w:lang w:val="ru-RU"/>
              </w:rPr>
              <w:lastRenderedPageBreak/>
              <w:t>Запрашиваемая сумма</w:t>
            </w:r>
          </w:p>
        </w:tc>
        <w:tc>
          <w:tcPr>
            <w:tcW w:w="13025" w:type="dxa"/>
          </w:tcPr>
          <w:p w14:paraId="49FDB986" w14:textId="77777777" w:rsidR="00684BC6" w:rsidRPr="00621F12" w:rsidRDefault="00684BC6" w:rsidP="00684BC6">
            <w:pPr>
              <w:pStyle w:val="a1"/>
              <w:cnfStyle w:val="000000100000" w:firstRow="0" w:lastRow="0" w:firstColumn="0" w:lastColumn="0" w:oddVBand="0" w:evenVBand="0" w:oddHBand="1" w:evenHBand="0" w:firstRowFirstColumn="0" w:firstRowLastColumn="0" w:lastRowFirstColumn="0" w:lastRowLastColumn="0"/>
              <w:rPr>
                <w:sz w:val="22"/>
                <w:szCs w:val="20"/>
              </w:rPr>
            </w:pPr>
          </w:p>
        </w:tc>
      </w:tr>
      <w:tr w:rsidR="00684BC6" w:rsidRPr="00A26916" w14:paraId="3D5567DF" w14:textId="77777777" w:rsidTr="00684BC6">
        <w:tc>
          <w:tcPr>
            <w:cnfStyle w:val="001000000000" w:firstRow="0" w:lastRow="0" w:firstColumn="1" w:lastColumn="0" w:oddVBand="0" w:evenVBand="0" w:oddHBand="0" w:evenHBand="0" w:firstRowFirstColumn="0" w:firstRowLastColumn="0" w:lastRowFirstColumn="0" w:lastRowLastColumn="0"/>
            <w:tcW w:w="2138" w:type="dxa"/>
          </w:tcPr>
          <w:p w14:paraId="4C2200E0" w14:textId="77777777" w:rsidR="00684BC6" w:rsidRDefault="00684BC6" w:rsidP="00684BC6">
            <w:pPr>
              <w:pStyle w:val="a1"/>
            </w:pPr>
            <w:r w:rsidRPr="009E19BF">
              <w:rPr>
                <w:lang w:val="ru-RU"/>
              </w:rPr>
              <w:t>Ожидаемый результат</w:t>
            </w:r>
          </w:p>
        </w:tc>
        <w:tc>
          <w:tcPr>
            <w:tcW w:w="13025" w:type="dxa"/>
          </w:tcPr>
          <w:p w14:paraId="37C3E32F" w14:textId="64AED16B" w:rsidR="00B64988" w:rsidRDefault="00B64988" w:rsidP="001710B9">
            <w:pPr>
              <w:pStyle w:val="a1"/>
              <w:numPr>
                <w:ilvl w:val="0"/>
                <w:numId w:val="21"/>
              </w:numPr>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 xml:space="preserve">Не менее </w:t>
            </w:r>
            <w:r w:rsidRPr="00B64988">
              <w:rPr>
                <w:sz w:val="22"/>
                <w:szCs w:val="20"/>
                <w:highlight w:val="yellow"/>
                <w:lang w:val="ru-RU"/>
              </w:rPr>
              <w:t>75%</w:t>
            </w:r>
            <w:r>
              <w:rPr>
                <w:sz w:val="22"/>
                <w:szCs w:val="20"/>
                <w:lang w:val="ru-RU"/>
              </w:rPr>
              <w:t xml:space="preserve"> ТГ</w:t>
            </w:r>
            <w:r w:rsidRPr="00B64988">
              <w:rPr>
                <w:sz w:val="22"/>
                <w:szCs w:val="20"/>
                <w:lang w:val="ru-RU"/>
              </w:rPr>
              <w:t xml:space="preserve"> от общей численности будут охвачены минимальным пакетом услуг к 2026 году;</w:t>
            </w:r>
          </w:p>
          <w:p w14:paraId="66A1CB70" w14:textId="0EE9BB21" w:rsidR="00B64988" w:rsidRDefault="005E1A24" w:rsidP="001710B9">
            <w:pPr>
              <w:pStyle w:val="a1"/>
              <w:numPr>
                <w:ilvl w:val="0"/>
                <w:numId w:val="21"/>
              </w:numPr>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Не менее 95% от охвата ТГ</w:t>
            </w:r>
            <w:r w:rsidR="00B64988" w:rsidRPr="00B64988">
              <w:rPr>
                <w:sz w:val="22"/>
                <w:szCs w:val="20"/>
                <w:lang w:val="ru-RU"/>
              </w:rPr>
              <w:t xml:space="preserve"> минимальным пакетом услуг пройдут тестирование на ВИЧ и не менее 95% новых выявленных случаев ВИЧ пройдут полный каскад программы социального сопровождения;</w:t>
            </w:r>
          </w:p>
          <w:p w14:paraId="4F885C9A" w14:textId="16C8BCCB" w:rsidR="00684BC6" w:rsidRPr="00B64988" w:rsidRDefault="005E1A24" w:rsidP="001710B9">
            <w:pPr>
              <w:pStyle w:val="a1"/>
              <w:numPr>
                <w:ilvl w:val="0"/>
                <w:numId w:val="21"/>
              </w:numPr>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Не менее 95% ТГ</w:t>
            </w:r>
            <w:r w:rsidR="00B64988" w:rsidRPr="00B64988">
              <w:rPr>
                <w:sz w:val="22"/>
                <w:szCs w:val="20"/>
                <w:lang w:val="ru-RU"/>
              </w:rPr>
              <w:t xml:space="preserve"> с ВИЧ будут получать АРТ и достигнут вирусной супрессии</w:t>
            </w:r>
          </w:p>
        </w:tc>
      </w:tr>
    </w:tbl>
    <w:p w14:paraId="37CCCE81" w14:textId="77777777" w:rsidR="00246DFA" w:rsidRDefault="00246DFA">
      <w:pPr>
        <w:spacing w:after="200"/>
        <w:rPr>
          <w:i/>
          <w:iCs/>
          <w:sz w:val="24"/>
          <w:lang w:val="ru-RU"/>
        </w:rPr>
      </w:pPr>
      <w:r>
        <w:rPr>
          <w:i/>
          <w:iCs/>
          <w:lang w:val="ru-RU"/>
        </w:rPr>
        <w:br w:type="page"/>
      </w:r>
    </w:p>
    <w:tbl>
      <w:tblPr>
        <w:tblStyle w:val="110"/>
        <w:tblpPr w:leftFromText="181" w:rightFromText="181" w:vertAnchor="page" w:horzAnchor="margin" w:tblpY="831"/>
        <w:tblW w:w="15163" w:type="dxa"/>
        <w:tblLook w:val="04A0" w:firstRow="1" w:lastRow="0" w:firstColumn="1" w:lastColumn="0" w:noHBand="0" w:noVBand="1"/>
      </w:tblPr>
      <w:tblGrid>
        <w:gridCol w:w="2138"/>
        <w:gridCol w:w="13025"/>
      </w:tblGrid>
      <w:tr w:rsidR="00DD29A9" w:rsidRPr="00A26916" w14:paraId="0906E426" w14:textId="77777777" w:rsidTr="00DD29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423FF2F1" w14:textId="77777777" w:rsidR="00DD29A9" w:rsidRPr="00246DFA" w:rsidRDefault="00DD29A9" w:rsidP="00DD29A9">
            <w:pPr>
              <w:pStyle w:val="a1"/>
              <w:rPr>
                <w:lang w:val="ru-RU"/>
              </w:rPr>
            </w:pPr>
            <w:r>
              <w:rPr>
                <w:lang w:val="ru-RU"/>
              </w:rPr>
              <w:lastRenderedPageBreak/>
              <w:t>Модуль №</w:t>
            </w:r>
            <w:r>
              <w:t xml:space="preserve"> </w:t>
            </w:r>
            <w:r w:rsidRPr="00DD29A9">
              <w:rPr>
                <w:lang w:val="ru-RU"/>
              </w:rPr>
              <w:t>7</w:t>
            </w:r>
          </w:p>
        </w:tc>
        <w:tc>
          <w:tcPr>
            <w:tcW w:w="13025" w:type="dxa"/>
          </w:tcPr>
          <w:p w14:paraId="2A57E55D" w14:textId="50939A10" w:rsidR="00DD29A9" w:rsidRPr="005A24AF" w:rsidRDefault="00DD29A9" w:rsidP="00DD29A9">
            <w:pPr>
              <w:pStyle w:val="a1"/>
              <w:cnfStyle w:val="100000000000" w:firstRow="1" w:lastRow="0" w:firstColumn="0" w:lastColumn="0" w:oddVBand="0" w:evenVBand="0" w:oddHBand="0" w:evenHBand="0" w:firstRowFirstColumn="0" w:firstRowLastColumn="0" w:lastRowFirstColumn="0" w:lastRowLastColumn="0"/>
              <w:rPr>
                <w:lang w:val="ru-RU"/>
              </w:rPr>
            </w:pPr>
            <w:r w:rsidRPr="005A24AF">
              <w:rPr>
                <w:lang w:val="ru-RU"/>
              </w:rPr>
              <w:t>Пакет профилактики для людей, употребляющих наркотики (ЛУН) (инъекционны</w:t>
            </w:r>
            <w:r>
              <w:rPr>
                <w:lang w:val="ru-RU"/>
              </w:rPr>
              <w:t>е</w:t>
            </w:r>
            <w:r w:rsidRPr="005A24AF">
              <w:rPr>
                <w:lang w:val="ru-RU"/>
              </w:rPr>
              <w:t xml:space="preserve"> и неинъекционны</w:t>
            </w:r>
            <w:r>
              <w:rPr>
                <w:lang w:val="ru-RU"/>
              </w:rPr>
              <w:t>е</w:t>
            </w:r>
            <w:r w:rsidRPr="005A24AF">
              <w:rPr>
                <w:lang w:val="ru-RU"/>
              </w:rPr>
              <w:t>) и их половых партнеров</w:t>
            </w:r>
          </w:p>
        </w:tc>
      </w:tr>
      <w:tr w:rsidR="00DD29A9" w:rsidRPr="00A26916" w14:paraId="18AA588A" w14:textId="77777777" w:rsidTr="00DD2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686B4498" w14:textId="77777777" w:rsidR="00DD29A9" w:rsidRDefault="00DD29A9" w:rsidP="00DD29A9">
            <w:pPr>
              <w:pStyle w:val="a1"/>
            </w:pPr>
            <w:r>
              <w:rPr>
                <w:lang w:val="ru-RU"/>
              </w:rPr>
              <w:t>Вмешательства</w:t>
            </w:r>
          </w:p>
        </w:tc>
        <w:tc>
          <w:tcPr>
            <w:tcW w:w="13025" w:type="dxa"/>
          </w:tcPr>
          <w:p w14:paraId="76335D4C" w14:textId="4344517E" w:rsidR="00DD29A9" w:rsidRDefault="00DD29A9" w:rsidP="00DD29A9">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sidRPr="005E1A24">
              <w:rPr>
                <w:rFonts w:ascii="Arial" w:eastAsia="Arial" w:hAnsi="Arial" w:cs="Arial"/>
                <w:lang w:val="ru-RU"/>
              </w:rPr>
              <w:t>Согласно данным IBBS от 2021 года распространенность ВИЧ среди ЛУН, включая</w:t>
            </w:r>
            <w:r w:rsidR="00C05710">
              <w:rPr>
                <w:rFonts w:ascii="Arial" w:eastAsia="Arial" w:hAnsi="Arial" w:cs="Arial"/>
                <w:lang w:val="ru-RU"/>
              </w:rPr>
              <w:t xml:space="preserve"> потребителей НПВ, выросла до 16,5</w:t>
            </w:r>
            <w:r w:rsidRPr="005E1A24">
              <w:rPr>
                <w:rFonts w:ascii="Arial" w:eastAsia="Arial" w:hAnsi="Arial" w:cs="Arial"/>
                <w:lang w:val="ru-RU"/>
              </w:rPr>
              <w:t>%</w:t>
            </w:r>
            <w:r w:rsidR="000B6FE9">
              <w:rPr>
                <w:rStyle w:val="aff1"/>
                <w:rFonts w:ascii="Arial" w:eastAsia="Arial" w:hAnsi="Arial" w:cs="Arial"/>
                <w:lang w:val="ru-RU"/>
              </w:rPr>
              <w:footnoteReference w:id="27"/>
            </w:r>
            <w:r w:rsidR="00C05710">
              <w:rPr>
                <w:rFonts w:ascii="Arial" w:eastAsia="Arial" w:hAnsi="Arial" w:cs="Arial"/>
                <w:lang w:val="ru-RU"/>
              </w:rPr>
              <w:t xml:space="preserve"> по сравнению с 14,3% в 2016 году</w:t>
            </w:r>
            <w:r w:rsidRPr="005E1A24">
              <w:rPr>
                <w:rFonts w:ascii="Arial" w:eastAsia="Arial" w:hAnsi="Arial" w:cs="Arial"/>
                <w:lang w:val="ru-RU"/>
              </w:rPr>
              <w:t>. По оценкам специалистов, в стране меняется наркосцена с повышение</w:t>
            </w:r>
            <w:r w:rsidR="0042210A">
              <w:rPr>
                <w:rFonts w:ascii="Arial" w:eastAsia="Arial" w:hAnsi="Arial" w:cs="Arial"/>
                <w:lang w:val="ru-RU"/>
              </w:rPr>
              <w:t>м</w:t>
            </w:r>
            <w:r w:rsidRPr="005E1A24">
              <w:rPr>
                <w:rFonts w:ascii="Arial" w:eastAsia="Arial" w:hAnsi="Arial" w:cs="Arial"/>
                <w:lang w:val="ru-RU"/>
              </w:rPr>
              <w:t xml:space="preserve"> доли потребителей НПВ</w:t>
            </w:r>
            <w:r w:rsidR="000A3168">
              <w:rPr>
                <w:rStyle w:val="aff1"/>
                <w:rFonts w:ascii="Arial" w:eastAsia="Arial" w:hAnsi="Arial" w:cs="Arial"/>
                <w:lang w:val="ru-RU"/>
              </w:rPr>
              <w:footnoteReference w:id="28"/>
            </w:r>
            <w:r w:rsidRPr="005E1A24">
              <w:rPr>
                <w:rFonts w:ascii="Arial" w:eastAsia="Arial" w:hAnsi="Arial" w:cs="Arial"/>
                <w:lang w:val="ru-RU"/>
              </w:rPr>
              <w:t xml:space="preserve">. </w:t>
            </w:r>
            <w:r>
              <w:rPr>
                <w:rFonts w:ascii="Arial" w:eastAsia="Arial" w:hAnsi="Arial" w:cs="Arial"/>
                <w:lang w:val="ru-RU"/>
              </w:rPr>
              <w:t>В связи с изменением наркосцены и отсутстви</w:t>
            </w:r>
            <w:r w:rsidR="000E4C7E">
              <w:rPr>
                <w:rFonts w:ascii="Arial" w:eastAsia="Arial" w:hAnsi="Arial" w:cs="Arial"/>
                <w:lang w:val="ru-RU"/>
              </w:rPr>
              <w:t>ем</w:t>
            </w:r>
            <w:r>
              <w:rPr>
                <w:rFonts w:ascii="Arial" w:eastAsia="Arial" w:hAnsi="Arial" w:cs="Arial"/>
                <w:lang w:val="ru-RU"/>
              </w:rPr>
              <w:t xml:space="preserve"> достоверных популяционных данных более ранние данные о количестве ЛУИН (2012 год) не </w:t>
            </w:r>
            <w:r w:rsidR="00547161">
              <w:rPr>
                <w:rFonts w:ascii="Arial" w:eastAsia="Arial" w:hAnsi="Arial" w:cs="Arial"/>
                <w:lang w:val="ru-RU"/>
              </w:rPr>
              <w:t xml:space="preserve">корректно </w:t>
            </w:r>
            <w:r>
              <w:rPr>
                <w:rFonts w:ascii="Arial" w:eastAsia="Arial" w:hAnsi="Arial" w:cs="Arial"/>
                <w:lang w:val="ru-RU"/>
              </w:rPr>
              <w:t>брать за основу, в то же время программные данные гранта ГФ за 2022 год показывают охват 17</w:t>
            </w:r>
            <w:r w:rsidR="00547161">
              <w:rPr>
                <w:rFonts w:ascii="Arial" w:eastAsia="Arial" w:hAnsi="Arial" w:cs="Arial"/>
                <w:lang w:val="ru-RU"/>
              </w:rPr>
              <w:t xml:space="preserve">,379 </w:t>
            </w:r>
            <w:r>
              <w:rPr>
                <w:rFonts w:ascii="Arial" w:eastAsia="Arial" w:hAnsi="Arial" w:cs="Arial"/>
                <w:lang w:val="ru-RU"/>
              </w:rPr>
              <w:t xml:space="preserve">ЛУИН, а исследования </w:t>
            </w:r>
            <w:r>
              <w:rPr>
                <w:rFonts w:ascii="Arial" w:eastAsia="Arial" w:hAnsi="Arial" w:cs="Arial"/>
              </w:rPr>
              <w:t>CDC</w:t>
            </w:r>
            <w:r>
              <w:rPr>
                <w:rFonts w:ascii="Arial" w:eastAsia="Arial" w:hAnsi="Arial" w:cs="Arial"/>
                <w:lang w:val="ru-RU"/>
              </w:rPr>
              <w:t xml:space="preserve">, проведенные в 2022 году в 6-ти сайтах показали рост распространенности ВИЧ среди ЛУИН до 18% и численность группы ЛУИН в этих сайтах около </w:t>
            </w:r>
            <w:r w:rsidRPr="005E1A24">
              <w:rPr>
                <w:rFonts w:ascii="Arial" w:eastAsia="Arial" w:hAnsi="Arial" w:cs="Arial"/>
                <w:lang w:val="ru-RU"/>
              </w:rPr>
              <w:t>7</w:t>
            </w:r>
            <w:r w:rsidR="00547161">
              <w:rPr>
                <w:rFonts w:ascii="Arial" w:eastAsia="Arial" w:hAnsi="Arial" w:cs="Arial"/>
                <w:lang w:val="ru-RU"/>
              </w:rPr>
              <w:t>,</w:t>
            </w:r>
            <w:r w:rsidRPr="005E1A24">
              <w:rPr>
                <w:rFonts w:ascii="Arial" w:eastAsia="Arial" w:hAnsi="Arial" w:cs="Arial"/>
                <w:lang w:val="ru-RU"/>
              </w:rPr>
              <w:t>000 человек</w:t>
            </w:r>
            <w:r>
              <w:rPr>
                <w:rStyle w:val="aff1"/>
                <w:rFonts w:ascii="Arial" w:eastAsia="Arial" w:hAnsi="Arial" w:cs="Arial"/>
                <w:lang w:val="ru-RU"/>
              </w:rPr>
              <w:footnoteReference w:id="29"/>
            </w:r>
            <w:r w:rsidRPr="005E1A24">
              <w:rPr>
                <w:rFonts w:ascii="Arial" w:eastAsia="Arial" w:hAnsi="Arial" w:cs="Arial"/>
                <w:lang w:val="ru-RU"/>
              </w:rPr>
              <w:t>.</w:t>
            </w:r>
            <w:r>
              <w:rPr>
                <w:rFonts w:ascii="Arial" w:eastAsia="Arial" w:hAnsi="Arial" w:cs="Arial"/>
                <w:lang w:val="ru-RU"/>
              </w:rPr>
              <w:t xml:space="preserve"> </w:t>
            </w:r>
            <w:r w:rsidR="00547161">
              <w:rPr>
                <w:rFonts w:ascii="Arial" w:eastAsia="Arial" w:hAnsi="Arial" w:cs="Arial"/>
                <w:lang w:val="ru-RU"/>
              </w:rPr>
              <w:t xml:space="preserve">Экстраполяция, проведенная в рамках </w:t>
            </w:r>
            <w:r>
              <w:rPr>
                <w:rFonts w:ascii="Arial" w:eastAsia="Arial" w:hAnsi="Arial" w:cs="Arial"/>
                <w:lang w:val="ru-RU"/>
              </w:rPr>
              <w:t>данн</w:t>
            </w:r>
            <w:r w:rsidR="00547161">
              <w:rPr>
                <w:rFonts w:ascii="Arial" w:eastAsia="Arial" w:hAnsi="Arial" w:cs="Arial"/>
                <w:lang w:val="ru-RU"/>
              </w:rPr>
              <w:t>ого</w:t>
            </w:r>
            <w:r>
              <w:rPr>
                <w:rFonts w:ascii="Arial" w:eastAsia="Arial" w:hAnsi="Arial" w:cs="Arial"/>
                <w:lang w:val="ru-RU"/>
              </w:rPr>
              <w:t xml:space="preserve"> исследовани</w:t>
            </w:r>
            <w:r w:rsidR="00547161">
              <w:rPr>
                <w:rFonts w:ascii="Arial" w:eastAsia="Arial" w:hAnsi="Arial" w:cs="Arial"/>
                <w:lang w:val="ru-RU"/>
              </w:rPr>
              <w:t>я,</w:t>
            </w:r>
            <w:r>
              <w:rPr>
                <w:rFonts w:ascii="Arial" w:eastAsia="Arial" w:hAnsi="Arial" w:cs="Arial"/>
                <w:lang w:val="ru-RU"/>
              </w:rPr>
              <w:t xml:space="preserve"> предполагает численность ЛУИН </w:t>
            </w:r>
            <w:r w:rsidR="00547161">
              <w:rPr>
                <w:rFonts w:ascii="Arial" w:eastAsia="Arial" w:hAnsi="Arial" w:cs="Arial"/>
                <w:lang w:val="ru-RU"/>
              </w:rPr>
              <w:t xml:space="preserve">в диапазоне </w:t>
            </w:r>
            <w:r>
              <w:rPr>
                <w:rFonts w:ascii="Arial" w:eastAsia="Arial" w:hAnsi="Arial" w:cs="Arial"/>
                <w:lang w:val="ru-RU"/>
              </w:rPr>
              <w:t xml:space="preserve">от </w:t>
            </w:r>
            <w:r w:rsidR="00547161">
              <w:rPr>
                <w:rFonts w:ascii="Arial" w:eastAsia="Arial" w:hAnsi="Arial" w:cs="Arial"/>
                <w:lang w:val="ru-RU"/>
              </w:rPr>
              <w:t xml:space="preserve">11,217 </w:t>
            </w:r>
            <w:r>
              <w:rPr>
                <w:rFonts w:ascii="Arial" w:eastAsia="Arial" w:hAnsi="Arial" w:cs="Arial"/>
                <w:lang w:val="ru-RU"/>
              </w:rPr>
              <w:t xml:space="preserve">до </w:t>
            </w:r>
            <w:r w:rsidR="00547161">
              <w:rPr>
                <w:rFonts w:ascii="Arial" w:eastAsia="Arial" w:hAnsi="Arial" w:cs="Arial"/>
                <w:lang w:val="ru-RU"/>
              </w:rPr>
              <w:t xml:space="preserve">17,809 </w:t>
            </w:r>
            <w:r>
              <w:rPr>
                <w:rFonts w:ascii="Arial" w:eastAsia="Arial" w:hAnsi="Arial" w:cs="Arial"/>
                <w:lang w:val="ru-RU"/>
              </w:rPr>
              <w:t xml:space="preserve">человек. </w:t>
            </w:r>
            <w:r w:rsidR="00547161">
              <w:rPr>
                <w:rFonts w:ascii="Arial" w:eastAsia="Arial" w:hAnsi="Arial" w:cs="Arial"/>
                <w:lang w:val="ru-RU"/>
              </w:rPr>
              <w:t>Однако</w:t>
            </w:r>
            <w:r>
              <w:rPr>
                <w:rFonts w:ascii="Arial" w:eastAsia="Arial" w:hAnsi="Arial" w:cs="Arial"/>
                <w:lang w:val="ru-RU"/>
              </w:rPr>
              <w:t xml:space="preserve"> исследование имело некоторые ограничения и не охватило потребителей новых наркотиков и молодых потребителей наркотиков, а на фоне существенного изменения наркосцены исключение потребителей новых наркотиков не позволяет достоверно оценить численность всех ЛУН. В связи с вышеизложенным, в стране продолжаются дискуссии о достоверной оценке численности потребителей наркотиков и в</w:t>
            </w:r>
            <w:r w:rsidRPr="005E1A24">
              <w:rPr>
                <w:rFonts w:ascii="Arial" w:eastAsia="Arial" w:hAnsi="Arial" w:cs="Arial"/>
                <w:lang w:val="ru-RU"/>
              </w:rPr>
              <w:t xml:space="preserve"> 2024 году при поддержке ПЕПФАР </w:t>
            </w:r>
            <w:r w:rsidR="00D35CE3">
              <w:rPr>
                <w:rFonts w:ascii="Arial" w:eastAsia="Arial" w:hAnsi="Arial" w:cs="Arial"/>
                <w:lang w:val="ru-RU"/>
              </w:rPr>
              <w:t xml:space="preserve">(со-финансирование) </w:t>
            </w:r>
            <w:r w:rsidRPr="005E1A24">
              <w:rPr>
                <w:rFonts w:ascii="Arial" w:eastAsia="Arial" w:hAnsi="Arial" w:cs="Arial"/>
                <w:lang w:val="ru-RU"/>
              </w:rPr>
              <w:t xml:space="preserve">будет проведена повторная оценка численности, которая позволит упорядочить индикаторы в рамках данного гранта. </w:t>
            </w:r>
            <w:r>
              <w:rPr>
                <w:rFonts w:ascii="Arial" w:eastAsia="Arial" w:hAnsi="Arial" w:cs="Arial"/>
                <w:lang w:val="ru-RU"/>
              </w:rPr>
              <w:t xml:space="preserve">До проведения исследования за основу будут приняты программные данные ГФ/ПРООН в </w:t>
            </w:r>
            <w:r w:rsidR="00547161">
              <w:rPr>
                <w:rFonts w:ascii="Arial" w:eastAsia="Arial" w:hAnsi="Arial" w:cs="Arial"/>
                <w:lang w:val="ru-RU"/>
              </w:rPr>
              <w:t xml:space="preserve">17,379 </w:t>
            </w:r>
            <w:r>
              <w:rPr>
                <w:rFonts w:ascii="Arial" w:eastAsia="Arial" w:hAnsi="Arial" w:cs="Arial"/>
                <w:lang w:val="ru-RU"/>
              </w:rPr>
              <w:t>ЛУН.</w:t>
            </w:r>
          </w:p>
          <w:p w14:paraId="3A8AED90" w14:textId="1DA67022" w:rsidR="009A7DA8" w:rsidRPr="005E1A24" w:rsidRDefault="009A7DA8" w:rsidP="00DD29A9">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Pr>
                <w:rFonts w:ascii="Arial" w:eastAsia="Arial" w:hAnsi="Arial" w:cs="Arial"/>
                <w:lang w:val="ru-RU"/>
              </w:rPr>
              <w:t>Рутинные данные РЦ «СПИД» показывают, что при оценочном количестве ЛУИН/ЛЖВ в 2190 человек выявлено 1971 (90%), на АРТ 945 (48%) и достигли вирусной супрессии 892 человека (94%).</w:t>
            </w:r>
          </w:p>
          <w:p w14:paraId="2B8F23E6" w14:textId="457B7E70" w:rsidR="00DD29A9" w:rsidRPr="005E1A24" w:rsidRDefault="00DD29A9" w:rsidP="00DD29A9">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sidRPr="005E1A24">
              <w:rPr>
                <w:rFonts w:ascii="Arial" w:eastAsia="Arial" w:hAnsi="Arial" w:cs="Arial"/>
                <w:lang w:val="ru-RU"/>
              </w:rPr>
              <w:t>Усиление и расширение профилактических программ предусматривает привлечение новых аутрич-работников с доступом к группе ЛУНПВ и к молодым ЛУН. Для этой же цели будут внедрены новые подходы с использованием социальных сет</w:t>
            </w:r>
            <w:r w:rsidR="000B6FE9">
              <w:rPr>
                <w:rFonts w:ascii="Arial" w:eastAsia="Arial" w:hAnsi="Arial" w:cs="Arial"/>
                <w:lang w:val="ru-RU"/>
              </w:rPr>
              <w:t>ей, онлайн-коммуникаций (аутрич</w:t>
            </w:r>
            <w:r w:rsidRPr="005E1A24">
              <w:rPr>
                <w:rFonts w:ascii="Arial" w:eastAsia="Arial" w:hAnsi="Arial" w:cs="Arial"/>
                <w:lang w:val="ru-RU"/>
              </w:rPr>
              <w:t xml:space="preserve">). </w:t>
            </w:r>
            <w:r w:rsidR="00D35CE3" w:rsidRPr="005E1A24">
              <w:rPr>
                <w:rFonts w:ascii="Arial" w:eastAsia="Arial" w:hAnsi="Arial" w:cs="Arial"/>
                <w:lang w:val="ru-RU"/>
              </w:rPr>
              <w:t>Онлайн</w:t>
            </w:r>
            <w:r w:rsidRPr="005E1A24">
              <w:rPr>
                <w:rFonts w:ascii="Arial" w:eastAsia="Arial" w:hAnsi="Arial" w:cs="Arial"/>
                <w:lang w:val="ru-RU"/>
              </w:rPr>
              <w:t xml:space="preserve"> аутрич будет дополнять традиционную работу с ЛУН, с увеличением с 10% в 2024 до 20% в 2026 г. от общего план</w:t>
            </w:r>
            <w:r w:rsidR="00D35CE3">
              <w:rPr>
                <w:rFonts w:ascii="Arial" w:eastAsia="Arial" w:hAnsi="Arial" w:cs="Arial"/>
                <w:lang w:val="ru-RU"/>
              </w:rPr>
              <w:t>ируемого</w:t>
            </w:r>
            <w:r w:rsidRPr="005E1A24">
              <w:rPr>
                <w:rFonts w:ascii="Arial" w:eastAsia="Arial" w:hAnsi="Arial" w:cs="Arial"/>
                <w:lang w:val="ru-RU"/>
              </w:rPr>
              <w:t xml:space="preserve"> охвата ЛУН. </w:t>
            </w:r>
          </w:p>
          <w:p w14:paraId="2D60E8A0" w14:textId="0687DF0C" w:rsidR="00DD29A9" w:rsidRPr="0005440D" w:rsidRDefault="00DD29A9" w:rsidP="00DD29A9">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sidRPr="00BD25CE">
              <w:rPr>
                <w:rFonts w:ascii="Arial" w:eastAsia="Arial" w:hAnsi="Arial" w:cs="Arial"/>
                <w:lang w:val="ru-RU"/>
              </w:rPr>
              <w:t xml:space="preserve">Программы снижения вреда предоставляются во всех регионах КР с охватом </w:t>
            </w:r>
            <w:r w:rsidR="00D35CE3" w:rsidRPr="00C05710">
              <w:rPr>
                <w:rFonts w:ascii="Arial" w:eastAsia="Arial" w:hAnsi="Arial" w:cs="Arial"/>
                <w:lang w:val="ru-RU"/>
              </w:rPr>
              <w:t xml:space="preserve">17,379 </w:t>
            </w:r>
            <w:r w:rsidRPr="00BD25CE">
              <w:rPr>
                <w:rFonts w:ascii="Arial" w:eastAsia="Arial" w:hAnsi="Arial" w:cs="Arial"/>
                <w:lang w:val="ru-RU"/>
              </w:rPr>
              <w:t xml:space="preserve">ЛУИН (программные данные ПРООН), включая заключенных, услугами ПОШ; и </w:t>
            </w:r>
            <w:r w:rsidRPr="00C05710">
              <w:rPr>
                <w:rFonts w:ascii="Arial" w:eastAsia="Arial" w:hAnsi="Arial" w:cs="Arial"/>
                <w:lang w:val="ru-RU"/>
              </w:rPr>
              <w:t xml:space="preserve">791 </w:t>
            </w:r>
            <w:r w:rsidRPr="00BD25CE">
              <w:rPr>
                <w:rFonts w:ascii="Arial" w:eastAsia="Arial" w:hAnsi="Arial" w:cs="Arial"/>
                <w:lang w:val="ru-RU"/>
              </w:rPr>
              <w:t xml:space="preserve">ПТАО на конец 2022 г. </w:t>
            </w:r>
            <w:r w:rsidRPr="00BD25CE">
              <w:rPr>
                <w:rFonts w:ascii="Arial" w:eastAsia="Arial" w:hAnsi="Arial" w:cs="Arial"/>
                <w:u w:val="single"/>
                <w:lang w:val="ru-RU"/>
              </w:rPr>
              <w:t>Минимальным пакетом</w:t>
            </w:r>
            <w:r w:rsidRPr="00BD25CE">
              <w:rPr>
                <w:rFonts w:ascii="Arial" w:eastAsia="Arial" w:hAnsi="Arial" w:cs="Arial"/>
                <w:lang w:val="ru-RU"/>
              </w:rPr>
              <w:t xml:space="preserve"> услуг будет охвачено </w:t>
            </w:r>
            <w:r w:rsidRPr="006068C8">
              <w:rPr>
                <w:rFonts w:ascii="Arial" w:eastAsia="Arial" w:hAnsi="Arial" w:cs="Arial"/>
                <w:lang w:val="ru-RU"/>
              </w:rPr>
              <w:t>9</w:t>
            </w:r>
            <w:r w:rsidRPr="00BD25CE">
              <w:rPr>
                <w:rFonts w:ascii="Arial" w:eastAsia="Arial" w:hAnsi="Arial" w:cs="Arial"/>
                <w:lang w:val="ru-RU"/>
              </w:rPr>
              <w:t>0% от оценочного количества ЛУИН</w:t>
            </w:r>
            <w:r w:rsidRPr="006068C8">
              <w:rPr>
                <w:rFonts w:ascii="Arial" w:eastAsia="Arial" w:hAnsi="Arial" w:cs="Arial"/>
                <w:lang w:val="ru-RU"/>
              </w:rPr>
              <w:t>, в том числе 10-20% получат дифференцированный минимальный пакет в рамках о</w:t>
            </w:r>
            <w:r w:rsidRPr="0005440D">
              <w:rPr>
                <w:rFonts w:ascii="Arial" w:eastAsia="Arial" w:hAnsi="Arial" w:cs="Arial"/>
                <w:lang w:val="ru-RU"/>
              </w:rPr>
              <w:t xml:space="preserve">нлайн аутрича. Традиционный пакет услуг </w:t>
            </w:r>
            <w:r w:rsidRPr="00BD25CE">
              <w:rPr>
                <w:rFonts w:ascii="Arial" w:eastAsia="Arial" w:hAnsi="Arial" w:cs="Arial"/>
                <w:lang w:val="ru-RU"/>
              </w:rPr>
              <w:t>включает информирование; скрининг на ТБ; предоставление шприцев (200 шприцев в год) или ПТАО; презервативов (48 в год). Расширенный пакет услуг включает тестирование на ВГС; скрининг и</w:t>
            </w:r>
            <w:r w:rsidRPr="0005440D">
              <w:rPr>
                <w:rFonts w:ascii="Arial" w:eastAsia="Arial" w:hAnsi="Arial" w:cs="Arial"/>
                <w:lang w:val="ru-RU"/>
              </w:rPr>
              <w:t>,</w:t>
            </w:r>
            <w:r w:rsidRPr="00BD25CE">
              <w:rPr>
                <w:rFonts w:ascii="Arial" w:eastAsia="Arial" w:hAnsi="Arial" w:cs="Arial"/>
                <w:lang w:val="ru-RU"/>
              </w:rPr>
              <w:t xml:space="preserve"> при необходимости</w:t>
            </w:r>
            <w:r w:rsidRPr="0005440D">
              <w:rPr>
                <w:rFonts w:ascii="Arial" w:eastAsia="Arial" w:hAnsi="Arial" w:cs="Arial"/>
                <w:lang w:val="ru-RU"/>
              </w:rPr>
              <w:t>,</w:t>
            </w:r>
            <w:r w:rsidRPr="00BD25CE">
              <w:rPr>
                <w:rFonts w:ascii="Arial" w:eastAsia="Arial" w:hAnsi="Arial" w:cs="Arial"/>
                <w:lang w:val="ru-RU"/>
              </w:rPr>
              <w:t xml:space="preserve"> тестирование и лечение ИППП; социальное сопровождение /перенаправление; помощь жертвам гендерного насилия; медицинские услуги, связанные с ментальным здоровьем у ЛУН</w:t>
            </w:r>
            <w:r w:rsidRPr="0005440D">
              <w:rPr>
                <w:rFonts w:ascii="Arial" w:eastAsia="Arial" w:hAnsi="Arial" w:cs="Arial"/>
                <w:lang w:val="ru-RU"/>
              </w:rPr>
              <w:t>ПВ;</w:t>
            </w:r>
            <w:r w:rsidRPr="00BD25CE">
              <w:rPr>
                <w:rFonts w:ascii="Arial" w:eastAsia="Arial" w:hAnsi="Arial" w:cs="Arial"/>
                <w:lang w:val="ru-RU"/>
              </w:rPr>
              <w:t xml:space="preserve"> СРЗ; услуги хирурга; детокс и др</w:t>
            </w:r>
            <w:r w:rsidRPr="000B6FE9">
              <w:rPr>
                <w:rFonts w:ascii="Arial" w:eastAsia="Arial" w:hAnsi="Arial" w:cs="Arial"/>
                <w:lang w:val="ru-RU"/>
              </w:rPr>
              <w:t xml:space="preserve">. Налоксон </w:t>
            </w:r>
            <w:r w:rsidRPr="00BD25CE">
              <w:rPr>
                <w:rFonts w:ascii="Arial" w:eastAsia="Arial" w:hAnsi="Arial" w:cs="Arial"/>
                <w:lang w:val="ru-RU"/>
              </w:rPr>
              <w:t xml:space="preserve">и обучение по предупреждению передозировки получат не менее 90% ЛУИН. </w:t>
            </w:r>
            <w:r w:rsidRPr="0076577D">
              <w:rPr>
                <w:rFonts w:ascii="Arial" w:eastAsia="Arial" w:hAnsi="Arial" w:cs="Arial"/>
                <w:u w:val="single"/>
                <w:lang w:val="ru-RU"/>
              </w:rPr>
              <w:t>Минимальный пакет для онлайн аутри</w:t>
            </w:r>
            <w:r>
              <w:rPr>
                <w:rFonts w:ascii="Arial" w:eastAsia="Arial" w:hAnsi="Arial" w:cs="Arial"/>
                <w:lang w:val="ru-RU"/>
              </w:rPr>
              <w:t>ча пр</w:t>
            </w:r>
            <w:r w:rsidRPr="00854A7F">
              <w:rPr>
                <w:rFonts w:ascii="Arial" w:eastAsia="Arial" w:hAnsi="Arial" w:cs="Arial"/>
                <w:lang w:val="ru-RU"/>
              </w:rPr>
              <w:t xml:space="preserve">едполагает оказание онлайн консультирования, обеспечения доступа к тестированию через тестоматы или предоставление самотестов через аптеки, курьерские службы. Для инициации получения сообщения о результатах тестирования будет предложен на выбор ряд других услуг, включая возможность пройти экспресс-тест на вирусные гепатиты, получить консультацию медицинского специалиста по запросу, юриста, психолога, получать на регулярной основе </w:t>
            </w:r>
            <w:r w:rsidRPr="00854A7F">
              <w:rPr>
                <w:rFonts w:ascii="Arial" w:eastAsia="Arial" w:hAnsi="Arial" w:cs="Arial"/>
                <w:lang w:val="ru-RU"/>
              </w:rPr>
              <w:lastRenderedPageBreak/>
              <w:t xml:space="preserve">ИМН. В первый год гранта будут разработаны механизмы предоставления таких услуг, будут приобретены и установлены вендинговые аппараты в привлекательных местах, в которых, кроме тестов, будут доступны презервативы, любриканты, шприцы. </w:t>
            </w:r>
            <w:r w:rsidR="00D35CE3" w:rsidRPr="00854A7F">
              <w:rPr>
                <w:rFonts w:ascii="Arial" w:eastAsia="Arial" w:hAnsi="Arial" w:cs="Arial"/>
                <w:lang w:val="ru-RU"/>
              </w:rPr>
              <w:t>Онлайн</w:t>
            </w:r>
            <w:r w:rsidRPr="00854A7F">
              <w:rPr>
                <w:rFonts w:ascii="Arial" w:eastAsia="Arial" w:hAnsi="Arial" w:cs="Arial"/>
                <w:lang w:val="ru-RU"/>
              </w:rPr>
              <w:t xml:space="preserve"> аутрич сотрудники продолжат разрабатывать мотивационные и информационные посты и публиковать в общинных пабликах популярных социальных сетей, которые повысят привлекательность услуг.</w:t>
            </w:r>
            <w:r>
              <w:rPr>
                <w:rFonts w:ascii="Arial" w:eastAsia="Arial" w:hAnsi="Arial" w:cs="Arial"/>
                <w:lang w:val="ru-RU"/>
              </w:rPr>
              <w:t xml:space="preserve"> </w:t>
            </w:r>
            <w:r w:rsidRPr="0005440D">
              <w:rPr>
                <w:rFonts w:ascii="Arial" w:eastAsia="Arial" w:hAnsi="Arial" w:cs="Arial"/>
                <w:lang w:val="ru-RU"/>
              </w:rPr>
              <w:t xml:space="preserve">Одновременно будут разработаны печатные и электронные информационные материалы, не менее 3 в год. Будут проведены индивидуальные и групповые консультации по безопасным инъекциям и сексуальным практикам; профилактике ВИЧ, ИППП, гепатитов; по правам человека с охватом до 60% ЛУН. </w:t>
            </w:r>
          </w:p>
          <w:p w14:paraId="79C91332" w14:textId="1EAA4388" w:rsidR="00DD29A9" w:rsidRPr="0005440D" w:rsidRDefault="00DD29A9" w:rsidP="00DD29A9">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sidRPr="00BD25CE">
              <w:rPr>
                <w:rFonts w:ascii="Arial" w:eastAsia="Arial" w:hAnsi="Arial" w:cs="Arial"/>
                <w:lang w:val="ru-RU"/>
              </w:rPr>
              <w:t>Услуги по предоставлению минимального и комплексного пакета услуг ЛУН</w:t>
            </w:r>
            <w:r w:rsidR="000B6FE9">
              <w:rPr>
                <w:rFonts w:ascii="Arial" w:eastAsia="Arial" w:hAnsi="Arial" w:cs="Arial"/>
                <w:lang w:val="ru-RU"/>
              </w:rPr>
              <w:t xml:space="preserve"> будут предоставляться на базе 3-х</w:t>
            </w:r>
            <w:r>
              <w:rPr>
                <w:rFonts w:ascii="Arial" w:eastAsia="Arial" w:hAnsi="Arial" w:cs="Arial"/>
                <w:lang w:val="ru-RU"/>
              </w:rPr>
              <w:t xml:space="preserve"> самостоятельных</w:t>
            </w:r>
            <w:r w:rsidRPr="00BD25CE">
              <w:rPr>
                <w:rFonts w:ascii="Arial" w:eastAsia="Arial" w:hAnsi="Arial" w:cs="Arial"/>
                <w:lang w:val="ru-RU"/>
              </w:rPr>
              <w:t xml:space="preserve"> НПО</w:t>
            </w:r>
            <w:r>
              <w:rPr>
                <w:rFonts w:ascii="Arial" w:eastAsia="Arial" w:hAnsi="Arial" w:cs="Arial"/>
                <w:lang w:val="ru-RU"/>
              </w:rPr>
              <w:t xml:space="preserve"> и 3-х НПО, предоставляющих комплексные услуги всем группам</w:t>
            </w:r>
            <w:r w:rsidRPr="00BD25CE">
              <w:rPr>
                <w:rFonts w:ascii="Arial" w:eastAsia="Arial" w:hAnsi="Arial" w:cs="Arial"/>
                <w:lang w:val="ru-RU"/>
              </w:rPr>
              <w:t xml:space="preserve">, включая организации сообщества ЛУН. Услуги ПТАО при координации республиканского центра наркологии будут предоставлять организации здравоохранения на базе республиканского и Ошского областного центра наркологии, а также на уровне ПМСП. Услуги по верификации предварительно положительных результатов тестирования на ВИЧ будут оказывать центры СПИД, которые также будут координировать услуги, связанные с парентеральными вирусными гепатитами. Другие медицинские услуги будут оказаны другими ОЗ на основе договоров о сотрудничестве.  </w:t>
            </w:r>
          </w:p>
          <w:p w14:paraId="31F25389" w14:textId="77777777" w:rsidR="00DD29A9" w:rsidRPr="00BD25CE" w:rsidRDefault="00DD29A9" w:rsidP="00DD29A9">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sidRPr="0005440D">
              <w:rPr>
                <w:rFonts w:ascii="Arial" w:eastAsia="Arial" w:hAnsi="Arial" w:cs="Arial"/>
                <w:lang w:val="ru-RU"/>
              </w:rPr>
              <w:t xml:space="preserve">Работа НПО будет проводиться адресно для различных групп ЛУН с акцентом на организацию доступа и программы для потребителей НПВ, молодых ЛУН и женщин на основе оценки их потребностей. На этой основе совместно с МЗ будут разработаны стандарты услуг по работе с ЛУН. Одновременно НПО будет разработано методическое руководство по работе с ЛПВ с учетом гендерных аспектов.  </w:t>
            </w:r>
          </w:p>
          <w:p w14:paraId="387B77AD" w14:textId="7ACA36E9" w:rsidR="00DD29A9" w:rsidRPr="00BD25CE" w:rsidRDefault="00DD29A9" w:rsidP="00DD29A9">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sidRPr="00BD25CE">
              <w:rPr>
                <w:rFonts w:ascii="Arial" w:eastAsia="Arial" w:hAnsi="Arial" w:cs="Arial"/>
                <w:lang w:val="ru-RU"/>
              </w:rPr>
              <w:t>Программы ПТАО остаются приоритетным направлением в профилактике ВИЧ среди ЛУИН. На 01.01.2023 г. участниками ПТАО был 791 человек</w:t>
            </w:r>
            <w:r w:rsidR="0023526B">
              <w:rPr>
                <w:rStyle w:val="aff1"/>
                <w:rFonts w:ascii="Arial" w:eastAsia="Arial" w:hAnsi="Arial" w:cs="Arial"/>
                <w:lang w:val="ru-RU"/>
              </w:rPr>
              <w:footnoteReference w:id="30"/>
            </w:r>
            <w:r w:rsidRPr="00BD25CE">
              <w:rPr>
                <w:rFonts w:ascii="Arial" w:eastAsia="Arial" w:hAnsi="Arial" w:cs="Arial"/>
                <w:lang w:val="ru-RU"/>
              </w:rPr>
              <w:t>, из них 59 женщин, 208 находились в местах лишения свободы. В КР действуют 24 пункта ПТ</w:t>
            </w:r>
            <w:r w:rsidRPr="0005440D">
              <w:rPr>
                <w:rFonts w:ascii="Arial" w:eastAsia="Arial" w:hAnsi="Arial" w:cs="Arial"/>
                <w:lang w:val="ru-RU"/>
              </w:rPr>
              <w:t>АО</w:t>
            </w:r>
            <w:r w:rsidRPr="00BD25CE">
              <w:rPr>
                <w:rFonts w:ascii="Arial" w:eastAsia="Arial" w:hAnsi="Arial" w:cs="Arial"/>
                <w:lang w:val="ru-RU"/>
              </w:rPr>
              <w:t>, из них 15 в учреждениях здравоохранения, 9 в системе исполнения наказаний. В соответствии с планом перехода на государственное финансирование, с 2023 года оплата специалистам, предоставляющим услуги ПТАО</w:t>
            </w:r>
            <w:r>
              <w:rPr>
                <w:rFonts w:ascii="Arial" w:eastAsia="Arial" w:hAnsi="Arial" w:cs="Arial"/>
                <w:lang w:val="ru-RU"/>
              </w:rPr>
              <w:t>, оплата за ГСМ, охрану пунктов</w:t>
            </w:r>
            <w:r w:rsidRPr="00BD25CE">
              <w:rPr>
                <w:rFonts w:ascii="Arial" w:eastAsia="Arial" w:hAnsi="Arial" w:cs="Arial"/>
                <w:lang w:val="ru-RU"/>
              </w:rPr>
              <w:t xml:space="preserve"> будет осуществляться через ФОМС</w:t>
            </w:r>
            <w:r>
              <w:rPr>
                <w:rStyle w:val="aff1"/>
                <w:rFonts w:ascii="Arial" w:eastAsia="Arial" w:hAnsi="Arial" w:cs="Arial"/>
                <w:lang w:val="ru-RU"/>
              </w:rPr>
              <w:footnoteReference w:id="31"/>
            </w:r>
            <w:r w:rsidRPr="00BD25CE">
              <w:rPr>
                <w:rFonts w:ascii="Arial" w:eastAsia="Arial" w:hAnsi="Arial" w:cs="Arial"/>
                <w:lang w:val="ru-RU"/>
              </w:rPr>
              <w:t xml:space="preserve">. </w:t>
            </w:r>
            <w:r w:rsidRPr="0005440D">
              <w:rPr>
                <w:rFonts w:ascii="Arial" w:eastAsia="Arial" w:hAnsi="Arial" w:cs="Arial"/>
                <w:lang w:val="ru-RU"/>
              </w:rPr>
              <w:t xml:space="preserve">Для повышения привлекательности ПТАО для клиентов будет </w:t>
            </w:r>
            <w:r w:rsidRPr="00C05710">
              <w:rPr>
                <w:rFonts w:ascii="Arial" w:eastAsia="Arial" w:hAnsi="Arial" w:cs="Arial"/>
                <w:lang w:val="ru-RU"/>
              </w:rPr>
              <w:t xml:space="preserve">закуплен бупренорфин на 50 человек, а также </w:t>
            </w:r>
            <w:r>
              <w:rPr>
                <w:rFonts w:ascii="Arial" w:eastAsia="Arial" w:hAnsi="Arial" w:cs="Arial"/>
                <w:lang w:val="ru-RU"/>
              </w:rPr>
              <w:t xml:space="preserve">комбинированный препарат бупренорфина с налоксоном. В 2025-2026 гг. за счет проекта, </w:t>
            </w:r>
            <w:r w:rsidR="00C05710">
              <w:rPr>
                <w:rFonts w:ascii="Arial" w:eastAsia="Arial" w:hAnsi="Arial" w:cs="Arial"/>
                <w:lang w:val="ru-RU"/>
              </w:rPr>
              <w:t>финансируемого</w:t>
            </w:r>
            <w:r>
              <w:rPr>
                <w:rFonts w:ascii="Arial" w:eastAsia="Arial" w:hAnsi="Arial" w:cs="Arial"/>
                <w:lang w:val="ru-RU"/>
              </w:rPr>
              <w:t xml:space="preserve"> </w:t>
            </w:r>
            <w:r w:rsidR="00C05710">
              <w:rPr>
                <w:rFonts w:ascii="Arial" w:eastAsia="Arial" w:hAnsi="Arial" w:cs="Arial"/>
                <w:lang w:val="ru-RU"/>
              </w:rPr>
              <w:t>ЮНИТЕЙД через</w:t>
            </w:r>
            <w:r w:rsidR="00C05710" w:rsidRPr="00C05710">
              <w:rPr>
                <w:rFonts w:ascii="Arial" w:eastAsia="Arial" w:hAnsi="Arial" w:cs="Arial"/>
                <w:lang w:val="ru-RU"/>
              </w:rPr>
              <w:t xml:space="preserve"> </w:t>
            </w:r>
            <w:r w:rsidR="00C05710">
              <w:rPr>
                <w:rFonts w:ascii="Arial" w:eastAsia="Arial" w:hAnsi="Arial" w:cs="Arial"/>
                <w:lang w:val="ru-RU"/>
              </w:rPr>
              <w:t>Альянс</w:t>
            </w:r>
            <w:r>
              <w:rPr>
                <w:rFonts w:ascii="Arial" w:eastAsia="Arial" w:hAnsi="Arial" w:cs="Arial"/>
                <w:lang w:val="ru-RU"/>
              </w:rPr>
              <w:t xml:space="preserve"> общественного здоровья, предусматривается внедрение бупренорфина пролонгированного действия и предоставление данного препарата для 100 ЛУИН.</w:t>
            </w:r>
          </w:p>
          <w:p w14:paraId="73AAF792" w14:textId="77777777" w:rsidR="00DD29A9" w:rsidRPr="00BD25CE" w:rsidRDefault="00DD29A9" w:rsidP="00DD29A9">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sidRPr="0023526B">
              <w:rPr>
                <w:rFonts w:ascii="Arial" w:eastAsia="Arial" w:hAnsi="Arial" w:cs="Arial"/>
                <w:lang w:val="ru-RU"/>
              </w:rPr>
              <w:t>Будет расширен доступ ЛУН и их половых партнеров к ДКП, который увеличится с 40 до 100 ЛУН в 2026 г. и с 3 до 50 половых партнеров ВИЧ-позитивных ЛУН с низкой приверженностью к АРТ.</w:t>
            </w:r>
          </w:p>
          <w:p w14:paraId="00E88013" w14:textId="0592A854" w:rsidR="00DD29A9" w:rsidRDefault="00DD29A9" w:rsidP="00DD29A9">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Pr>
                <w:rFonts w:ascii="Arial" w:eastAsia="Arial" w:hAnsi="Arial" w:cs="Arial"/>
                <w:lang w:val="ru-RU"/>
              </w:rPr>
              <w:lastRenderedPageBreak/>
              <w:t>Один дропин-центр</w:t>
            </w:r>
            <w:r w:rsidRPr="00BD25CE">
              <w:rPr>
                <w:rFonts w:ascii="Arial" w:eastAsia="Arial" w:hAnsi="Arial" w:cs="Arial"/>
                <w:lang w:val="ru-RU"/>
              </w:rPr>
              <w:t xml:space="preserve"> для ЛУИН</w:t>
            </w:r>
            <w:r>
              <w:rPr>
                <w:rFonts w:ascii="Arial" w:eastAsia="Arial" w:hAnsi="Arial" w:cs="Arial"/>
                <w:lang w:val="ru-RU"/>
              </w:rPr>
              <w:t>/бывших заключенных на базе НПО обеспечит</w:t>
            </w:r>
            <w:r w:rsidRPr="00BD25CE">
              <w:rPr>
                <w:rFonts w:ascii="Arial" w:eastAsia="Arial" w:hAnsi="Arial" w:cs="Arial"/>
                <w:lang w:val="ru-RU"/>
              </w:rPr>
              <w:t xml:space="preserve"> поддержку ЛУИН</w:t>
            </w:r>
            <w:r>
              <w:rPr>
                <w:rFonts w:ascii="Arial" w:eastAsia="Arial" w:hAnsi="Arial" w:cs="Arial"/>
                <w:lang w:val="ru-RU"/>
              </w:rPr>
              <w:t>/БЗ</w:t>
            </w:r>
            <w:r w:rsidRPr="00BD25CE">
              <w:rPr>
                <w:rFonts w:ascii="Arial" w:eastAsia="Arial" w:hAnsi="Arial" w:cs="Arial"/>
                <w:lang w:val="ru-RU"/>
              </w:rPr>
              <w:t>, находящих</w:t>
            </w:r>
            <w:r>
              <w:rPr>
                <w:rFonts w:ascii="Arial" w:eastAsia="Arial" w:hAnsi="Arial" w:cs="Arial"/>
                <w:lang w:val="ru-RU"/>
              </w:rPr>
              <w:t>ся в трудной жизненной ситуации</w:t>
            </w:r>
            <w:r w:rsidRPr="00BD25CE">
              <w:rPr>
                <w:rFonts w:ascii="Arial" w:eastAsia="Arial" w:hAnsi="Arial" w:cs="Arial"/>
                <w:lang w:val="ru-RU"/>
              </w:rPr>
              <w:t xml:space="preserve">. </w:t>
            </w:r>
            <w:r w:rsidR="000A3168">
              <w:rPr>
                <w:rFonts w:ascii="Arial" w:eastAsia="Arial" w:hAnsi="Arial" w:cs="Arial"/>
                <w:lang w:val="ru-RU"/>
              </w:rPr>
              <w:t>Центр</w:t>
            </w:r>
            <w:r w:rsidRPr="00BD25CE">
              <w:rPr>
                <w:rFonts w:ascii="Arial" w:eastAsia="Arial" w:hAnsi="Arial" w:cs="Arial"/>
                <w:lang w:val="ru-RU"/>
              </w:rPr>
              <w:t xml:space="preserve"> рассчитан на пребывание 10 человек </w:t>
            </w:r>
            <w:r w:rsidR="000A3168">
              <w:rPr>
                <w:rFonts w:ascii="Arial" w:eastAsia="Arial" w:hAnsi="Arial" w:cs="Arial"/>
                <w:lang w:val="ru-RU"/>
              </w:rPr>
              <w:t xml:space="preserve">ежемесячно и </w:t>
            </w:r>
            <w:r w:rsidRPr="00BD25CE">
              <w:rPr>
                <w:rFonts w:ascii="Arial" w:eastAsia="Arial" w:hAnsi="Arial" w:cs="Arial"/>
                <w:lang w:val="ru-RU"/>
              </w:rPr>
              <w:t>предоставляют услуги временного проживания, бытовые услуги, тестирование на ВИЧ, обучение, социальное сопровождение, психологическую поддержку.</w:t>
            </w:r>
          </w:p>
          <w:p w14:paraId="7285F8E5" w14:textId="77777777" w:rsidR="00DD29A9" w:rsidRPr="00246DFA" w:rsidRDefault="00DD29A9" w:rsidP="00DD29A9">
            <w:pPr>
              <w:jc w:val="both"/>
              <w:cnfStyle w:val="000000100000" w:firstRow="0" w:lastRow="0" w:firstColumn="0" w:lastColumn="0" w:oddVBand="0" w:evenVBand="0" w:oddHBand="1" w:evenHBand="0" w:firstRowFirstColumn="0" w:firstRowLastColumn="0" w:lastRowFirstColumn="0" w:lastRowLastColumn="0"/>
              <w:rPr>
                <w:lang w:val="ru-RU"/>
              </w:rPr>
            </w:pPr>
            <w:r>
              <w:rPr>
                <w:rFonts w:ascii="Arial" w:eastAsia="Arial" w:hAnsi="Arial" w:cs="Arial"/>
                <w:lang w:val="ru-RU"/>
              </w:rPr>
              <w:t>Вопросы р</w:t>
            </w:r>
            <w:r w:rsidRPr="00BB60E1">
              <w:rPr>
                <w:rFonts w:ascii="Arial" w:eastAsia="Arial" w:hAnsi="Arial" w:cs="Arial"/>
                <w:lang w:val="ru-RU"/>
              </w:rPr>
              <w:t>асширени</w:t>
            </w:r>
            <w:r>
              <w:rPr>
                <w:rFonts w:ascii="Arial" w:eastAsia="Arial" w:hAnsi="Arial" w:cs="Arial"/>
                <w:lang w:val="ru-RU"/>
              </w:rPr>
              <w:t>я</w:t>
            </w:r>
            <w:r w:rsidRPr="00BB60E1">
              <w:rPr>
                <w:rFonts w:ascii="Arial" w:eastAsia="Arial" w:hAnsi="Arial" w:cs="Arial"/>
                <w:lang w:val="ru-RU"/>
              </w:rPr>
              <w:t xml:space="preserve"> прав и возможностей сообщества ЛУН</w:t>
            </w:r>
            <w:r>
              <w:rPr>
                <w:rFonts w:ascii="Arial" w:eastAsia="Arial" w:hAnsi="Arial" w:cs="Arial"/>
                <w:lang w:val="ru-RU"/>
              </w:rPr>
              <w:t xml:space="preserve">; тестирования на ВИЧ; а также устранение </w:t>
            </w:r>
            <w:r w:rsidRPr="00BB60E1">
              <w:rPr>
                <w:rFonts w:ascii="Arial" w:eastAsia="Arial" w:hAnsi="Arial" w:cs="Arial"/>
                <w:lang w:val="ru-RU"/>
              </w:rPr>
              <w:t xml:space="preserve">барьеров, связанных с правами человека, для профилактики среди </w:t>
            </w:r>
            <w:r>
              <w:rPr>
                <w:rFonts w:ascii="Arial" w:eastAsia="Arial" w:hAnsi="Arial" w:cs="Arial"/>
                <w:lang w:val="ru-RU"/>
              </w:rPr>
              <w:t xml:space="preserve">представителей </w:t>
            </w:r>
            <w:r w:rsidRPr="00BB60E1">
              <w:rPr>
                <w:rFonts w:ascii="Arial" w:eastAsia="Arial" w:hAnsi="Arial" w:cs="Arial"/>
                <w:lang w:val="ru-RU"/>
              </w:rPr>
              <w:t>ЛУН</w:t>
            </w:r>
            <w:r>
              <w:rPr>
                <w:rFonts w:ascii="Arial" w:eastAsia="Arial" w:hAnsi="Arial" w:cs="Arial"/>
                <w:lang w:val="ru-RU"/>
              </w:rPr>
              <w:t xml:space="preserve"> представлено в соответствующих модулях настоящей заявки.</w:t>
            </w:r>
          </w:p>
        </w:tc>
      </w:tr>
      <w:tr w:rsidR="00DD29A9" w:rsidRPr="00D123BA" w14:paraId="783F1CAB" w14:textId="77777777" w:rsidTr="00DD29A9">
        <w:tc>
          <w:tcPr>
            <w:cnfStyle w:val="001000000000" w:firstRow="0" w:lastRow="0" w:firstColumn="1" w:lastColumn="0" w:oddVBand="0" w:evenVBand="0" w:oddHBand="0" w:evenHBand="0" w:firstRowFirstColumn="0" w:firstRowLastColumn="0" w:lastRowFirstColumn="0" w:lastRowLastColumn="0"/>
            <w:tcW w:w="2138" w:type="dxa"/>
          </w:tcPr>
          <w:p w14:paraId="5A136200" w14:textId="77777777" w:rsidR="00DD29A9" w:rsidRPr="008B08A2" w:rsidRDefault="00DD29A9" w:rsidP="00DD29A9">
            <w:pPr>
              <w:pStyle w:val="a1"/>
              <w:rPr>
                <w:lang w:val="ru-RU"/>
              </w:rPr>
            </w:pPr>
            <w:r>
              <w:rPr>
                <w:lang w:val="ru-RU"/>
              </w:rPr>
              <w:lastRenderedPageBreak/>
              <w:t>Население</w:t>
            </w:r>
            <w:r w:rsidRPr="008B08A2">
              <w:rPr>
                <w:lang w:val="ru-RU"/>
              </w:rPr>
              <w:t xml:space="preserve">, </w:t>
            </w:r>
            <w:r>
              <w:rPr>
                <w:lang w:val="ru-RU"/>
              </w:rPr>
              <w:t>территории</w:t>
            </w:r>
            <w:r w:rsidRPr="008B08A2">
              <w:rPr>
                <w:lang w:val="ru-RU"/>
              </w:rPr>
              <w:t xml:space="preserve"> </w:t>
            </w:r>
            <w:r>
              <w:rPr>
                <w:lang w:val="ru-RU"/>
              </w:rPr>
              <w:t>и</w:t>
            </w:r>
            <w:r w:rsidRPr="008B08A2">
              <w:rPr>
                <w:lang w:val="ru-RU"/>
              </w:rPr>
              <w:t>/</w:t>
            </w:r>
            <w:r>
              <w:rPr>
                <w:lang w:val="ru-RU"/>
              </w:rPr>
              <w:t>или</w:t>
            </w:r>
            <w:r w:rsidRPr="008B08A2">
              <w:rPr>
                <w:lang w:val="ru-RU"/>
              </w:rPr>
              <w:t xml:space="preserve"> </w:t>
            </w:r>
            <w:r>
              <w:rPr>
                <w:lang w:val="ru-RU"/>
              </w:rPr>
              <w:t>барьеры</w:t>
            </w:r>
            <w:r w:rsidRPr="008B08A2">
              <w:rPr>
                <w:lang w:val="ru-RU"/>
              </w:rPr>
              <w:t xml:space="preserve">, </w:t>
            </w:r>
            <w:r>
              <w:rPr>
                <w:lang w:val="ru-RU"/>
              </w:rPr>
              <w:t>на</w:t>
            </w:r>
            <w:r w:rsidRPr="008B08A2">
              <w:rPr>
                <w:lang w:val="ru-RU"/>
              </w:rPr>
              <w:t xml:space="preserve"> </w:t>
            </w:r>
            <w:r>
              <w:rPr>
                <w:lang w:val="ru-RU"/>
              </w:rPr>
              <w:t>которые направлена деятельность</w:t>
            </w:r>
          </w:p>
        </w:tc>
        <w:tc>
          <w:tcPr>
            <w:tcW w:w="13025" w:type="dxa"/>
          </w:tcPr>
          <w:p w14:paraId="34A378DC" w14:textId="4E304E69" w:rsidR="00DD29A9" w:rsidRDefault="00DD29A9" w:rsidP="000A3168">
            <w:pPr>
              <w:spacing w:line="264"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ru-RU"/>
              </w:rPr>
            </w:pPr>
            <w:r w:rsidRPr="00605BA1">
              <w:rPr>
                <w:rFonts w:ascii="Arial" w:eastAsia="Arial" w:hAnsi="Arial" w:cs="Arial"/>
                <w:szCs w:val="20"/>
                <w:lang w:val="ru-RU"/>
              </w:rPr>
              <w:t xml:space="preserve">Люди, </w:t>
            </w:r>
            <w:r w:rsidR="00C0286A">
              <w:rPr>
                <w:rFonts w:ascii="Arial" w:eastAsia="Arial" w:hAnsi="Arial" w:cs="Arial"/>
                <w:szCs w:val="20"/>
                <w:lang w:val="ru-RU"/>
              </w:rPr>
              <w:t>у</w:t>
            </w:r>
            <w:r>
              <w:rPr>
                <w:rFonts w:ascii="Arial" w:eastAsia="Arial" w:hAnsi="Arial" w:cs="Arial"/>
                <w:szCs w:val="20"/>
                <w:lang w:val="ru-RU"/>
              </w:rPr>
              <w:t>потребляющие наркотики</w:t>
            </w:r>
            <w:r w:rsidRPr="00605BA1">
              <w:rPr>
                <w:rFonts w:ascii="Arial" w:eastAsia="Arial" w:hAnsi="Arial" w:cs="Arial"/>
                <w:szCs w:val="20"/>
                <w:lang w:val="ru-RU"/>
              </w:rPr>
              <w:t xml:space="preserve">, </w:t>
            </w:r>
            <w:r>
              <w:rPr>
                <w:rFonts w:ascii="Arial" w:eastAsia="Arial" w:hAnsi="Arial" w:cs="Arial"/>
                <w:szCs w:val="20"/>
                <w:lang w:val="ru-RU"/>
              </w:rPr>
              <w:t xml:space="preserve">включая потребителей новых </w:t>
            </w:r>
            <w:r w:rsidR="000A3168">
              <w:rPr>
                <w:rFonts w:ascii="Arial" w:eastAsia="Arial" w:hAnsi="Arial" w:cs="Arial"/>
                <w:szCs w:val="20"/>
                <w:lang w:val="ru-RU"/>
              </w:rPr>
              <w:t>психоактивных</w:t>
            </w:r>
            <w:r>
              <w:rPr>
                <w:rFonts w:ascii="Arial" w:eastAsia="Arial" w:hAnsi="Arial" w:cs="Arial"/>
                <w:szCs w:val="20"/>
                <w:lang w:val="ru-RU"/>
              </w:rPr>
              <w:t xml:space="preserve"> веществ, с акцентом на женщин</w:t>
            </w:r>
            <w:r w:rsidRPr="00605BA1">
              <w:rPr>
                <w:rFonts w:ascii="Arial" w:eastAsia="Arial" w:hAnsi="Arial" w:cs="Arial"/>
                <w:szCs w:val="20"/>
                <w:lang w:val="ru-RU"/>
              </w:rPr>
              <w:t xml:space="preserve">, </w:t>
            </w:r>
            <w:r>
              <w:rPr>
                <w:rFonts w:ascii="Arial" w:eastAsia="Arial" w:hAnsi="Arial" w:cs="Arial"/>
                <w:szCs w:val="20"/>
                <w:lang w:val="ru-RU"/>
              </w:rPr>
              <w:t>молодых ЛУН и ЛУН, находящихся в трудной жизненной ситуации</w:t>
            </w:r>
            <w:r w:rsidR="00C0286A">
              <w:rPr>
                <w:rFonts w:ascii="Arial" w:eastAsia="Arial" w:hAnsi="Arial" w:cs="Arial"/>
                <w:szCs w:val="20"/>
                <w:lang w:val="ru-RU"/>
              </w:rPr>
              <w:t>,</w:t>
            </w:r>
            <w:r>
              <w:rPr>
                <w:rFonts w:ascii="Arial" w:eastAsia="Arial" w:hAnsi="Arial" w:cs="Arial"/>
                <w:szCs w:val="20"/>
                <w:lang w:val="ru-RU"/>
              </w:rPr>
              <w:t xml:space="preserve"> во всех регионах КР. </w:t>
            </w:r>
          </w:p>
          <w:p w14:paraId="7E60681C" w14:textId="6BCFEF3D" w:rsidR="00DD29A9" w:rsidRDefault="00DD29A9" w:rsidP="000A3168">
            <w:pPr>
              <w:spacing w:line="264"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ru-RU"/>
              </w:rPr>
            </w:pPr>
            <w:r w:rsidRPr="00D8027C">
              <w:rPr>
                <w:rFonts w:ascii="Arial" w:eastAsia="Arial" w:hAnsi="Arial" w:cs="Arial"/>
                <w:szCs w:val="20"/>
                <w:lang w:val="ru-RU"/>
              </w:rPr>
              <w:t>Несмотря на широко реализуемые программы СВ</w:t>
            </w:r>
            <w:r>
              <w:rPr>
                <w:rFonts w:ascii="Arial" w:eastAsia="Arial" w:hAnsi="Arial" w:cs="Arial"/>
                <w:szCs w:val="20"/>
                <w:lang w:val="ru-RU"/>
              </w:rPr>
              <w:t xml:space="preserve">, в группе ЛУИН продолжается рост ВИЧ и к 2022 году она составляет 16,2%, увеличившись на </w:t>
            </w:r>
            <w:r w:rsidRPr="00737C65">
              <w:rPr>
                <w:rFonts w:ascii="Arial" w:eastAsia="Arial" w:hAnsi="Arial" w:cs="Arial"/>
                <w:szCs w:val="20"/>
                <w:lang w:val="ru-RU"/>
              </w:rPr>
              <w:t>2%</w:t>
            </w:r>
            <w:r>
              <w:rPr>
                <w:rFonts w:ascii="Arial" w:eastAsia="Arial" w:hAnsi="Arial" w:cs="Arial"/>
                <w:szCs w:val="20"/>
                <w:lang w:val="ru-RU"/>
              </w:rPr>
              <w:t xml:space="preserve"> по сравнению с предыдущими оценками. Отсутствие достоверных данных по оценке численности ЛУИН, включая потребителей новых наркотиков и молодых ЛУИН, вызывают определенные сложности в планировании программ. Мировой опыт имеет недостаточно рекомендаций по изменению интервенций в отношении потребителей новых наркотиков, что также влияет на качество программ. В то же время, быстрое расширение новых каналов коммуникации между людьми, социальные сети, влияние эпидемии </w:t>
            </w:r>
            <w:r>
              <w:rPr>
                <w:rFonts w:ascii="Arial" w:eastAsia="Arial" w:hAnsi="Arial" w:cs="Arial"/>
                <w:szCs w:val="20"/>
              </w:rPr>
              <w:t>COVID</w:t>
            </w:r>
            <w:r w:rsidRPr="00D8027C">
              <w:rPr>
                <w:rFonts w:ascii="Arial" w:eastAsia="Arial" w:hAnsi="Arial" w:cs="Arial"/>
                <w:szCs w:val="20"/>
                <w:lang w:val="ru-RU"/>
              </w:rPr>
              <w:t xml:space="preserve"> </w:t>
            </w:r>
            <w:r>
              <w:rPr>
                <w:rFonts w:ascii="Arial" w:eastAsia="Arial" w:hAnsi="Arial" w:cs="Arial"/>
                <w:szCs w:val="20"/>
                <w:lang w:val="ru-RU"/>
              </w:rPr>
              <w:t xml:space="preserve">на переход к </w:t>
            </w:r>
            <w:r w:rsidR="00C0286A">
              <w:rPr>
                <w:rFonts w:ascii="Arial" w:eastAsia="Arial" w:hAnsi="Arial" w:cs="Arial"/>
                <w:szCs w:val="20"/>
                <w:lang w:val="ru-RU"/>
              </w:rPr>
              <w:t>онлайн</w:t>
            </w:r>
            <w:r>
              <w:rPr>
                <w:rFonts w:ascii="Arial" w:eastAsia="Arial" w:hAnsi="Arial" w:cs="Arial"/>
                <w:szCs w:val="20"/>
                <w:lang w:val="ru-RU"/>
              </w:rPr>
              <w:t xml:space="preserve"> подходам в приобретении товаров и услуг, также повлияло на рынки спроса и предложения наркотиков. Профилактические программы недостаточно оперативно изменили подходы и не были развиты </w:t>
            </w:r>
            <w:r w:rsidR="00C0286A">
              <w:rPr>
                <w:rFonts w:ascii="Arial" w:eastAsia="Arial" w:hAnsi="Arial" w:cs="Arial"/>
                <w:szCs w:val="20"/>
                <w:lang w:val="ru-RU"/>
              </w:rPr>
              <w:t>онлайн</w:t>
            </w:r>
            <w:r>
              <w:rPr>
                <w:rFonts w:ascii="Arial" w:eastAsia="Arial" w:hAnsi="Arial" w:cs="Arial"/>
                <w:szCs w:val="20"/>
                <w:lang w:val="ru-RU"/>
              </w:rPr>
              <w:t xml:space="preserve"> аутрич подходы, что привело к сложностям в обеспечении доступа к группам ЛУИН. Многие аутрич работники в действующих программах превысили средний возраст более 45 лет и стали терять доступ к молодым потребителям наркотиков. </w:t>
            </w:r>
            <w:r w:rsidR="00C0286A">
              <w:rPr>
                <w:rFonts w:ascii="Arial" w:eastAsia="Arial" w:hAnsi="Arial" w:cs="Arial"/>
                <w:szCs w:val="20"/>
                <w:lang w:val="ru-RU"/>
              </w:rPr>
              <w:t>О</w:t>
            </w:r>
            <w:r>
              <w:rPr>
                <w:rFonts w:ascii="Arial" w:eastAsia="Arial" w:hAnsi="Arial" w:cs="Arial"/>
                <w:szCs w:val="20"/>
                <w:lang w:val="ru-RU"/>
              </w:rPr>
              <w:t xml:space="preserve">бучение по использованию новых подходов </w:t>
            </w:r>
            <w:r w:rsidR="00C0286A">
              <w:rPr>
                <w:rFonts w:ascii="Arial" w:eastAsia="Arial" w:hAnsi="Arial" w:cs="Arial"/>
                <w:szCs w:val="20"/>
                <w:lang w:val="ru-RU"/>
              </w:rPr>
              <w:t>является</w:t>
            </w:r>
            <w:r>
              <w:rPr>
                <w:rFonts w:ascii="Arial" w:eastAsia="Arial" w:hAnsi="Arial" w:cs="Arial"/>
                <w:szCs w:val="20"/>
                <w:lang w:val="ru-RU"/>
              </w:rPr>
              <w:t xml:space="preserve"> недостаточн</w:t>
            </w:r>
            <w:r w:rsidR="00C0286A">
              <w:rPr>
                <w:rFonts w:ascii="Arial" w:eastAsia="Arial" w:hAnsi="Arial" w:cs="Arial"/>
                <w:szCs w:val="20"/>
                <w:lang w:val="ru-RU"/>
              </w:rPr>
              <w:t>ым</w:t>
            </w:r>
            <w:r>
              <w:rPr>
                <w:rFonts w:ascii="Arial" w:eastAsia="Arial" w:hAnsi="Arial" w:cs="Arial"/>
                <w:szCs w:val="20"/>
                <w:lang w:val="ru-RU"/>
              </w:rPr>
              <w:t>.</w:t>
            </w:r>
          </w:p>
          <w:p w14:paraId="5386F25B" w14:textId="1321931E" w:rsidR="00DD29A9" w:rsidRPr="00D8027C" w:rsidRDefault="00DD29A9" w:rsidP="000A3168">
            <w:pPr>
              <w:spacing w:line="264"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ru-RU"/>
              </w:rPr>
            </w:pPr>
            <w:r>
              <w:rPr>
                <w:rFonts w:ascii="Arial" w:eastAsia="Arial" w:hAnsi="Arial" w:cs="Arial"/>
                <w:szCs w:val="20"/>
                <w:lang w:val="ru-RU"/>
              </w:rPr>
              <w:t xml:space="preserve">ЛУН остаются одной из стигматизируемых групп, сохраняются страх и барьеры для участия в профилактических программах. </w:t>
            </w:r>
          </w:p>
          <w:p w14:paraId="7B0C7462" w14:textId="77777777" w:rsidR="00DD29A9" w:rsidRPr="00903900" w:rsidRDefault="00DD29A9" w:rsidP="000A3168">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ru-RU"/>
              </w:rPr>
            </w:pPr>
            <w:r w:rsidRPr="00903900">
              <w:rPr>
                <w:rFonts w:ascii="Arial" w:eastAsia="Arial" w:hAnsi="Arial" w:cs="Arial"/>
                <w:szCs w:val="20"/>
                <w:lang w:val="ru-RU"/>
              </w:rPr>
              <w:t>Требование официальной регистрации ЛУН с постановкой на наркологический учет</w:t>
            </w:r>
            <w:r>
              <w:rPr>
                <w:rFonts w:ascii="Arial" w:eastAsia="Arial" w:hAnsi="Arial" w:cs="Arial"/>
                <w:szCs w:val="20"/>
                <w:lang w:val="ru-RU"/>
              </w:rPr>
              <w:t xml:space="preserve"> при начале лечения</w:t>
            </w:r>
            <w:r w:rsidRPr="00903900">
              <w:rPr>
                <w:rFonts w:ascii="Arial" w:eastAsia="Arial" w:hAnsi="Arial" w:cs="Arial"/>
                <w:szCs w:val="20"/>
                <w:lang w:val="ru-RU"/>
              </w:rPr>
              <w:t xml:space="preserve"> является </w:t>
            </w:r>
            <w:r>
              <w:rPr>
                <w:rFonts w:ascii="Arial" w:eastAsia="Arial" w:hAnsi="Arial" w:cs="Arial"/>
                <w:szCs w:val="20"/>
                <w:lang w:val="ru-RU"/>
              </w:rPr>
              <w:t>значительным барьером для расширения участия ЛУИН в ПТАО.</w:t>
            </w:r>
            <w:r w:rsidRPr="00903900">
              <w:rPr>
                <w:rFonts w:ascii="Arial" w:eastAsia="Arial" w:hAnsi="Arial" w:cs="Arial"/>
                <w:szCs w:val="20"/>
                <w:lang w:val="ru-RU"/>
              </w:rPr>
              <w:t xml:space="preserve"> </w:t>
            </w:r>
          </w:p>
          <w:p w14:paraId="27D9BFF3" w14:textId="3BFA57B3" w:rsidR="00DD29A9" w:rsidRPr="00903900" w:rsidRDefault="00DD29A9" w:rsidP="000A3168">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ru-RU"/>
              </w:rPr>
            </w:pPr>
            <w:r w:rsidRPr="00903900">
              <w:rPr>
                <w:rFonts w:ascii="Arial" w:eastAsia="Arial" w:hAnsi="Arial" w:cs="Arial"/>
                <w:szCs w:val="20"/>
                <w:lang w:val="ru-RU"/>
              </w:rPr>
              <w:t xml:space="preserve">Низкая информированность и понимание преимуществ </w:t>
            </w:r>
            <w:r w:rsidR="0023526B">
              <w:rPr>
                <w:rFonts w:ascii="Arial" w:eastAsia="Arial" w:hAnsi="Arial" w:cs="Arial"/>
                <w:szCs w:val="20"/>
                <w:lang w:val="ru-RU"/>
              </w:rPr>
              <w:t xml:space="preserve">ПТАО </w:t>
            </w:r>
            <w:r w:rsidRPr="00903900">
              <w:rPr>
                <w:rFonts w:ascii="Arial" w:eastAsia="Arial" w:hAnsi="Arial" w:cs="Arial"/>
                <w:szCs w:val="20"/>
                <w:lang w:val="ru-RU"/>
              </w:rPr>
              <w:t xml:space="preserve">среди активных ЛУИН, врачей ПСМП (дерматологи, инфекционисты, фтизиатры); малый выбор препаратов для поддерживающей терапии; ограниченные нормативными документами критерии для выдачи препаратов на более длительный срок; малый доступ к </w:t>
            </w:r>
            <w:r w:rsidR="00C0286A" w:rsidRPr="00903900">
              <w:rPr>
                <w:rFonts w:ascii="Arial" w:eastAsia="Arial" w:hAnsi="Arial" w:cs="Arial"/>
                <w:szCs w:val="20"/>
                <w:lang w:val="ru-RU"/>
              </w:rPr>
              <w:t>психосоциальной</w:t>
            </w:r>
            <w:r w:rsidRPr="00903900">
              <w:rPr>
                <w:rFonts w:ascii="Arial" w:eastAsia="Arial" w:hAnsi="Arial" w:cs="Arial"/>
                <w:szCs w:val="20"/>
                <w:lang w:val="ru-RU"/>
              </w:rPr>
              <w:t xml:space="preserve">, правовой и м медицинской помощи и поддержке. </w:t>
            </w:r>
          </w:p>
          <w:p w14:paraId="67A599ED" w14:textId="0D6A50EC" w:rsidR="00DD29A9" w:rsidRPr="00903900" w:rsidRDefault="00DD29A9" w:rsidP="000A3168">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ru-RU"/>
              </w:rPr>
            </w:pPr>
            <w:r>
              <w:rPr>
                <w:rFonts w:ascii="Arial" w:eastAsia="Arial" w:hAnsi="Arial" w:cs="Arial"/>
                <w:szCs w:val="20"/>
                <w:lang w:val="ru-RU"/>
              </w:rPr>
              <w:t xml:space="preserve">В профилактических программах, включая программы СВ и ПТАО, отмечается высокая текучесть кадров и низкая мотивация, </w:t>
            </w:r>
            <w:r w:rsidR="006819DB">
              <w:rPr>
                <w:rFonts w:ascii="Arial" w:eastAsia="Arial" w:hAnsi="Arial" w:cs="Arial"/>
                <w:szCs w:val="20"/>
                <w:lang w:val="ru-RU"/>
              </w:rPr>
              <w:t>вызванная</w:t>
            </w:r>
            <w:r>
              <w:rPr>
                <w:rFonts w:ascii="Arial" w:eastAsia="Arial" w:hAnsi="Arial" w:cs="Arial"/>
                <w:szCs w:val="20"/>
                <w:lang w:val="ru-RU"/>
              </w:rPr>
              <w:t xml:space="preserve"> низк</w:t>
            </w:r>
            <w:r w:rsidR="006819DB">
              <w:rPr>
                <w:rFonts w:ascii="Arial" w:eastAsia="Arial" w:hAnsi="Arial" w:cs="Arial"/>
                <w:szCs w:val="20"/>
                <w:lang w:val="ru-RU"/>
              </w:rPr>
              <w:t>ой</w:t>
            </w:r>
            <w:r>
              <w:rPr>
                <w:rFonts w:ascii="Arial" w:eastAsia="Arial" w:hAnsi="Arial" w:cs="Arial"/>
                <w:szCs w:val="20"/>
                <w:lang w:val="ru-RU"/>
              </w:rPr>
              <w:t xml:space="preserve"> оплат</w:t>
            </w:r>
            <w:r w:rsidR="006819DB">
              <w:rPr>
                <w:rFonts w:ascii="Arial" w:eastAsia="Arial" w:hAnsi="Arial" w:cs="Arial"/>
                <w:szCs w:val="20"/>
                <w:lang w:val="ru-RU"/>
              </w:rPr>
              <w:t>ой</w:t>
            </w:r>
            <w:r>
              <w:rPr>
                <w:rFonts w:ascii="Arial" w:eastAsia="Arial" w:hAnsi="Arial" w:cs="Arial"/>
                <w:szCs w:val="20"/>
                <w:lang w:val="ru-RU"/>
              </w:rPr>
              <w:t xml:space="preserve"> труда</w:t>
            </w:r>
            <w:r w:rsidR="006819DB">
              <w:rPr>
                <w:rFonts w:ascii="Arial" w:eastAsia="Arial" w:hAnsi="Arial" w:cs="Arial"/>
                <w:szCs w:val="20"/>
                <w:lang w:val="ru-RU"/>
              </w:rPr>
              <w:t xml:space="preserve"> и</w:t>
            </w:r>
            <w:r>
              <w:rPr>
                <w:rFonts w:ascii="Arial" w:eastAsia="Arial" w:hAnsi="Arial" w:cs="Arial"/>
                <w:szCs w:val="20"/>
                <w:lang w:val="ru-RU"/>
              </w:rPr>
              <w:t xml:space="preserve"> эмоциональн</w:t>
            </w:r>
            <w:r w:rsidR="006819DB">
              <w:rPr>
                <w:rFonts w:ascii="Arial" w:eastAsia="Arial" w:hAnsi="Arial" w:cs="Arial"/>
                <w:szCs w:val="20"/>
                <w:lang w:val="ru-RU"/>
              </w:rPr>
              <w:t>ым</w:t>
            </w:r>
            <w:r>
              <w:rPr>
                <w:rFonts w:ascii="Arial" w:eastAsia="Arial" w:hAnsi="Arial" w:cs="Arial"/>
                <w:szCs w:val="20"/>
                <w:lang w:val="ru-RU"/>
              </w:rPr>
              <w:t xml:space="preserve"> выгорани</w:t>
            </w:r>
            <w:r w:rsidR="006819DB">
              <w:rPr>
                <w:rFonts w:ascii="Arial" w:eastAsia="Arial" w:hAnsi="Arial" w:cs="Arial"/>
                <w:szCs w:val="20"/>
                <w:lang w:val="ru-RU"/>
              </w:rPr>
              <w:t>ем</w:t>
            </w:r>
            <w:r>
              <w:rPr>
                <w:rFonts w:ascii="Arial" w:eastAsia="Arial" w:hAnsi="Arial" w:cs="Arial"/>
                <w:szCs w:val="20"/>
                <w:lang w:val="ru-RU"/>
              </w:rPr>
              <w:t xml:space="preserve"> сотрудников. В последние годы сократились информационно-образовательные мероприятия в отношении ЛУН.</w:t>
            </w:r>
          </w:p>
          <w:p w14:paraId="570F1255" w14:textId="13FB889D" w:rsidR="00DD29A9" w:rsidRPr="001879BD" w:rsidRDefault="00DD29A9" w:rsidP="000A3168">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ru-RU"/>
              </w:rPr>
            </w:pPr>
            <w:r>
              <w:rPr>
                <w:rFonts w:ascii="Arial" w:eastAsia="Arial" w:hAnsi="Arial" w:cs="Arial"/>
                <w:szCs w:val="20"/>
                <w:lang w:val="ru-RU"/>
              </w:rPr>
              <w:t xml:space="preserve">Потребности ЛУН меняются, растет спрос на специализированные медицинские услуги, лечение гепатитов, ИППП, но программы были ограничены в данных возможностях, что также снижало мотивацию ЛУН для участия в программах. </w:t>
            </w:r>
          </w:p>
        </w:tc>
      </w:tr>
      <w:tr w:rsidR="00DD29A9" w14:paraId="6687B43E" w14:textId="77777777" w:rsidTr="00DD2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283BCB80" w14:textId="77777777" w:rsidR="00DD29A9" w:rsidRDefault="00DD29A9" w:rsidP="00DD29A9">
            <w:pPr>
              <w:pStyle w:val="a1"/>
            </w:pPr>
            <w:r>
              <w:rPr>
                <w:lang w:val="ru-RU"/>
              </w:rPr>
              <w:lastRenderedPageBreak/>
              <w:t>Запрашиваемая сумма</w:t>
            </w:r>
          </w:p>
        </w:tc>
        <w:tc>
          <w:tcPr>
            <w:tcW w:w="13025" w:type="dxa"/>
          </w:tcPr>
          <w:p w14:paraId="18FABF40" w14:textId="77777777" w:rsidR="00DD29A9" w:rsidRPr="00621F12" w:rsidRDefault="00DD29A9" w:rsidP="00DD29A9">
            <w:pPr>
              <w:pStyle w:val="a1"/>
              <w:cnfStyle w:val="000000100000" w:firstRow="0" w:lastRow="0" w:firstColumn="0" w:lastColumn="0" w:oddVBand="0" w:evenVBand="0" w:oddHBand="1" w:evenHBand="0" w:firstRowFirstColumn="0" w:firstRowLastColumn="0" w:lastRowFirstColumn="0" w:lastRowLastColumn="0"/>
              <w:rPr>
                <w:sz w:val="22"/>
                <w:szCs w:val="20"/>
              </w:rPr>
            </w:pPr>
          </w:p>
        </w:tc>
      </w:tr>
      <w:tr w:rsidR="00DD29A9" w:rsidRPr="00A26916" w14:paraId="55B91F0F" w14:textId="77777777" w:rsidTr="00DD29A9">
        <w:tc>
          <w:tcPr>
            <w:cnfStyle w:val="001000000000" w:firstRow="0" w:lastRow="0" w:firstColumn="1" w:lastColumn="0" w:oddVBand="0" w:evenVBand="0" w:oddHBand="0" w:evenHBand="0" w:firstRowFirstColumn="0" w:firstRowLastColumn="0" w:lastRowFirstColumn="0" w:lastRowLastColumn="0"/>
            <w:tcW w:w="2138" w:type="dxa"/>
          </w:tcPr>
          <w:p w14:paraId="7F1A9EFD" w14:textId="77777777" w:rsidR="00DD29A9" w:rsidRDefault="00DD29A9" w:rsidP="00DD29A9">
            <w:pPr>
              <w:pStyle w:val="a1"/>
            </w:pPr>
            <w:r w:rsidRPr="006819DB">
              <w:rPr>
                <w:lang w:val="ru-RU"/>
              </w:rPr>
              <w:t>Ожидаемый результат</w:t>
            </w:r>
          </w:p>
        </w:tc>
        <w:tc>
          <w:tcPr>
            <w:tcW w:w="13025" w:type="dxa"/>
          </w:tcPr>
          <w:p w14:paraId="3B524267" w14:textId="77777777" w:rsidR="00DD29A9" w:rsidRDefault="00DD29A9" w:rsidP="00DD29A9">
            <w:pPr>
              <w:pStyle w:val="a1"/>
              <w:numPr>
                <w:ilvl w:val="0"/>
                <w:numId w:val="22"/>
              </w:numPr>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 xml:space="preserve">Не менее </w:t>
            </w:r>
            <w:r w:rsidRPr="00B64988">
              <w:rPr>
                <w:sz w:val="22"/>
                <w:szCs w:val="20"/>
                <w:highlight w:val="yellow"/>
                <w:lang w:val="ru-RU"/>
              </w:rPr>
              <w:t>75%</w:t>
            </w:r>
            <w:r>
              <w:rPr>
                <w:sz w:val="22"/>
                <w:szCs w:val="20"/>
                <w:lang w:val="ru-RU"/>
              </w:rPr>
              <w:t xml:space="preserve"> ЛУИН</w:t>
            </w:r>
            <w:r w:rsidRPr="00B64988">
              <w:rPr>
                <w:sz w:val="22"/>
                <w:szCs w:val="20"/>
                <w:lang w:val="ru-RU"/>
              </w:rPr>
              <w:t xml:space="preserve"> от общей численности будут охвачены минимальным пакетом услуг к 2026 году;</w:t>
            </w:r>
          </w:p>
          <w:p w14:paraId="5DCA31DF" w14:textId="77777777" w:rsidR="00DD29A9" w:rsidRDefault="00DD29A9" w:rsidP="00DD29A9">
            <w:pPr>
              <w:pStyle w:val="a1"/>
              <w:numPr>
                <w:ilvl w:val="0"/>
                <w:numId w:val="22"/>
              </w:numPr>
              <w:cnfStyle w:val="000000000000" w:firstRow="0" w:lastRow="0" w:firstColumn="0" w:lastColumn="0" w:oddVBand="0" w:evenVBand="0" w:oddHBand="0" w:evenHBand="0" w:firstRowFirstColumn="0" w:firstRowLastColumn="0" w:lastRowFirstColumn="0" w:lastRowLastColumn="0"/>
              <w:rPr>
                <w:sz w:val="22"/>
                <w:szCs w:val="20"/>
                <w:lang w:val="ru-RU"/>
              </w:rPr>
            </w:pPr>
            <w:r w:rsidRPr="00976FD0">
              <w:rPr>
                <w:sz w:val="22"/>
                <w:szCs w:val="20"/>
                <w:lang w:val="ru-RU"/>
              </w:rPr>
              <w:t xml:space="preserve">Не менее 95% от охвата </w:t>
            </w:r>
            <w:r>
              <w:rPr>
                <w:sz w:val="22"/>
                <w:szCs w:val="20"/>
                <w:lang w:val="ru-RU"/>
              </w:rPr>
              <w:t>ЛУИН</w:t>
            </w:r>
            <w:r w:rsidRPr="00976FD0">
              <w:rPr>
                <w:sz w:val="22"/>
                <w:szCs w:val="20"/>
                <w:lang w:val="ru-RU"/>
              </w:rPr>
              <w:t xml:space="preserve"> минимальным пакетом услуг пройдут тестирование на ВИЧ и не менее 95% новых выявленных случаев ВИЧ пройдут полный каскад программы социального сопровождения;</w:t>
            </w:r>
          </w:p>
          <w:p w14:paraId="30E82AA7" w14:textId="77777777" w:rsidR="00DD29A9" w:rsidRPr="00976FD0" w:rsidRDefault="00DD29A9" w:rsidP="00DD29A9">
            <w:pPr>
              <w:pStyle w:val="a1"/>
              <w:numPr>
                <w:ilvl w:val="0"/>
                <w:numId w:val="22"/>
              </w:numPr>
              <w:cnfStyle w:val="000000000000" w:firstRow="0" w:lastRow="0" w:firstColumn="0" w:lastColumn="0" w:oddVBand="0" w:evenVBand="0" w:oddHBand="0" w:evenHBand="0" w:firstRowFirstColumn="0" w:firstRowLastColumn="0" w:lastRowFirstColumn="0" w:lastRowLastColumn="0"/>
              <w:rPr>
                <w:sz w:val="22"/>
                <w:szCs w:val="20"/>
                <w:lang w:val="ru-RU"/>
              </w:rPr>
            </w:pPr>
            <w:r w:rsidRPr="00976FD0">
              <w:rPr>
                <w:sz w:val="22"/>
                <w:szCs w:val="20"/>
                <w:lang w:val="ru-RU"/>
              </w:rPr>
              <w:t xml:space="preserve">Не менее 95% </w:t>
            </w:r>
            <w:r>
              <w:rPr>
                <w:sz w:val="22"/>
                <w:szCs w:val="20"/>
                <w:lang w:val="ru-RU"/>
              </w:rPr>
              <w:t>ЛУИН</w:t>
            </w:r>
            <w:r w:rsidRPr="00976FD0">
              <w:rPr>
                <w:sz w:val="22"/>
                <w:szCs w:val="20"/>
                <w:lang w:val="ru-RU"/>
              </w:rPr>
              <w:t xml:space="preserve"> с ВИЧ будут получать АРТ и достигнут вирусной супрессии</w:t>
            </w:r>
          </w:p>
        </w:tc>
      </w:tr>
    </w:tbl>
    <w:p w14:paraId="5F69B1EF" w14:textId="77777777" w:rsidR="005A24AF" w:rsidRDefault="005A24AF" w:rsidP="007E2465">
      <w:pPr>
        <w:pStyle w:val="a1"/>
        <w:rPr>
          <w:i/>
          <w:iCs/>
          <w:lang w:val="ru-RU"/>
        </w:rPr>
      </w:pPr>
    </w:p>
    <w:p w14:paraId="0CB54604" w14:textId="32519E22" w:rsidR="005A24AF" w:rsidRDefault="005A24AF" w:rsidP="007E2465">
      <w:pPr>
        <w:pStyle w:val="a1"/>
        <w:rPr>
          <w:i/>
          <w:iCs/>
          <w:lang w:val="ru-RU"/>
        </w:rPr>
      </w:pPr>
    </w:p>
    <w:p w14:paraId="002C4D1B" w14:textId="4198F9CA" w:rsidR="00246DFA" w:rsidRDefault="00246DFA">
      <w:pPr>
        <w:spacing w:after="200"/>
        <w:rPr>
          <w:i/>
          <w:iCs/>
          <w:sz w:val="24"/>
          <w:lang w:val="ru-RU"/>
        </w:rPr>
      </w:pPr>
      <w:r>
        <w:rPr>
          <w:i/>
          <w:iCs/>
          <w:lang w:val="ru-RU"/>
        </w:rPr>
        <w:br w:type="page"/>
      </w:r>
    </w:p>
    <w:tbl>
      <w:tblPr>
        <w:tblStyle w:val="110"/>
        <w:tblpPr w:leftFromText="181" w:rightFromText="181" w:vertAnchor="page" w:horzAnchor="margin" w:tblpY="930"/>
        <w:tblW w:w="15163" w:type="dxa"/>
        <w:tblLook w:val="04A0" w:firstRow="1" w:lastRow="0" w:firstColumn="1" w:lastColumn="0" w:noHBand="0" w:noVBand="1"/>
      </w:tblPr>
      <w:tblGrid>
        <w:gridCol w:w="2138"/>
        <w:gridCol w:w="13025"/>
      </w:tblGrid>
      <w:tr w:rsidR="00246DFA" w:rsidRPr="00A26916" w14:paraId="6D1321DD" w14:textId="77777777" w:rsidTr="00246D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0BBA41F0" w14:textId="142CA887" w:rsidR="00246DFA" w:rsidRPr="000B517D" w:rsidRDefault="00246DFA" w:rsidP="00246DFA">
            <w:pPr>
              <w:pStyle w:val="a1"/>
              <w:rPr>
                <w:lang w:val="ru-RU"/>
              </w:rPr>
            </w:pPr>
            <w:r>
              <w:rPr>
                <w:lang w:val="ru-RU"/>
              </w:rPr>
              <w:lastRenderedPageBreak/>
              <w:t>Модуль №</w:t>
            </w:r>
            <w:r>
              <w:t xml:space="preserve"> </w:t>
            </w:r>
            <w:r w:rsidR="00540290" w:rsidRPr="000A3168">
              <w:rPr>
                <w:lang w:val="ru-RU"/>
              </w:rPr>
              <w:t>8</w:t>
            </w:r>
          </w:p>
        </w:tc>
        <w:tc>
          <w:tcPr>
            <w:tcW w:w="13025" w:type="dxa"/>
          </w:tcPr>
          <w:p w14:paraId="03805395" w14:textId="77777777" w:rsidR="00246DFA" w:rsidRPr="00611B17" w:rsidRDefault="00246DFA" w:rsidP="00246DFA">
            <w:pPr>
              <w:pStyle w:val="a1"/>
              <w:cnfStyle w:val="100000000000" w:firstRow="1" w:lastRow="0" w:firstColumn="0" w:lastColumn="0" w:oddVBand="0" w:evenVBand="0" w:oddHBand="0" w:evenHBand="0" w:firstRowFirstColumn="0" w:firstRowLastColumn="0" w:lastRowFirstColumn="0" w:lastRowLastColumn="0"/>
              <w:rPr>
                <w:lang w:val="ru-RU"/>
              </w:rPr>
            </w:pPr>
            <w:r w:rsidRPr="00611B17">
              <w:rPr>
                <w:lang w:val="ru-RU"/>
              </w:rPr>
              <w:t>Пакет профилактических мер для лиц, находящихся в тюрьмах и других закрытых учреждениях</w:t>
            </w:r>
          </w:p>
        </w:tc>
      </w:tr>
      <w:tr w:rsidR="00246DFA" w:rsidRPr="00A26916" w14:paraId="69CD1646" w14:textId="77777777" w:rsidTr="00246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120717F8" w14:textId="00D022D3" w:rsidR="00246DFA" w:rsidRDefault="00C41B0A" w:rsidP="00246DFA">
            <w:pPr>
              <w:pStyle w:val="a1"/>
            </w:pPr>
            <w:r>
              <w:rPr>
                <w:lang w:val="ru-RU"/>
              </w:rPr>
              <w:t>Вмешательства</w:t>
            </w:r>
          </w:p>
        </w:tc>
        <w:tc>
          <w:tcPr>
            <w:tcW w:w="13025" w:type="dxa"/>
          </w:tcPr>
          <w:p w14:paraId="5676E53A" w14:textId="64F886E4" w:rsidR="004C21A1" w:rsidRDefault="004C21A1" w:rsidP="004C21A1">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sidRPr="00473E0B">
              <w:rPr>
                <w:rFonts w:ascii="Arial" w:eastAsia="Arial" w:hAnsi="Arial" w:cs="Arial"/>
                <w:lang w:val="ru-RU"/>
              </w:rPr>
              <w:t xml:space="preserve">Программы снижения вреда сохранятся в 9 пенитенциарных учреждениях (8 - ПОШ и </w:t>
            </w:r>
            <w:r w:rsidRPr="00AF22CF">
              <w:rPr>
                <w:rFonts w:ascii="Arial" w:eastAsia="Arial" w:hAnsi="Arial" w:cs="Arial"/>
                <w:lang w:val="ru-RU"/>
              </w:rPr>
              <w:t>9</w:t>
            </w:r>
            <w:r w:rsidRPr="00473E0B">
              <w:rPr>
                <w:rFonts w:ascii="Arial" w:eastAsia="Arial" w:hAnsi="Arial" w:cs="Arial"/>
                <w:lang w:val="ru-RU"/>
              </w:rPr>
              <w:t xml:space="preserve"> ПТАО) с общим охватом 662 человека ПОШ и 208 ПТАО</w:t>
            </w:r>
            <w:r w:rsidR="00826456">
              <w:rPr>
                <w:rFonts w:ascii="Arial" w:eastAsia="Arial" w:hAnsi="Arial" w:cs="Arial"/>
                <w:lang w:val="ru-RU"/>
              </w:rPr>
              <w:t xml:space="preserve"> на конец</w:t>
            </w:r>
            <w:r>
              <w:rPr>
                <w:rFonts w:ascii="Arial" w:eastAsia="Arial" w:hAnsi="Arial" w:cs="Arial"/>
                <w:lang w:val="ru-RU"/>
              </w:rPr>
              <w:t xml:space="preserve"> 2022 г</w:t>
            </w:r>
            <w:r w:rsidRPr="00473E0B">
              <w:rPr>
                <w:rFonts w:ascii="Arial" w:eastAsia="Arial" w:hAnsi="Arial" w:cs="Arial"/>
                <w:lang w:val="ru-RU"/>
              </w:rPr>
              <w:t>. Услуги по тестированию на ВИЧ, предоставления шприцев, метадона, диагностики ТБ, предоставления АРТ для заключенных будут расширены для обеспечения 90% ЛУН программами снижения вреда и 90% ЛЖВ в местах заключения</w:t>
            </w:r>
            <w:r w:rsidR="00826456">
              <w:rPr>
                <w:rFonts w:ascii="Arial" w:eastAsia="Arial" w:hAnsi="Arial" w:cs="Arial"/>
                <w:lang w:val="ru-RU"/>
              </w:rPr>
              <w:t xml:space="preserve"> АРТ при бесперебойном снабжении</w:t>
            </w:r>
            <w:r w:rsidRPr="00473E0B">
              <w:rPr>
                <w:rFonts w:ascii="Arial" w:eastAsia="Arial" w:hAnsi="Arial" w:cs="Arial"/>
                <w:lang w:val="ru-RU"/>
              </w:rPr>
              <w:t xml:space="preserve"> препаратами. При этом будет повышено качество услуг, расширен пакет предоставляемых услуг с включением тестирования на вирусные гепатиты до </w:t>
            </w:r>
            <w:r>
              <w:rPr>
                <w:rFonts w:ascii="Arial" w:eastAsia="Arial" w:hAnsi="Arial" w:cs="Arial"/>
                <w:lang w:val="ru-RU"/>
              </w:rPr>
              <w:t>100</w:t>
            </w:r>
            <w:r w:rsidRPr="00473E0B">
              <w:rPr>
                <w:rFonts w:ascii="Arial" w:eastAsia="Arial" w:hAnsi="Arial" w:cs="Arial"/>
                <w:lang w:val="ru-RU"/>
              </w:rPr>
              <w:t>% заключенных и ЛУН, находящихся в системе пробации</w:t>
            </w:r>
            <w:r>
              <w:rPr>
                <w:rFonts w:ascii="Arial" w:eastAsia="Arial" w:hAnsi="Arial" w:cs="Arial"/>
                <w:lang w:val="ru-RU"/>
              </w:rPr>
              <w:t>,</w:t>
            </w:r>
            <w:r w:rsidRPr="00473E0B">
              <w:rPr>
                <w:rFonts w:ascii="Arial" w:eastAsia="Arial" w:hAnsi="Arial" w:cs="Arial"/>
                <w:lang w:val="ru-RU"/>
              </w:rPr>
              <w:t xml:space="preserve"> ежегодно. 60% потребителей новых наркотиков из числа заключенных будут обеспечены презервативами и лубрикантам</w:t>
            </w:r>
            <w:r w:rsidRPr="005A67CC">
              <w:rPr>
                <w:rFonts w:ascii="Arial" w:eastAsia="Arial" w:hAnsi="Arial" w:cs="Arial"/>
                <w:lang w:val="ru-RU"/>
              </w:rPr>
              <w:t xml:space="preserve">и. </w:t>
            </w:r>
            <w:r w:rsidR="0039236A">
              <w:rPr>
                <w:rFonts w:ascii="Arial" w:eastAsia="Arial" w:hAnsi="Arial" w:cs="Arial"/>
                <w:lang w:val="ru-RU"/>
              </w:rPr>
              <w:t>Будут п</w:t>
            </w:r>
            <w:r w:rsidRPr="005A67CC">
              <w:rPr>
                <w:rFonts w:ascii="Arial" w:eastAsia="Arial" w:hAnsi="Arial" w:cs="Arial"/>
                <w:lang w:val="ru-RU"/>
              </w:rPr>
              <w:t>редоставлен</w:t>
            </w:r>
            <w:r w:rsidR="0039236A">
              <w:rPr>
                <w:rFonts w:ascii="Arial" w:eastAsia="Arial" w:hAnsi="Arial" w:cs="Arial"/>
                <w:lang w:val="ru-RU"/>
              </w:rPr>
              <w:t>ы</w:t>
            </w:r>
            <w:r w:rsidRPr="005A67CC">
              <w:rPr>
                <w:rFonts w:ascii="Arial" w:eastAsia="Arial" w:hAnsi="Arial" w:cs="Arial"/>
                <w:lang w:val="ru-RU"/>
              </w:rPr>
              <w:t xml:space="preserve"> услуг</w:t>
            </w:r>
            <w:r w:rsidR="0039236A">
              <w:rPr>
                <w:rFonts w:ascii="Arial" w:eastAsia="Arial" w:hAnsi="Arial" w:cs="Arial"/>
                <w:lang w:val="ru-RU"/>
              </w:rPr>
              <w:t>и</w:t>
            </w:r>
            <w:r w:rsidRPr="005A67CC">
              <w:rPr>
                <w:rFonts w:ascii="Arial" w:eastAsia="Arial" w:hAnsi="Arial" w:cs="Arial"/>
                <w:lang w:val="ru-RU"/>
              </w:rPr>
              <w:t xml:space="preserve"> в области сексуального и репродуктивного здоровья для всех нуждающихся ЛУН/заключенных, включая бесплатную диагностику и лечение ИППП, лечение гепатита С, обеспечение вакцинацией гепатита В. </w:t>
            </w:r>
            <w:r w:rsidRPr="00F40A67">
              <w:rPr>
                <w:rFonts w:ascii="Arial" w:eastAsia="Arial" w:hAnsi="Arial" w:cs="Arial"/>
                <w:lang w:val="ru-RU"/>
              </w:rPr>
              <w:t>Будет внедрено экс</w:t>
            </w:r>
            <w:r w:rsidR="00826456">
              <w:rPr>
                <w:rFonts w:ascii="Arial" w:eastAsia="Arial" w:hAnsi="Arial" w:cs="Arial"/>
                <w:lang w:val="ru-RU"/>
              </w:rPr>
              <w:t>пресс-тестирование на ВИЧ в СИЗО</w:t>
            </w:r>
            <w:r w:rsidRPr="00F40A67">
              <w:rPr>
                <w:rFonts w:ascii="Arial" w:eastAsia="Arial" w:hAnsi="Arial" w:cs="Arial"/>
                <w:lang w:val="ru-RU"/>
              </w:rPr>
              <w:t xml:space="preserve">, а также повторное тестирование на ВИЧ через 6 месяцев </w:t>
            </w:r>
            <w:r>
              <w:rPr>
                <w:rFonts w:ascii="Arial" w:eastAsia="Arial" w:hAnsi="Arial" w:cs="Arial"/>
                <w:lang w:val="ru-RU"/>
              </w:rPr>
              <w:t xml:space="preserve">после поступления в тюрьмы для исключения периода окна. </w:t>
            </w:r>
            <w:r w:rsidRPr="00605BA1">
              <w:rPr>
                <w:rFonts w:ascii="Arial" w:eastAsia="Arial" w:hAnsi="Arial" w:cs="Arial"/>
                <w:lang w:val="ru-RU"/>
              </w:rPr>
              <w:t>Налоксон и обучение по предотвращению передозировки получат не менее 90% ЛУИН.</w:t>
            </w:r>
            <w:r>
              <w:rPr>
                <w:rFonts w:ascii="Arial" w:eastAsia="Arial" w:hAnsi="Arial" w:cs="Arial"/>
                <w:lang w:val="ru-RU"/>
              </w:rPr>
              <w:t xml:space="preserve"> Минимальный пакет услуг будет включать информирование; предоставление шприцев (ПТАО), презервативов; тестирование ВГС и ИППП; при необходимости лечение ИППП. </w:t>
            </w:r>
          </w:p>
          <w:p w14:paraId="2A44CD72" w14:textId="77777777" w:rsidR="004C21A1" w:rsidRPr="00605BA1" w:rsidRDefault="004C21A1" w:rsidP="00C73EBE">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sidRPr="00605BA1">
              <w:rPr>
                <w:rFonts w:ascii="Arial" w:eastAsia="Arial" w:hAnsi="Arial" w:cs="Arial"/>
                <w:lang w:val="ru-RU"/>
              </w:rPr>
              <w:t>Будут проведены индивидуальные и групповые консультации по безопасным инъекциям и сексуальным практикам; профилактике ВИЧ, ИППП, гепатитов; по правам человека с охватом до 90% целевых групп заключенных. Будет проведено обучение 95% заключенных, живущих с ВИЧ, по 6 модулям Школы пациента. Будут разработаны и распространены информационные, образовательные материалы.</w:t>
            </w:r>
          </w:p>
          <w:p w14:paraId="2C8A4D0E" w14:textId="6BF560EC" w:rsidR="004C21A1" w:rsidRPr="00605BA1" w:rsidRDefault="004C21A1" w:rsidP="004C21A1">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Pr>
                <w:rFonts w:ascii="Arial" w:eastAsia="Arial" w:hAnsi="Arial" w:cs="Arial"/>
                <w:lang w:val="ru-RU"/>
              </w:rPr>
              <w:t>Буде</w:t>
            </w:r>
            <w:r w:rsidRPr="00605BA1">
              <w:rPr>
                <w:rFonts w:ascii="Arial" w:eastAsia="Arial" w:hAnsi="Arial" w:cs="Arial"/>
                <w:lang w:val="ru-RU"/>
              </w:rPr>
              <w:t>т обеспечена непрерывность услуг между гражданским и тюремным здравоохранением путем подготовки к освобождению, сопровождение заключенных, находящихся в ПТАО, на АРТ, лечении ТБ или гепатитов после освобождения. Нуждающимся лицам после освобождения будет предоставлено временное проживании при поддержке гражданского сектора. Будут проведены мероприятия по повышению потенциала сообщества бывших заключенных для оказания услуг и защите прав, участие в страновых координационных механизмах по приняти</w:t>
            </w:r>
            <w:r w:rsidR="0039236A">
              <w:rPr>
                <w:rFonts w:ascii="Arial" w:eastAsia="Arial" w:hAnsi="Arial" w:cs="Arial"/>
                <w:lang w:val="ru-RU"/>
              </w:rPr>
              <w:t>ю</w:t>
            </w:r>
            <w:r w:rsidRPr="00605BA1">
              <w:rPr>
                <w:rFonts w:ascii="Arial" w:eastAsia="Arial" w:hAnsi="Arial" w:cs="Arial"/>
                <w:lang w:val="ru-RU"/>
              </w:rPr>
              <w:t xml:space="preserve"> решений. Заключенным при поступлении в пенитенциарную систему и после освобождения будет оказана правовая поддержка в соответствии с законодательством КР, помощь в восстановлении документов, возможност</w:t>
            </w:r>
            <w:r>
              <w:rPr>
                <w:rFonts w:ascii="Arial" w:eastAsia="Arial" w:hAnsi="Arial" w:cs="Arial"/>
                <w:lang w:val="ru-RU"/>
              </w:rPr>
              <w:t>ь</w:t>
            </w:r>
            <w:r w:rsidRPr="00605BA1">
              <w:rPr>
                <w:rFonts w:ascii="Arial" w:eastAsia="Arial" w:hAnsi="Arial" w:cs="Arial"/>
                <w:lang w:val="ru-RU"/>
              </w:rPr>
              <w:t xml:space="preserve"> профессионального обучения.</w:t>
            </w:r>
          </w:p>
          <w:p w14:paraId="02D96A3B" w14:textId="2D1F3E9A" w:rsidR="00246DFA" w:rsidRPr="00DF2E7E" w:rsidRDefault="004C21A1" w:rsidP="004C21A1">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sidRPr="00605BA1">
              <w:rPr>
                <w:rFonts w:ascii="Arial" w:eastAsia="Arial" w:hAnsi="Arial" w:cs="Arial"/>
                <w:lang w:val="ru-RU"/>
              </w:rPr>
              <w:t>Одновременно будет проводится повышение осведомленности тюремного персонала по вопросам стигмы и дискриминации, обеспечения прав ЛЖВ</w:t>
            </w:r>
            <w:r>
              <w:rPr>
                <w:rFonts w:ascii="Arial" w:eastAsia="Arial" w:hAnsi="Arial" w:cs="Arial"/>
                <w:lang w:val="ru-RU"/>
              </w:rPr>
              <w:t xml:space="preserve">, особенностям работы с </w:t>
            </w:r>
            <w:r w:rsidRPr="00605BA1">
              <w:rPr>
                <w:rFonts w:ascii="Arial" w:eastAsia="Arial" w:hAnsi="Arial" w:cs="Arial"/>
                <w:lang w:val="ru-RU"/>
              </w:rPr>
              <w:t>учетом потребностей различных субгрупп заключенных.</w:t>
            </w:r>
            <w:r>
              <w:rPr>
                <w:rFonts w:ascii="Arial" w:eastAsia="Arial" w:hAnsi="Arial" w:cs="Arial"/>
                <w:lang w:val="ru-RU"/>
              </w:rPr>
              <w:t xml:space="preserve"> Будет урегулирован вопрос по доставке био-материалов заключенных для диагностики ВИЧ и ТБ в лаборатории гражданского здравоохранения.</w:t>
            </w:r>
          </w:p>
        </w:tc>
      </w:tr>
      <w:tr w:rsidR="00246DFA" w:rsidRPr="00A26916" w14:paraId="11C34829" w14:textId="77777777" w:rsidTr="00246DFA">
        <w:tc>
          <w:tcPr>
            <w:cnfStyle w:val="001000000000" w:firstRow="0" w:lastRow="0" w:firstColumn="1" w:lastColumn="0" w:oddVBand="0" w:evenVBand="0" w:oddHBand="0" w:evenHBand="0" w:firstRowFirstColumn="0" w:firstRowLastColumn="0" w:lastRowFirstColumn="0" w:lastRowLastColumn="0"/>
            <w:tcW w:w="2138" w:type="dxa"/>
          </w:tcPr>
          <w:p w14:paraId="7BDC6826" w14:textId="77777777" w:rsidR="00246DFA" w:rsidRPr="008B08A2" w:rsidRDefault="00246DFA" w:rsidP="00246DFA">
            <w:pPr>
              <w:pStyle w:val="a1"/>
              <w:rPr>
                <w:lang w:val="ru-RU"/>
              </w:rPr>
            </w:pPr>
            <w:r>
              <w:rPr>
                <w:lang w:val="ru-RU"/>
              </w:rPr>
              <w:t>Население</w:t>
            </w:r>
            <w:r w:rsidRPr="008B08A2">
              <w:rPr>
                <w:lang w:val="ru-RU"/>
              </w:rPr>
              <w:t xml:space="preserve">, </w:t>
            </w:r>
            <w:r>
              <w:rPr>
                <w:lang w:val="ru-RU"/>
              </w:rPr>
              <w:t>территории</w:t>
            </w:r>
            <w:r w:rsidRPr="008B08A2">
              <w:rPr>
                <w:lang w:val="ru-RU"/>
              </w:rPr>
              <w:t xml:space="preserve"> </w:t>
            </w:r>
            <w:r>
              <w:rPr>
                <w:lang w:val="ru-RU"/>
              </w:rPr>
              <w:t>и</w:t>
            </w:r>
            <w:r w:rsidRPr="008B08A2">
              <w:rPr>
                <w:lang w:val="ru-RU"/>
              </w:rPr>
              <w:t>/</w:t>
            </w:r>
            <w:r>
              <w:rPr>
                <w:lang w:val="ru-RU"/>
              </w:rPr>
              <w:t>или</w:t>
            </w:r>
            <w:r w:rsidRPr="008B08A2">
              <w:rPr>
                <w:lang w:val="ru-RU"/>
              </w:rPr>
              <w:t xml:space="preserve"> </w:t>
            </w:r>
            <w:r>
              <w:rPr>
                <w:lang w:val="ru-RU"/>
              </w:rPr>
              <w:t>барьеры</w:t>
            </w:r>
            <w:r w:rsidRPr="008B08A2">
              <w:rPr>
                <w:lang w:val="ru-RU"/>
              </w:rPr>
              <w:t xml:space="preserve">, </w:t>
            </w:r>
            <w:r>
              <w:rPr>
                <w:lang w:val="ru-RU"/>
              </w:rPr>
              <w:t>на</w:t>
            </w:r>
            <w:r w:rsidRPr="008B08A2">
              <w:rPr>
                <w:lang w:val="ru-RU"/>
              </w:rPr>
              <w:t xml:space="preserve"> </w:t>
            </w:r>
            <w:r>
              <w:rPr>
                <w:lang w:val="ru-RU"/>
              </w:rPr>
              <w:t xml:space="preserve">которые </w:t>
            </w:r>
            <w:r>
              <w:rPr>
                <w:lang w:val="ru-RU"/>
              </w:rPr>
              <w:lastRenderedPageBreak/>
              <w:t>направлена деятельность</w:t>
            </w:r>
          </w:p>
        </w:tc>
        <w:tc>
          <w:tcPr>
            <w:tcW w:w="13025" w:type="dxa"/>
          </w:tcPr>
          <w:p w14:paraId="2CF45891" w14:textId="77777777" w:rsidR="007D24D9" w:rsidRDefault="00DF2E7E" w:rsidP="00F9577A">
            <w:pPr>
              <w:spacing w:line="264"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ru-RU"/>
              </w:rPr>
            </w:pPr>
            <w:r w:rsidRPr="00605BA1">
              <w:rPr>
                <w:rFonts w:ascii="Arial" w:eastAsia="Arial" w:hAnsi="Arial" w:cs="Arial"/>
                <w:szCs w:val="20"/>
                <w:lang w:val="ru-RU"/>
              </w:rPr>
              <w:lastRenderedPageBreak/>
              <w:t xml:space="preserve">Люди, живущие с ВИЧ, </w:t>
            </w:r>
            <w:r w:rsidR="007D24D9">
              <w:rPr>
                <w:rFonts w:ascii="Arial" w:eastAsia="Arial" w:hAnsi="Arial" w:cs="Arial"/>
                <w:szCs w:val="20"/>
                <w:lang w:val="ru-RU"/>
              </w:rPr>
              <w:t>люди с ТБ</w:t>
            </w:r>
            <w:r w:rsidRPr="00605BA1">
              <w:rPr>
                <w:rFonts w:ascii="Arial" w:eastAsia="Arial" w:hAnsi="Arial" w:cs="Arial"/>
                <w:szCs w:val="20"/>
                <w:lang w:val="ru-RU"/>
              </w:rPr>
              <w:t xml:space="preserve">, контактные </w:t>
            </w:r>
            <w:r w:rsidR="00F9577A">
              <w:rPr>
                <w:rFonts w:ascii="Arial" w:eastAsia="Arial" w:hAnsi="Arial" w:cs="Arial"/>
                <w:szCs w:val="20"/>
                <w:lang w:val="ru-RU"/>
              </w:rPr>
              <w:t>лица, ЛУН</w:t>
            </w:r>
            <w:r w:rsidRPr="00605BA1">
              <w:rPr>
                <w:rFonts w:ascii="Arial" w:eastAsia="Arial" w:hAnsi="Arial" w:cs="Arial"/>
                <w:szCs w:val="20"/>
                <w:lang w:val="ru-RU"/>
              </w:rPr>
              <w:t xml:space="preserve">, находящиеся в местах лишения свободы. Все организации пенитенциарной системы и системы пробации, </w:t>
            </w:r>
            <w:r w:rsidR="00F9577A">
              <w:rPr>
                <w:rFonts w:ascii="Arial" w:eastAsia="Arial" w:hAnsi="Arial" w:cs="Arial"/>
                <w:szCs w:val="20"/>
                <w:lang w:val="ru-RU"/>
              </w:rPr>
              <w:t>колонии поселения, СИЗО</w:t>
            </w:r>
          </w:p>
          <w:p w14:paraId="4A669131" w14:textId="77777777" w:rsidR="007D24D9" w:rsidRDefault="00DF2E7E" w:rsidP="00F9577A">
            <w:pPr>
              <w:spacing w:line="264"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ru-RU"/>
              </w:rPr>
            </w:pPr>
            <w:r w:rsidRPr="00605BA1">
              <w:rPr>
                <w:rFonts w:ascii="Arial" w:eastAsia="Arial" w:hAnsi="Arial" w:cs="Arial"/>
                <w:szCs w:val="20"/>
                <w:lang w:val="ru-RU"/>
              </w:rPr>
              <w:t>Кыргызская Республика</w:t>
            </w:r>
            <w:r>
              <w:rPr>
                <w:rFonts w:ascii="Arial" w:eastAsia="Arial" w:hAnsi="Arial" w:cs="Arial"/>
                <w:szCs w:val="20"/>
                <w:lang w:val="ru-RU"/>
              </w:rPr>
              <w:t>.</w:t>
            </w:r>
          </w:p>
          <w:p w14:paraId="2B837DFE" w14:textId="38A43E74" w:rsidR="00F9577A" w:rsidRDefault="00F9577A" w:rsidP="00F9577A">
            <w:pPr>
              <w:spacing w:line="264"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ru-RU"/>
              </w:rPr>
            </w:pPr>
            <w:r w:rsidRPr="00F9577A">
              <w:rPr>
                <w:rFonts w:ascii="Arial" w:eastAsia="Arial" w:hAnsi="Arial" w:cs="Arial"/>
                <w:szCs w:val="20"/>
                <w:lang w:val="ru-RU"/>
              </w:rPr>
              <w:lastRenderedPageBreak/>
              <w:t>В пенитенциарной системе не проводилась оценка численности целевых групп</w:t>
            </w:r>
            <w:r>
              <w:rPr>
                <w:rFonts w:ascii="Arial" w:eastAsia="Arial" w:hAnsi="Arial" w:cs="Arial"/>
                <w:szCs w:val="20"/>
                <w:lang w:val="ru-RU"/>
              </w:rPr>
              <w:t>, в то же время по информации СИН к концу 2022 года общее тюремное население составляло 6</w:t>
            </w:r>
            <w:r w:rsidR="007D24D9">
              <w:rPr>
                <w:rFonts w:ascii="Arial" w:eastAsia="Arial" w:hAnsi="Arial" w:cs="Arial"/>
                <w:szCs w:val="20"/>
                <w:lang w:val="ru-RU"/>
              </w:rPr>
              <w:t>,</w:t>
            </w:r>
            <w:r>
              <w:rPr>
                <w:rFonts w:ascii="Arial" w:eastAsia="Arial" w:hAnsi="Arial" w:cs="Arial"/>
                <w:szCs w:val="20"/>
                <w:lang w:val="ru-RU"/>
              </w:rPr>
              <w:t>800 человек, из них ЛУН оценивались в количестве</w:t>
            </w:r>
            <w:r w:rsidRPr="007D24D9">
              <w:rPr>
                <w:rFonts w:ascii="Arial" w:eastAsia="Arial" w:hAnsi="Arial" w:cs="Arial"/>
                <w:szCs w:val="20"/>
                <w:highlight w:val="yellow"/>
                <w:lang w:val="ru-RU"/>
              </w:rPr>
              <w:t>…</w:t>
            </w:r>
            <w:r>
              <w:rPr>
                <w:rFonts w:ascii="Arial" w:eastAsia="Arial" w:hAnsi="Arial" w:cs="Arial"/>
                <w:szCs w:val="20"/>
                <w:lang w:val="ru-RU"/>
              </w:rPr>
              <w:t xml:space="preserve">человек. ЛЖВ в ГСИН было </w:t>
            </w:r>
            <w:r w:rsidRPr="007D24D9">
              <w:rPr>
                <w:rFonts w:ascii="Arial" w:eastAsia="Arial" w:hAnsi="Arial" w:cs="Arial"/>
                <w:szCs w:val="20"/>
                <w:highlight w:val="yellow"/>
                <w:lang w:val="ru-RU"/>
              </w:rPr>
              <w:t>…</w:t>
            </w:r>
            <w:r>
              <w:rPr>
                <w:rFonts w:ascii="Arial" w:eastAsia="Arial" w:hAnsi="Arial" w:cs="Arial"/>
                <w:szCs w:val="20"/>
                <w:lang w:val="ru-RU"/>
              </w:rPr>
              <w:t xml:space="preserve">человек, из которых более 95% получали АРТ и </w:t>
            </w:r>
            <w:r w:rsidRPr="007D24D9">
              <w:rPr>
                <w:rFonts w:ascii="Arial" w:eastAsia="Arial" w:hAnsi="Arial" w:cs="Arial"/>
                <w:szCs w:val="20"/>
                <w:highlight w:val="yellow"/>
                <w:lang w:val="ru-RU"/>
              </w:rPr>
              <w:t>…</w:t>
            </w:r>
            <w:r>
              <w:rPr>
                <w:rFonts w:ascii="Arial" w:eastAsia="Arial" w:hAnsi="Arial" w:cs="Arial"/>
                <w:szCs w:val="20"/>
                <w:lang w:val="ru-RU"/>
              </w:rPr>
              <w:t xml:space="preserve">% имели вирусную супрессию. При этом, ежегодно более </w:t>
            </w:r>
            <w:r w:rsidRPr="002244F4">
              <w:rPr>
                <w:rFonts w:ascii="Arial" w:eastAsia="Arial" w:hAnsi="Arial" w:cs="Arial"/>
                <w:szCs w:val="20"/>
                <w:highlight w:val="yellow"/>
                <w:lang w:val="ru-RU"/>
              </w:rPr>
              <w:t>…</w:t>
            </w:r>
            <w:r>
              <w:rPr>
                <w:rFonts w:ascii="Arial" w:eastAsia="Arial" w:hAnsi="Arial" w:cs="Arial"/>
                <w:szCs w:val="20"/>
                <w:lang w:val="ru-RU"/>
              </w:rPr>
              <w:t xml:space="preserve">человек диагностируются с туберкулезом, не снижается количество обращений по поводу парентеральных гепатитов. </w:t>
            </w:r>
          </w:p>
          <w:p w14:paraId="309D8C3A" w14:textId="684DEC82" w:rsidR="00FC38CE" w:rsidRDefault="00FC38CE" w:rsidP="00F9577A">
            <w:pPr>
              <w:spacing w:line="264"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ru-RU"/>
              </w:rPr>
            </w:pPr>
            <w:r>
              <w:rPr>
                <w:rFonts w:ascii="Arial" w:eastAsia="Arial" w:hAnsi="Arial" w:cs="Arial"/>
                <w:szCs w:val="20"/>
                <w:lang w:val="ru-RU"/>
              </w:rPr>
              <w:t xml:space="preserve">При этом, определенная </w:t>
            </w:r>
            <w:r w:rsidR="002244F4">
              <w:rPr>
                <w:rFonts w:ascii="Arial" w:eastAsia="Arial" w:hAnsi="Arial" w:cs="Arial"/>
                <w:szCs w:val="20"/>
                <w:lang w:val="ru-RU"/>
              </w:rPr>
              <w:t>субкультура</w:t>
            </w:r>
            <w:r>
              <w:rPr>
                <w:rFonts w:ascii="Arial" w:eastAsia="Arial" w:hAnsi="Arial" w:cs="Arial"/>
                <w:szCs w:val="20"/>
                <w:lang w:val="ru-RU"/>
              </w:rPr>
              <w:t xml:space="preserve"> среди заключенных снижает мотивацию для участия в программах снижения вреда, в особенности в ПТАО. Количество медицинских работников в тюремных учреждениях ограничено, отмечается высокая текучесть кадров. Уже длительное время сами заключенные не вовлечены в программы в качестве волонтеров, социальных работников, что </w:t>
            </w:r>
            <w:r w:rsidR="002244F4">
              <w:rPr>
                <w:rFonts w:ascii="Arial" w:eastAsia="Arial" w:hAnsi="Arial" w:cs="Arial"/>
                <w:szCs w:val="20"/>
                <w:lang w:val="ru-RU"/>
              </w:rPr>
              <w:t>значительно снижает</w:t>
            </w:r>
            <w:r>
              <w:rPr>
                <w:rFonts w:ascii="Arial" w:eastAsia="Arial" w:hAnsi="Arial" w:cs="Arial"/>
                <w:szCs w:val="20"/>
                <w:lang w:val="ru-RU"/>
              </w:rPr>
              <w:t xml:space="preserve"> популяр</w:t>
            </w:r>
            <w:r w:rsidR="002244F4">
              <w:rPr>
                <w:rFonts w:ascii="Arial" w:eastAsia="Arial" w:hAnsi="Arial" w:cs="Arial"/>
                <w:szCs w:val="20"/>
                <w:lang w:val="ru-RU"/>
              </w:rPr>
              <w:t>ность</w:t>
            </w:r>
            <w:r>
              <w:rPr>
                <w:rFonts w:ascii="Arial" w:eastAsia="Arial" w:hAnsi="Arial" w:cs="Arial"/>
                <w:szCs w:val="20"/>
                <w:lang w:val="ru-RU"/>
              </w:rPr>
              <w:t xml:space="preserve"> программ среди заключенных. </w:t>
            </w:r>
          </w:p>
          <w:p w14:paraId="68D2FCC7" w14:textId="6808A5B3" w:rsidR="00FC38CE" w:rsidRDefault="00FC38CE" w:rsidP="00F9577A">
            <w:pPr>
              <w:spacing w:line="264"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ru-RU"/>
              </w:rPr>
            </w:pPr>
            <w:r>
              <w:rPr>
                <w:rFonts w:ascii="Arial" w:eastAsia="Arial" w:hAnsi="Arial" w:cs="Arial"/>
                <w:szCs w:val="20"/>
                <w:lang w:val="ru-RU"/>
              </w:rPr>
              <w:t>Услуги здравоохранения в пенитенциарной системе не входят в общегражданскую систему здравоохранения и финансируются отдельно, что в итоге приводит к тому, что здравоохранение финансируется по остаточному принципу, отмечается дефицит всего необходимого</w:t>
            </w:r>
            <w:r w:rsidR="002244F4">
              <w:rPr>
                <w:rFonts w:ascii="Arial" w:eastAsia="Arial" w:hAnsi="Arial" w:cs="Arial"/>
                <w:szCs w:val="20"/>
                <w:lang w:val="ru-RU"/>
              </w:rPr>
              <w:t xml:space="preserve"> (например</w:t>
            </w:r>
            <w:r>
              <w:rPr>
                <w:rFonts w:ascii="Arial" w:eastAsia="Arial" w:hAnsi="Arial" w:cs="Arial"/>
                <w:szCs w:val="20"/>
                <w:lang w:val="ru-RU"/>
              </w:rPr>
              <w:t>, заключенные вынуждены приобретать лекарства за собственные средства через родственников</w:t>
            </w:r>
            <w:r w:rsidR="002244F4">
              <w:rPr>
                <w:rFonts w:ascii="Arial" w:eastAsia="Arial" w:hAnsi="Arial" w:cs="Arial"/>
                <w:szCs w:val="20"/>
                <w:lang w:val="ru-RU"/>
              </w:rPr>
              <w:t>)</w:t>
            </w:r>
            <w:r>
              <w:rPr>
                <w:rFonts w:ascii="Arial" w:eastAsia="Arial" w:hAnsi="Arial" w:cs="Arial"/>
                <w:szCs w:val="20"/>
                <w:lang w:val="ru-RU"/>
              </w:rPr>
              <w:t xml:space="preserve">. </w:t>
            </w:r>
          </w:p>
          <w:p w14:paraId="658A9D59" w14:textId="6FCA895B" w:rsidR="00246DFA" w:rsidRPr="00933104" w:rsidRDefault="00FC38CE" w:rsidP="00933104">
            <w:pPr>
              <w:spacing w:line="264"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ru-RU"/>
              </w:rPr>
            </w:pPr>
            <w:r>
              <w:rPr>
                <w:rFonts w:ascii="Arial" w:eastAsia="Arial" w:hAnsi="Arial" w:cs="Arial"/>
                <w:szCs w:val="20"/>
                <w:lang w:val="ru-RU"/>
              </w:rPr>
              <w:t>Освобождающиеся заключенные с ВИЧ и ТБ теряются и не доходят до медицинских учреждений в гражданском секторе, система сопровождения возобновилась только в рамках текущего гранта ГФ. Многие освобождающиеся из заключения не имеют документов, удостоверяющих личность, что ограничивает доступ к услугам в связи с ВИЧ и ТБ,</w:t>
            </w:r>
            <w:r w:rsidR="00933104">
              <w:rPr>
                <w:rFonts w:ascii="Arial" w:eastAsia="Arial" w:hAnsi="Arial" w:cs="Arial"/>
                <w:szCs w:val="20"/>
                <w:lang w:val="ru-RU"/>
              </w:rPr>
              <w:t xml:space="preserve"> часть не имеет места </w:t>
            </w:r>
            <w:r>
              <w:rPr>
                <w:rFonts w:ascii="Arial" w:eastAsia="Arial" w:hAnsi="Arial" w:cs="Arial"/>
                <w:szCs w:val="20"/>
                <w:lang w:val="ru-RU"/>
              </w:rPr>
              <w:t>проживания</w:t>
            </w:r>
            <w:r w:rsidR="00933104">
              <w:rPr>
                <w:rFonts w:ascii="Arial" w:eastAsia="Arial" w:hAnsi="Arial" w:cs="Arial"/>
                <w:szCs w:val="20"/>
                <w:lang w:val="ru-RU"/>
              </w:rPr>
              <w:t xml:space="preserve"> и нуждается в адаптации к социальной среде.</w:t>
            </w:r>
          </w:p>
        </w:tc>
      </w:tr>
      <w:tr w:rsidR="00246DFA" w14:paraId="768A6203" w14:textId="77777777" w:rsidTr="00246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0BB404CB" w14:textId="77777777" w:rsidR="00246DFA" w:rsidRDefault="00246DFA" w:rsidP="00246DFA">
            <w:pPr>
              <w:pStyle w:val="a1"/>
            </w:pPr>
            <w:r>
              <w:rPr>
                <w:lang w:val="ru-RU"/>
              </w:rPr>
              <w:lastRenderedPageBreak/>
              <w:t>Запрашиваемая сумма</w:t>
            </w:r>
          </w:p>
        </w:tc>
        <w:tc>
          <w:tcPr>
            <w:tcW w:w="13025" w:type="dxa"/>
          </w:tcPr>
          <w:p w14:paraId="1428A68E" w14:textId="77777777" w:rsidR="00246DFA" w:rsidRPr="00621F12" w:rsidRDefault="00246DFA" w:rsidP="00246DFA">
            <w:pPr>
              <w:pStyle w:val="a1"/>
              <w:cnfStyle w:val="000000100000" w:firstRow="0" w:lastRow="0" w:firstColumn="0" w:lastColumn="0" w:oddVBand="0" w:evenVBand="0" w:oddHBand="1" w:evenHBand="0" w:firstRowFirstColumn="0" w:firstRowLastColumn="0" w:lastRowFirstColumn="0" w:lastRowLastColumn="0"/>
              <w:rPr>
                <w:sz w:val="22"/>
                <w:szCs w:val="20"/>
              </w:rPr>
            </w:pPr>
          </w:p>
        </w:tc>
      </w:tr>
      <w:tr w:rsidR="00246DFA" w14:paraId="726C5C4D" w14:textId="77777777" w:rsidTr="00246DFA">
        <w:tc>
          <w:tcPr>
            <w:cnfStyle w:val="001000000000" w:firstRow="0" w:lastRow="0" w:firstColumn="1" w:lastColumn="0" w:oddVBand="0" w:evenVBand="0" w:oddHBand="0" w:evenHBand="0" w:firstRowFirstColumn="0" w:firstRowLastColumn="0" w:lastRowFirstColumn="0" w:lastRowLastColumn="0"/>
            <w:tcW w:w="2138" w:type="dxa"/>
          </w:tcPr>
          <w:p w14:paraId="35DEF16B" w14:textId="77777777" w:rsidR="00246DFA" w:rsidRPr="00305993" w:rsidRDefault="00246DFA" w:rsidP="00246DFA">
            <w:pPr>
              <w:pStyle w:val="a1"/>
              <w:rPr>
                <w:color w:val="FF0000"/>
              </w:rPr>
            </w:pPr>
            <w:r w:rsidRPr="005A67CC">
              <w:rPr>
                <w:lang w:val="ru-RU"/>
              </w:rPr>
              <w:t>Ожидаемый результат</w:t>
            </w:r>
          </w:p>
        </w:tc>
        <w:tc>
          <w:tcPr>
            <w:tcW w:w="13025" w:type="dxa"/>
          </w:tcPr>
          <w:p w14:paraId="44E0781A" w14:textId="77777777" w:rsidR="00246DFA" w:rsidRPr="00621F12" w:rsidRDefault="00246DFA" w:rsidP="00246DFA">
            <w:pPr>
              <w:pStyle w:val="a1"/>
              <w:cnfStyle w:val="000000000000" w:firstRow="0" w:lastRow="0" w:firstColumn="0" w:lastColumn="0" w:oddVBand="0" w:evenVBand="0" w:oddHBand="0" w:evenHBand="0" w:firstRowFirstColumn="0" w:firstRowLastColumn="0" w:lastRowFirstColumn="0" w:lastRowLastColumn="0"/>
              <w:rPr>
                <w:sz w:val="22"/>
                <w:szCs w:val="20"/>
              </w:rPr>
            </w:pPr>
          </w:p>
        </w:tc>
      </w:tr>
    </w:tbl>
    <w:p w14:paraId="24B3A143" w14:textId="11ED3BC2" w:rsidR="00367B0F" w:rsidRDefault="00367B0F" w:rsidP="007E2465">
      <w:pPr>
        <w:pStyle w:val="a1"/>
        <w:rPr>
          <w:i/>
          <w:iCs/>
          <w:lang w:val="ru-RU"/>
        </w:rPr>
      </w:pPr>
    </w:p>
    <w:p w14:paraId="6F6B96A7" w14:textId="7575D906" w:rsidR="00460D0E" w:rsidRDefault="00367B0F">
      <w:pPr>
        <w:spacing w:after="200"/>
        <w:rPr>
          <w:i/>
          <w:iCs/>
          <w:sz w:val="24"/>
          <w:lang w:val="ru-RU"/>
        </w:rPr>
      </w:pPr>
      <w:r>
        <w:rPr>
          <w:i/>
          <w:iCs/>
          <w:lang w:val="ru-RU"/>
        </w:rPr>
        <w:br w:type="page"/>
      </w:r>
    </w:p>
    <w:tbl>
      <w:tblPr>
        <w:tblStyle w:val="110"/>
        <w:tblpPr w:leftFromText="181" w:rightFromText="181" w:vertAnchor="page" w:horzAnchor="margin" w:tblpY="892"/>
        <w:tblW w:w="15163" w:type="dxa"/>
        <w:tblLook w:val="04A0" w:firstRow="1" w:lastRow="0" w:firstColumn="1" w:lastColumn="0" w:noHBand="0" w:noVBand="1"/>
      </w:tblPr>
      <w:tblGrid>
        <w:gridCol w:w="2138"/>
        <w:gridCol w:w="13025"/>
      </w:tblGrid>
      <w:tr w:rsidR="00460D0E" w:rsidRPr="00AC00FB" w14:paraId="2C865907" w14:textId="77777777" w:rsidTr="00460D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4325BE9B" w14:textId="484232B8" w:rsidR="00460D0E" w:rsidRPr="000B517D" w:rsidRDefault="00460D0E" w:rsidP="00460D0E">
            <w:pPr>
              <w:pStyle w:val="a1"/>
              <w:rPr>
                <w:lang w:val="ru-RU"/>
              </w:rPr>
            </w:pPr>
            <w:r>
              <w:rPr>
                <w:lang w:val="ru-RU"/>
              </w:rPr>
              <w:lastRenderedPageBreak/>
              <w:t>Модуль №</w:t>
            </w:r>
            <w:r>
              <w:t xml:space="preserve"> </w:t>
            </w:r>
            <w:r w:rsidR="00540290" w:rsidRPr="005A67CC">
              <w:rPr>
                <w:lang w:val="ru-RU"/>
              </w:rPr>
              <w:t>9</w:t>
            </w:r>
          </w:p>
        </w:tc>
        <w:tc>
          <w:tcPr>
            <w:tcW w:w="13025" w:type="dxa"/>
          </w:tcPr>
          <w:p w14:paraId="1A0E2AA2" w14:textId="77777777" w:rsidR="00460D0E" w:rsidRPr="002C2CA8" w:rsidRDefault="00460D0E" w:rsidP="00460D0E">
            <w:pPr>
              <w:jc w:val="both"/>
              <w:cnfStyle w:val="100000000000" w:firstRow="1" w:lastRow="0" w:firstColumn="0" w:lastColumn="0" w:oddVBand="0" w:evenVBand="0" w:oddHBand="0" w:evenHBand="0" w:firstRowFirstColumn="0" w:firstRowLastColumn="0" w:lastRowFirstColumn="0" w:lastRowLastColumn="0"/>
              <w:rPr>
                <w:sz w:val="24"/>
                <w:szCs w:val="24"/>
              </w:rPr>
            </w:pPr>
            <w:r w:rsidRPr="00582227">
              <w:rPr>
                <w:sz w:val="24"/>
                <w:szCs w:val="24"/>
              </w:rPr>
              <w:t>Дифференцированное тестирование на ВИЧ</w:t>
            </w:r>
          </w:p>
        </w:tc>
      </w:tr>
      <w:tr w:rsidR="00460D0E" w:rsidRPr="00A26916" w14:paraId="1DFFC93E" w14:textId="77777777" w:rsidTr="00460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391222A8" w14:textId="3F51451B" w:rsidR="00460D0E" w:rsidRDefault="00EC645B" w:rsidP="00460D0E">
            <w:pPr>
              <w:pStyle w:val="a1"/>
            </w:pPr>
            <w:r>
              <w:rPr>
                <w:lang w:val="ru-RU"/>
              </w:rPr>
              <w:t>Вмешательства</w:t>
            </w:r>
          </w:p>
        </w:tc>
        <w:tc>
          <w:tcPr>
            <w:tcW w:w="13025" w:type="dxa"/>
          </w:tcPr>
          <w:p w14:paraId="5B35A153" w14:textId="0C61B568" w:rsidR="006A2C5B" w:rsidRDefault="00A30343" w:rsidP="00A30343">
            <w:pPr>
              <w:jc w:val="both"/>
              <w:cnfStyle w:val="000000100000" w:firstRow="0" w:lastRow="0" w:firstColumn="0" w:lastColumn="0" w:oddVBand="0" w:evenVBand="0" w:oddHBand="1" w:evenHBand="0" w:firstRowFirstColumn="0" w:firstRowLastColumn="0" w:lastRowFirstColumn="0" w:lastRowLastColumn="0"/>
              <w:rPr>
                <w:bCs/>
                <w:lang w:val="ru-RU"/>
              </w:rPr>
            </w:pPr>
            <w:r w:rsidRPr="0081241C">
              <w:rPr>
                <w:bCs/>
                <w:lang w:val="ru-RU"/>
              </w:rPr>
              <w:t xml:space="preserve">Тестированием на ВИЧ будет охвачено </w:t>
            </w:r>
            <w:r w:rsidRPr="0023526B">
              <w:rPr>
                <w:bCs/>
                <w:lang w:val="ru-RU"/>
              </w:rPr>
              <w:t>90-95%</w:t>
            </w:r>
            <w:r w:rsidR="000D583E">
              <w:rPr>
                <w:bCs/>
                <w:lang w:val="ru-RU"/>
              </w:rPr>
              <w:t xml:space="preserve"> лиц из</w:t>
            </w:r>
            <w:r w:rsidRPr="0081241C">
              <w:rPr>
                <w:bCs/>
                <w:lang w:val="ru-RU"/>
              </w:rPr>
              <w:t xml:space="preserve"> КГН, </w:t>
            </w:r>
            <w:r w:rsidR="000D583E">
              <w:rPr>
                <w:bCs/>
                <w:lang w:val="ru-RU"/>
              </w:rPr>
              <w:t>охваченных профилактическими программами</w:t>
            </w:r>
            <w:r w:rsidR="006A2C5B">
              <w:rPr>
                <w:bCs/>
                <w:lang w:val="ru-RU"/>
              </w:rPr>
              <w:t xml:space="preserve">. </w:t>
            </w:r>
            <w:r w:rsidR="006A2C5B" w:rsidRPr="006A2C5B">
              <w:rPr>
                <w:bCs/>
                <w:lang w:val="ru-RU"/>
              </w:rPr>
              <w:t>Будут продолжены программы тестирования на базе неправительственн</w:t>
            </w:r>
            <w:r w:rsidR="006A2C5B">
              <w:rPr>
                <w:bCs/>
                <w:lang w:val="ru-RU"/>
              </w:rPr>
              <w:t>ых организаций с использованием тестов по слюне и капле крови, для обеспечения доступа в новые группы КГ (молодые ЛУН, СР, МСМ, потребители новых наркотиков) будут внедрены подходы онлайн консультирования и получения тестов через тестоматы с разработкой механизмов сообщения о результате и последующего сопровождения в случае позитивного теста.</w:t>
            </w:r>
          </w:p>
          <w:p w14:paraId="6D765113" w14:textId="54B713AD" w:rsidR="00A30343" w:rsidRDefault="006A2C5B" w:rsidP="00A30343">
            <w:pPr>
              <w:jc w:val="both"/>
              <w:cnfStyle w:val="000000100000" w:firstRow="0" w:lastRow="0" w:firstColumn="0" w:lastColumn="0" w:oddVBand="0" w:evenVBand="0" w:oddHBand="1" w:evenHBand="0" w:firstRowFirstColumn="0" w:firstRowLastColumn="0" w:lastRowFirstColumn="0" w:lastRowLastColumn="0"/>
              <w:rPr>
                <w:bCs/>
                <w:lang w:val="ru-RU"/>
              </w:rPr>
            </w:pPr>
            <w:r>
              <w:rPr>
                <w:bCs/>
                <w:lang w:val="ru-RU"/>
              </w:rPr>
              <w:t>Продолжится тестирование среди групп</w:t>
            </w:r>
            <w:r w:rsidRPr="006A2C5B">
              <w:rPr>
                <w:bCs/>
                <w:lang w:val="ru-RU"/>
              </w:rPr>
              <w:t>, подверженных высокому риску инфицирования ВИЧ</w:t>
            </w:r>
            <w:r>
              <w:rPr>
                <w:bCs/>
                <w:lang w:val="ru-RU"/>
              </w:rPr>
              <w:t xml:space="preserve"> и предусмотренных </w:t>
            </w:r>
            <w:r w:rsidRPr="006A2C5B">
              <w:rPr>
                <w:bCs/>
                <w:lang w:val="ru-RU"/>
              </w:rPr>
              <w:t xml:space="preserve"> </w:t>
            </w:r>
            <w:r w:rsidRPr="006A2C5B">
              <w:rPr>
                <w:lang w:val="ru-RU"/>
              </w:rPr>
              <w:t xml:space="preserve"> </w:t>
            </w:r>
            <w:r w:rsidRPr="006A2C5B">
              <w:rPr>
                <w:bCs/>
                <w:lang w:val="ru-RU"/>
              </w:rPr>
              <w:t>национальным протоколом тестирования на ВИЧ</w:t>
            </w:r>
            <w:r>
              <w:rPr>
                <w:bCs/>
                <w:lang w:val="ru-RU"/>
              </w:rPr>
              <w:t xml:space="preserve">, </w:t>
            </w:r>
            <w:r w:rsidR="00A30343" w:rsidRPr="0081241C">
              <w:rPr>
                <w:bCs/>
                <w:lang w:val="ru-RU"/>
              </w:rPr>
              <w:t>в</w:t>
            </w:r>
            <w:r>
              <w:rPr>
                <w:bCs/>
                <w:lang w:val="ru-RU"/>
              </w:rPr>
              <w:t>ключая партнеров ЛЖВ, мигрантов, в местах лишения свободы.</w:t>
            </w:r>
          </w:p>
          <w:p w14:paraId="288868AE" w14:textId="5A0AF6FE" w:rsidR="00A30343" w:rsidRPr="00787EA7" w:rsidRDefault="00A30343" w:rsidP="00A30343">
            <w:pPr>
              <w:jc w:val="both"/>
              <w:cnfStyle w:val="000000100000" w:firstRow="0" w:lastRow="0" w:firstColumn="0" w:lastColumn="0" w:oddVBand="0" w:evenVBand="0" w:oddHBand="1" w:evenHBand="0" w:firstRowFirstColumn="0" w:firstRowLastColumn="0" w:lastRowFirstColumn="0" w:lastRowLastColumn="0"/>
              <w:rPr>
                <w:lang w:val="ru-RU"/>
              </w:rPr>
            </w:pPr>
            <w:r w:rsidRPr="00154934">
              <w:rPr>
                <w:lang w:val="ru-RU"/>
              </w:rPr>
              <w:t xml:space="preserve">Поздняя диагностика ВИЧ-инфекции остается одной из главных проблем в </w:t>
            </w:r>
            <w:r>
              <w:rPr>
                <w:lang w:val="ru-RU"/>
              </w:rPr>
              <w:t>стране</w:t>
            </w:r>
            <w:r w:rsidRPr="00154934">
              <w:rPr>
                <w:lang w:val="ru-RU"/>
              </w:rPr>
              <w:t xml:space="preserve">, более чем </w:t>
            </w:r>
            <w:r w:rsidR="00E2337F">
              <w:rPr>
                <w:lang w:val="ru-RU"/>
              </w:rPr>
              <w:t xml:space="preserve">в </w:t>
            </w:r>
            <w:r w:rsidRPr="00154934">
              <w:rPr>
                <w:lang w:val="ru-RU"/>
              </w:rPr>
              <w:t xml:space="preserve">50% новых случаев ВИЧ диагноз ставится при уровне СД4 менее 350. </w:t>
            </w:r>
            <w:r w:rsidRPr="00787EA7">
              <w:rPr>
                <w:lang w:val="ru-RU"/>
              </w:rPr>
              <w:t>В 2022 году были проведены мероприятия по расширению программы экспресс-тестирования среди пациентов с ИППП</w:t>
            </w:r>
            <w:r>
              <w:rPr>
                <w:lang w:val="ru-RU"/>
              </w:rPr>
              <w:t xml:space="preserve"> и на уровне стационаров по</w:t>
            </w:r>
            <w:r w:rsidRPr="00154934">
              <w:rPr>
                <w:lang w:val="ru-RU"/>
              </w:rPr>
              <w:t xml:space="preserve"> СПИД-индикаторным показаниям</w:t>
            </w:r>
            <w:r w:rsidRPr="00787EA7">
              <w:rPr>
                <w:lang w:val="ru-RU"/>
              </w:rPr>
              <w:t xml:space="preserve">, </w:t>
            </w:r>
            <w:r>
              <w:rPr>
                <w:lang w:val="ru-RU"/>
              </w:rPr>
              <w:t>где</w:t>
            </w:r>
            <w:r w:rsidRPr="00787EA7">
              <w:rPr>
                <w:lang w:val="ru-RU"/>
              </w:rPr>
              <w:t xml:space="preserve"> частота регистрации новых случаев ВИЧ достигла </w:t>
            </w:r>
            <w:r>
              <w:rPr>
                <w:lang w:val="ru-RU"/>
              </w:rPr>
              <w:t xml:space="preserve">более </w:t>
            </w:r>
            <w:r w:rsidRPr="00787EA7">
              <w:rPr>
                <w:lang w:val="ru-RU"/>
              </w:rPr>
              <w:t>1%.</w:t>
            </w:r>
            <w:r>
              <w:rPr>
                <w:lang w:val="ru-RU"/>
              </w:rPr>
              <w:t xml:space="preserve"> </w:t>
            </w:r>
            <w:r w:rsidRPr="00C027B4">
              <w:rPr>
                <w:b/>
                <w:bCs/>
                <w:lang w:val="ru-RU"/>
              </w:rPr>
              <w:t xml:space="preserve">Будут продолжены мероприятия среди этой группы населения, включая интеграцию экспресс-тестирования по капиллярной крови на ВИЧ в услуги в области СРЗ и ИППП на уровне ПСМП </w:t>
            </w:r>
            <w:r w:rsidRPr="007E6536">
              <w:rPr>
                <w:lang w:val="ru-RU"/>
              </w:rPr>
              <w:t>в целях обеспечения доступа к тестированию лиц, ранее не охваченных профилактическими программами</w:t>
            </w:r>
            <w:r w:rsidRPr="00787EA7">
              <w:rPr>
                <w:lang w:val="ru-RU"/>
              </w:rPr>
              <w:t>.</w:t>
            </w:r>
            <w:r>
              <w:rPr>
                <w:lang w:val="ru-RU"/>
              </w:rPr>
              <w:t xml:space="preserve"> </w:t>
            </w:r>
            <w:r w:rsidRPr="00E44502">
              <w:rPr>
                <w:b/>
                <w:bCs/>
                <w:lang w:val="ru-RU"/>
              </w:rPr>
              <w:t>Усилится вовлеченность службы по ИППП к программам профилактики и тестирования в связи с ВИЧ по всей стране</w:t>
            </w:r>
            <w:r w:rsidRPr="0095446C">
              <w:rPr>
                <w:b/>
                <w:bCs/>
                <w:lang w:val="ru-RU"/>
              </w:rPr>
              <w:t>. Будут</w:t>
            </w:r>
            <w:r w:rsidRPr="0095446C">
              <w:rPr>
                <w:rFonts w:eastAsiaTheme="minorEastAsia" w:hAnsi="Calibri"/>
                <w:b/>
                <w:bCs/>
                <w:color w:val="000000" w:themeColor="dark1"/>
                <w:kern w:val="24"/>
                <w:sz w:val="28"/>
                <w:szCs w:val="28"/>
                <w:lang w:val="ru-RU"/>
              </w:rPr>
              <w:t xml:space="preserve"> </w:t>
            </w:r>
            <w:r w:rsidRPr="0095446C">
              <w:rPr>
                <w:b/>
                <w:bCs/>
                <w:lang w:val="ru-RU"/>
              </w:rPr>
              <w:t>пересмотрены действующие национальные стратегии тестирования</w:t>
            </w:r>
            <w:r>
              <w:rPr>
                <w:b/>
                <w:bCs/>
                <w:lang w:val="ru-RU"/>
              </w:rPr>
              <w:t xml:space="preserve">. </w:t>
            </w:r>
            <w:r w:rsidRPr="0045359D">
              <w:rPr>
                <w:b/>
                <w:bCs/>
                <w:lang w:val="ru-RU"/>
              </w:rPr>
              <w:t>Также будут предусмотрены механизмы «оплаты за результат» для специалистов медицинских</w:t>
            </w:r>
            <w:r>
              <w:rPr>
                <w:b/>
                <w:bCs/>
                <w:lang w:val="ru-RU"/>
              </w:rPr>
              <w:t xml:space="preserve"> и общественных организаций</w:t>
            </w:r>
            <w:r w:rsidRPr="0045359D">
              <w:rPr>
                <w:b/>
                <w:bCs/>
                <w:lang w:val="ru-RU"/>
              </w:rPr>
              <w:t xml:space="preserve">, вовлеченных в предоставление услуг </w:t>
            </w:r>
            <w:r>
              <w:rPr>
                <w:b/>
                <w:bCs/>
                <w:lang w:val="ru-RU"/>
              </w:rPr>
              <w:t>тестирования</w:t>
            </w:r>
            <w:r w:rsidRPr="0045359D">
              <w:rPr>
                <w:b/>
                <w:bCs/>
                <w:lang w:val="ru-RU"/>
              </w:rPr>
              <w:t xml:space="preserve"> ВИЧ.</w:t>
            </w:r>
            <w:r w:rsidRPr="0045359D">
              <w:rPr>
                <w:sz w:val="20"/>
                <w:lang w:val="ru-RU"/>
              </w:rPr>
              <w:t xml:space="preserve"> </w:t>
            </w:r>
          </w:p>
          <w:p w14:paraId="1424B116" w14:textId="1DEDD13D" w:rsidR="00A30343" w:rsidRPr="00787EA7" w:rsidRDefault="00A30343" w:rsidP="00A30343">
            <w:pPr>
              <w:jc w:val="both"/>
              <w:cnfStyle w:val="000000100000" w:firstRow="0" w:lastRow="0" w:firstColumn="0" w:lastColumn="0" w:oddVBand="0" w:evenVBand="0" w:oddHBand="1" w:evenHBand="0" w:firstRowFirstColumn="0" w:firstRowLastColumn="0" w:lastRowFirstColumn="0" w:lastRowLastColumn="0"/>
              <w:rPr>
                <w:lang w:val="ru-RU"/>
              </w:rPr>
            </w:pPr>
            <w:r>
              <w:rPr>
                <w:lang w:val="ru-RU"/>
              </w:rPr>
              <w:t xml:space="preserve">С 2021 года внедряется программа по </w:t>
            </w:r>
            <w:r w:rsidRPr="00787EA7">
              <w:rPr>
                <w:lang w:val="ru-RU"/>
              </w:rPr>
              <w:t>самотестировани</w:t>
            </w:r>
            <w:r>
              <w:rPr>
                <w:lang w:val="ru-RU"/>
              </w:rPr>
              <w:t>ю</w:t>
            </w:r>
            <w:r w:rsidR="00AF22CF">
              <w:rPr>
                <w:lang w:val="ru-RU"/>
              </w:rPr>
              <w:t xml:space="preserve"> на ВИЧ, которая</w:t>
            </w:r>
            <w:bookmarkStart w:id="3" w:name="_GoBack"/>
            <w:bookmarkEnd w:id="3"/>
            <w:r w:rsidRPr="00787EA7">
              <w:rPr>
                <w:lang w:val="ru-RU"/>
              </w:rPr>
              <w:t xml:space="preserve"> требует интенсивного развития. </w:t>
            </w:r>
            <w:r w:rsidRPr="00E2337F">
              <w:rPr>
                <w:lang w:val="ru-RU"/>
              </w:rPr>
              <w:t>Услуги самотестирования и сопровождаемого самотестирования на ВИЧ станут доступны для более широкого круга уязвимых групп населения. Для этого, в первую очередь, будут реализованы</w:t>
            </w:r>
            <w:r w:rsidRPr="00C027B4">
              <w:rPr>
                <w:b/>
                <w:bCs/>
                <w:lang w:val="ru-RU"/>
              </w:rPr>
              <w:t xml:space="preserve"> мероприятия по популяризации услуг тестирования и самотестирования (информационные кампании с привлечением СМИ, таргетирование и использование социальных сетей, кампании по тестированию в местах скопления лиц, имеющих повышенный риск инфицирования)</w:t>
            </w:r>
            <w:r w:rsidRPr="00787EA7">
              <w:rPr>
                <w:lang w:val="ru-RU"/>
              </w:rPr>
              <w:t xml:space="preserve">. </w:t>
            </w:r>
          </w:p>
          <w:p w14:paraId="5EAA4340" w14:textId="42BA45F9" w:rsidR="00A30343" w:rsidRDefault="00A30343" w:rsidP="00A30343">
            <w:pPr>
              <w:jc w:val="both"/>
              <w:cnfStyle w:val="000000100000" w:firstRow="0" w:lastRow="0" w:firstColumn="0" w:lastColumn="0" w:oddVBand="0" w:evenVBand="0" w:oddHBand="1" w:evenHBand="0" w:firstRowFirstColumn="0" w:firstRowLastColumn="0" w:lastRowFirstColumn="0" w:lastRowLastColumn="0"/>
              <w:rPr>
                <w:lang w:val="ru-RU"/>
              </w:rPr>
            </w:pPr>
            <w:r w:rsidRPr="007E6536">
              <w:rPr>
                <w:lang w:val="ru-RU"/>
              </w:rPr>
              <w:t xml:space="preserve">Для улучшения связи программы тестирования с лечением, по всей стране </w:t>
            </w:r>
            <w:r w:rsidRPr="00C027B4">
              <w:rPr>
                <w:b/>
                <w:bCs/>
                <w:lang w:val="ru-RU"/>
              </w:rPr>
              <w:t>будет внедрен и реализован механизм оффлайн/онлайн сопровождения лиц с положительным результатом тестирования на ВИЧ в программу лечения и ухода</w:t>
            </w:r>
            <w:r w:rsidRPr="00787EA7">
              <w:rPr>
                <w:lang w:val="ru-RU"/>
              </w:rPr>
              <w:t xml:space="preserve">.  </w:t>
            </w:r>
          </w:p>
          <w:p w14:paraId="7F1B48C8" w14:textId="4796B2CB" w:rsidR="00EC5992" w:rsidRPr="00787EA7" w:rsidRDefault="00EC5992" w:rsidP="00A30343">
            <w:pPr>
              <w:jc w:val="both"/>
              <w:cnfStyle w:val="000000100000" w:firstRow="0" w:lastRow="0" w:firstColumn="0" w:lastColumn="0" w:oddVBand="0" w:evenVBand="0" w:oddHBand="1" w:evenHBand="0" w:firstRowFirstColumn="0" w:firstRowLastColumn="0" w:lastRowFirstColumn="0" w:lastRowLastColumn="0"/>
              <w:rPr>
                <w:lang w:val="ru-RU"/>
              </w:rPr>
            </w:pPr>
            <w:r w:rsidRPr="00EC5992">
              <w:rPr>
                <w:lang w:val="ru-RU"/>
              </w:rPr>
              <w:t>К сожалению, информация о путях передачи, собираемая в ходе рутинного эпиднадзора, является не всегда точной. Это часто приводит к занижению сведений о стигматизированных поведенческих практиках, например, связанных с ЛУН и МСМ, и завышению сведений о гетеросексуальных путях передачи ВИЧ. По этим вопросам будут проведены обучения эпидемиологов по пересмотренным формам уведомления о случаях ВИЧ, особенно раздела оценки риска ВИЧ.</w:t>
            </w:r>
          </w:p>
          <w:p w14:paraId="44E2D92C" w14:textId="17FFE2EC" w:rsidR="00A30343" w:rsidRPr="00C027B4" w:rsidRDefault="00A30343" w:rsidP="00A30343">
            <w:pPr>
              <w:jc w:val="both"/>
              <w:cnfStyle w:val="000000100000" w:firstRow="0" w:lastRow="0" w:firstColumn="0" w:lastColumn="0" w:oddVBand="0" w:evenVBand="0" w:oddHBand="1" w:evenHBand="0" w:firstRowFirstColumn="0" w:firstRowLastColumn="0" w:lastRowFirstColumn="0" w:lastRowLastColumn="0"/>
              <w:rPr>
                <w:b/>
                <w:bCs/>
                <w:lang w:val="ru-RU"/>
              </w:rPr>
            </w:pPr>
            <w:r w:rsidRPr="00C027B4">
              <w:rPr>
                <w:lang w:val="ru-RU"/>
              </w:rPr>
              <w:lastRenderedPageBreak/>
              <w:t>Без эффективно работающей системы контроля качества невозможно быть уверенным в соответствии результатов исследований установленным нормам аналитической точности</w:t>
            </w:r>
            <w:r>
              <w:rPr>
                <w:lang w:val="ru-RU"/>
              </w:rPr>
              <w:t xml:space="preserve">. </w:t>
            </w:r>
            <w:r w:rsidRPr="00C027B4">
              <w:rPr>
                <w:lang w:val="ru-RU"/>
              </w:rPr>
              <w:t xml:space="preserve">Внешняя оценка качества (национальная и международная) — это система объективной оценки результатов исследований, проводимых в разных лабораториях с целью обеспечения сравнимости данных. </w:t>
            </w:r>
            <w:r w:rsidRPr="00C027B4">
              <w:rPr>
                <w:b/>
                <w:bCs/>
                <w:lang w:val="ru-RU"/>
              </w:rPr>
              <w:t xml:space="preserve">Для поддержания услуг тестирования на высоком уровне будет проводиться </w:t>
            </w:r>
            <w:r w:rsidRPr="00154934">
              <w:rPr>
                <w:b/>
                <w:bCs/>
                <w:lang w:val="ru-RU"/>
              </w:rPr>
              <w:t>внешн</w:t>
            </w:r>
            <w:r>
              <w:rPr>
                <w:b/>
                <w:bCs/>
                <w:lang w:val="ru-RU"/>
              </w:rPr>
              <w:t xml:space="preserve">яя </w:t>
            </w:r>
            <w:r w:rsidRPr="00154934">
              <w:rPr>
                <w:b/>
                <w:bCs/>
                <w:lang w:val="ru-RU"/>
              </w:rPr>
              <w:t>оценк</w:t>
            </w:r>
            <w:r>
              <w:rPr>
                <w:b/>
                <w:bCs/>
                <w:lang w:val="ru-RU"/>
              </w:rPr>
              <w:t>а</w:t>
            </w:r>
            <w:r w:rsidRPr="00154934">
              <w:rPr>
                <w:b/>
                <w:bCs/>
                <w:lang w:val="ru-RU"/>
              </w:rPr>
              <w:t xml:space="preserve"> качества лабораторных исследований сертифицированными специалистами</w:t>
            </w:r>
            <w:r>
              <w:rPr>
                <w:b/>
                <w:bCs/>
                <w:lang w:val="ru-RU"/>
              </w:rPr>
              <w:t xml:space="preserve"> и </w:t>
            </w:r>
            <w:r w:rsidRPr="00154934">
              <w:rPr>
                <w:b/>
                <w:bCs/>
                <w:lang w:val="ru-RU"/>
              </w:rPr>
              <w:t>сервисное обслуживание лабораторного оборудования.</w:t>
            </w:r>
            <w:r>
              <w:rPr>
                <w:b/>
                <w:bCs/>
                <w:lang w:val="ru-RU"/>
              </w:rPr>
              <w:t xml:space="preserve"> </w:t>
            </w:r>
            <w:r w:rsidRPr="00787EA7">
              <w:rPr>
                <w:lang w:val="ru-RU"/>
              </w:rPr>
              <w:t xml:space="preserve">Еще одним важнейшим направлением, которое позволит реализовывать услуги тестирования гарантированного качества, станет повышение потенциала лабораторий диагностики ВИЧ. </w:t>
            </w:r>
            <w:r w:rsidRPr="00C027B4">
              <w:rPr>
                <w:b/>
                <w:bCs/>
                <w:lang w:val="ru-RU"/>
              </w:rPr>
              <w:t>Для обеспечения качества услуг, которое соответствует международным стандартам, будет осуществлена подготовка и проведение аккредитации лабораторий диагностики ВИЧ (Ошского, Ысык-Кульского, Нарынского, Жалал-Абадского, Бишкекского центров КГВГиВИЧ и РЦКГВГиВИЧ), в соответствии с ISO15189, включая перепрофилирование/ремонт помещений в соответствии со стандартами и обновление лабораторного оборудования. Сотрудники лабораторий будут обучены в области совершенствования системы менеджмента качества</w:t>
            </w:r>
            <w:r>
              <w:rPr>
                <w:b/>
                <w:bCs/>
                <w:lang w:val="ru-RU"/>
              </w:rPr>
              <w:t xml:space="preserve"> лабораторных исследований</w:t>
            </w:r>
            <w:r w:rsidRPr="00C027B4">
              <w:rPr>
                <w:b/>
                <w:bCs/>
                <w:lang w:val="ru-RU"/>
              </w:rPr>
              <w:t>.</w:t>
            </w:r>
          </w:p>
          <w:p w14:paraId="4671FCE5" w14:textId="4DB24E8A" w:rsidR="001C2192" w:rsidRPr="001C2192" w:rsidRDefault="00A30343" w:rsidP="00A30343">
            <w:pPr>
              <w:jc w:val="both"/>
              <w:cnfStyle w:val="000000100000" w:firstRow="0" w:lastRow="0" w:firstColumn="0" w:lastColumn="0" w:oddVBand="0" w:evenVBand="0" w:oddHBand="1" w:evenHBand="0" w:firstRowFirstColumn="0" w:firstRowLastColumn="0" w:lastRowFirstColumn="0" w:lastRowLastColumn="0"/>
              <w:rPr>
                <w:lang w:val="ru-RU"/>
              </w:rPr>
            </w:pPr>
            <w:r w:rsidRPr="00787EA7">
              <w:rPr>
                <w:lang w:val="ru-RU"/>
              </w:rPr>
              <w:t>Для более эффективного использования ресурсов будут реализованы механизмы по расширению совместного использования платформ G-Xpert для программ ВИЧ, ТБ, COVID-19 и вирусных гепатитов.</w:t>
            </w:r>
          </w:p>
        </w:tc>
      </w:tr>
      <w:tr w:rsidR="00460D0E" w:rsidRPr="00A26916" w14:paraId="36882B38" w14:textId="77777777" w:rsidTr="00460D0E">
        <w:tc>
          <w:tcPr>
            <w:cnfStyle w:val="001000000000" w:firstRow="0" w:lastRow="0" w:firstColumn="1" w:lastColumn="0" w:oddVBand="0" w:evenVBand="0" w:oddHBand="0" w:evenHBand="0" w:firstRowFirstColumn="0" w:firstRowLastColumn="0" w:lastRowFirstColumn="0" w:lastRowLastColumn="0"/>
            <w:tcW w:w="2138" w:type="dxa"/>
          </w:tcPr>
          <w:p w14:paraId="78D80026" w14:textId="77777777" w:rsidR="00460D0E" w:rsidRPr="008B08A2" w:rsidRDefault="00460D0E" w:rsidP="00460D0E">
            <w:pPr>
              <w:pStyle w:val="a1"/>
              <w:rPr>
                <w:lang w:val="ru-RU"/>
              </w:rPr>
            </w:pPr>
            <w:r>
              <w:rPr>
                <w:lang w:val="ru-RU"/>
              </w:rPr>
              <w:lastRenderedPageBreak/>
              <w:t>Население</w:t>
            </w:r>
            <w:r w:rsidRPr="008B08A2">
              <w:rPr>
                <w:lang w:val="ru-RU"/>
              </w:rPr>
              <w:t xml:space="preserve">, </w:t>
            </w:r>
            <w:r>
              <w:rPr>
                <w:lang w:val="ru-RU"/>
              </w:rPr>
              <w:t>территории</w:t>
            </w:r>
            <w:r w:rsidRPr="008B08A2">
              <w:rPr>
                <w:lang w:val="ru-RU"/>
              </w:rPr>
              <w:t xml:space="preserve"> </w:t>
            </w:r>
            <w:r>
              <w:rPr>
                <w:lang w:val="ru-RU"/>
              </w:rPr>
              <w:t>и</w:t>
            </w:r>
            <w:r w:rsidRPr="008B08A2">
              <w:rPr>
                <w:lang w:val="ru-RU"/>
              </w:rPr>
              <w:t>/</w:t>
            </w:r>
            <w:r>
              <w:rPr>
                <w:lang w:val="ru-RU"/>
              </w:rPr>
              <w:t>или</w:t>
            </w:r>
            <w:r w:rsidRPr="008B08A2">
              <w:rPr>
                <w:lang w:val="ru-RU"/>
              </w:rPr>
              <w:t xml:space="preserve"> </w:t>
            </w:r>
            <w:r>
              <w:rPr>
                <w:lang w:val="ru-RU"/>
              </w:rPr>
              <w:t>барьеры</w:t>
            </w:r>
            <w:r w:rsidRPr="008B08A2">
              <w:rPr>
                <w:lang w:val="ru-RU"/>
              </w:rPr>
              <w:t xml:space="preserve">, </w:t>
            </w:r>
            <w:r>
              <w:rPr>
                <w:lang w:val="ru-RU"/>
              </w:rPr>
              <w:t>на</w:t>
            </w:r>
            <w:r w:rsidRPr="008B08A2">
              <w:rPr>
                <w:lang w:val="ru-RU"/>
              </w:rPr>
              <w:t xml:space="preserve"> </w:t>
            </w:r>
            <w:r>
              <w:rPr>
                <w:lang w:val="ru-RU"/>
              </w:rPr>
              <w:t>которые направлена деятельность</w:t>
            </w:r>
          </w:p>
        </w:tc>
        <w:tc>
          <w:tcPr>
            <w:tcW w:w="13025" w:type="dxa"/>
          </w:tcPr>
          <w:p w14:paraId="6676E9D7" w14:textId="77777777" w:rsidR="00A30343" w:rsidRPr="00A30343" w:rsidRDefault="00A30343" w:rsidP="00A30343">
            <w:pPr>
              <w:jc w:val="both"/>
              <w:cnfStyle w:val="000000000000" w:firstRow="0" w:lastRow="0" w:firstColumn="0" w:lastColumn="0" w:oddVBand="0" w:evenVBand="0" w:oddHBand="0" w:evenHBand="0" w:firstRowFirstColumn="0" w:firstRowLastColumn="0" w:lastRowFirstColumn="0" w:lastRowLastColumn="0"/>
              <w:rPr>
                <w:lang w:val="ru-RU"/>
              </w:rPr>
            </w:pPr>
            <w:r w:rsidRPr="00A30343">
              <w:rPr>
                <w:lang w:val="ru-RU"/>
              </w:rPr>
              <w:t>Ключевые группы (МСМ, ТГ, СР, ЛУН, заключенные), люди, живущие с ВИЧ и их половые партнеры.</w:t>
            </w:r>
          </w:p>
          <w:p w14:paraId="5B3734DC" w14:textId="65F5906C" w:rsidR="0081241C" w:rsidRDefault="0081241C" w:rsidP="00A30343">
            <w:pPr>
              <w:jc w:val="both"/>
              <w:cnfStyle w:val="000000000000" w:firstRow="0" w:lastRow="0" w:firstColumn="0" w:lastColumn="0" w:oddVBand="0" w:evenVBand="0" w:oddHBand="0" w:evenHBand="0" w:firstRowFirstColumn="0" w:firstRowLastColumn="0" w:lastRowFirstColumn="0" w:lastRowLastColumn="0"/>
              <w:rPr>
                <w:lang w:val="ru-RU"/>
              </w:rPr>
            </w:pPr>
            <w:r w:rsidRPr="0081241C">
              <w:rPr>
                <w:lang w:val="ru-RU"/>
              </w:rPr>
              <w:t>В настоящее время около 83% (8</w:t>
            </w:r>
            <w:r w:rsidR="00C7756A">
              <w:rPr>
                <w:lang w:val="ru-RU"/>
              </w:rPr>
              <w:t>,</w:t>
            </w:r>
            <w:r w:rsidRPr="0081241C">
              <w:rPr>
                <w:lang w:val="ru-RU"/>
              </w:rPr>
              <w:t>300) от оценочного числа ЛЖВ (10</w:t>
            </w:r>
            <w:r w:rsidR="00C7756A">
              <w:rPr>
                <w:lang w:val="ru-RU"/>
              </w:rPr>
              <w:t>,</w:t>
            </w:r>
            <w:r w:rsidRPr="0081241C">
              <w:rPr>
                <w:lang w:val="ru-RU"/>
              </w:rPr>
              <w:t xml:space="preserve">000) знают о своем статусе. Несмотря на высокий уровень тестирования на ВИЧ среди населения в целом, оно дает низкий результат. Профилактические проекты также в основном обслуживают одних и тех же клиентов в течение многих лет и имеют ограниченный доступ к новым группам населения. </w:t>
            </w:r>
            <w:r w:rsidR="00763BE3">
              <w:rPr>
                <w:lang w:val="ru-RU"/>
              </w:rPr>
              <w:t>Сохраняется н</w:t>
            </w:r>
            <w:r w:rsidRPr="0081241C">
              <w:rPr>
                <w:lang w:val="ru-RU"/>
              </w:rPr>
              <w:t>изкая настороженность населения о ВИЧ, сохраняющиеся стигма и дискриминирующие правовые практики, которые приводят к потерям клиентов на этапах каскада услуг, отказу от участия в программах профилактики и тестирования.</w:t>
            </w:r>
          </w:p>
          <w:p w14:paraId="2B1D039A" w14:textId="18B276F9" w:rsidR="00A30343" w:rsidRPr="00A30343" w:rsidRDefault="00A30343" w:rsidP="00A30343">
            <w:pPr>
              <w:jc w:val="both"/>
              <w:cnfStyle w:val="000000000000" w:firstRow="0" w:lastRow="0" w:firstColumn="0" w:lastColumn="0" w:oddVBand="0" w:evenVBand="0" w:oddHBand="0" w:evenHBand="0" w:firstRowFirstColumn="0" w:firstRowLastColumn="0" w:lastRowFirstColumn="0" w:lastRowLastColumn="0"/>
              <w:rPr>
                <w:lang w:val="ru-RU"/>
              </w:rPr>
            </w:pPr>
            <w:r w:rsidRPr="00A30343">
              <w:rPr>
                <w:lang w:val="ru-RU"/>
              </w:rPr>
              <w:t>До сих пор сохраняется высокая смертность среди людей, живущих с ВИЧ, около 50% выявленных случаев приходится на продвинутые стадии ВИЧ, при этом имеются лица в терминальной стадии СПИДа, которым необходим паллиативный уход.</w:t>
            </w:r>
            <w:r w:rsidR="00763BE3">
              <w:rPr>
                <w:lang w:val="ru-RU"/>
              </w:rPr>
              <w:t xml:space="preserve"> </w:t>
            </w:r>
            <w:r w:rsidR="00C7756A">
              <w:rPr>
                <w:lang w:val="ru-RU"/>
              </w:rPr>
              <w:t>Э</w:t>
            </w:r>
            <w:r w:rsidR="00763BE3">
              <w:rPr>
                <w:lang w:val="ru-RU"/>
              </w:rPr>
              <w:t>то пр</w:t>
            </w:r>
            <w:r w:rsidR="00C7756A">
              <w:rPr>
                <w:lang w:val="ru-RU"/>
              </w:rPr>
              <w:t>о</w:t>
            </w:r>
            <w:r w:rsidR="00763BE3">
              <w:rPr>
                <w:lang w:val="ru-RU"/>
              </w:rPr>
              <w:t>исходит вследствие низкой настороженности</w:t>
            </w:r>
            <w:r w:rsidRPr="00A30343">
              <w:rPr>
                <w:lang w:val="ru-RU"/>
              </w:rPr>
              <w:t xml:space="preserve"> медицинских сотрудников</w:t>
            </w:r>
            <w:r w:rsidR="00763BE3">
              <w:rPr>
                <w:lang w:val="ru-RU"/>
              </w:rPr>
              <w:t>, особенно на уровне ПМСП, по вопросам ВИЧ, недостаточной вовлеченности медицинских служб</w:t>
            </w:r>
            <w:r w:rsidRPr="00A30343">
              <w:rPr>
                <w:lang w:val="ru-RU"/>
              </w:rPr>
              <w:t xml:space="preserve"> по ИППП</w:t>
            </w:r>
            <w:r w:rsidR="00763BE3">
              <w:rPr>
                <w:lang w:val="ru-RU"/>
              </w:rPr>
              <w:t>, дерматологии и другим СПИД-индикаторным заболеваниям, в программы</w:t>
            </w:r>
            <w:r w:rsidRPr="00A30343">
              <w:rPr>
                <w:lang w:val="ru-RU"/>
              </w:rPr>
              <w:t xml:space="preserve"> тестирования ВИЧ</w:t>
            </w:r>
            <w:r w:rsidR="00763BE3">
              <w:rPr>
                <w:lang w:val="ru-RU"/>
              </w:rPr>
              <w:t>.</w:t>
            </w:r>
          </w:p>
          <w:p w14:paraId="4549AD3F" w14:textId="01A11D02" w:rsidR="00540290" w:rsidRPr="00763BE3" w:rsidRDefault="00763BE3" w:rsidP="00A30343">
            <w:pPr>
              <w:jc w:val="both"/>
              <w:cnfStyle w:val="000000000000" w:firstRow="0" w:lastRow="0" w:firstColumn="0" w:lastColumn="0" w:oddVBand="0" w:evenVBand="0" w:oddHBand="0" w:evenHBand="0" w:firstRowFirstColumn="0" w:firstRowLastColumn="0" w:lastRowFirstColumn="0" w:lastRowLastColumn="0"/>
              <w:rPr>
                <w:lang w:val="ru-RU"/>
              </w:rPr>
            </w:pPr>
            <w:r>
              <w:rPr>
                <w:lang w:val="ru-RU"/>
              </w:rPr>
              <w:t>Отмечается износ оборудования</w:t>
            </w:r>
            <w:r w:rsidR="00A30343" w:rsidRPr="00A30343">
              <w:rPr>
                <w:lang w:val="ru-RU"/>
              </w:rPr>
              <w:t xml:space="preserve"> во все</w:t>
            </w:r>
            <w:r>
              <w:rPr>
                <w:lang w:val="ru-RU"/>
              </w:rPr>
              <w:t>х лабораториях диагностики ВИЧ в связи с ограниченными возможностями</w:t>
            </w:r>
            <w:r w:rsidR="00A30343" w:rsidRPr="00A30343">
              <w:rPr>
                <w:lang w:val="ru-RU"/>
              </w:rPr>
              <w:t xml:space="preserve"> государственного бюджета на сервисное обслужив</w:t>
            </w:r>
            <w:r>
              <w:rPr>
                <w:lang w:val="ru-RU"/>
              </w:rPr>
              <w:t>ание лабораторного оборудования, ограниченного количества специалистов по обслуживанию лабораторного оборудования</w:t>
            </w:r>
            <w:r w:rsidR="00A30343" w:rsidRPr="00A30343">
              <w:rPr>
                <w:lang w:val="ru-RU"/>
              </w:rPr>
              <w:t>.</w:t>
            </w:r>
          </w:p>
        </w:tc>
      </w:tr>
      <w:tr w:rsidR="00460D0E" w14:paraId="36DC9283" w14:textId="77777777" w:rsidTr="00460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20EEDB50" w14:textId="77777777" w:rsidR="00460D0E" w:rsidRDefault="00460D0E" w:rsidP="00460D0E">
            <w:pPr>
              <w:pStyle w:val="a1"/>
            </w:pPr>
            <w:r>
              <w:rPr>
                <w:lang w:val="ru-RU"/>
              </w:rPr>
              <w:t>Запрашиваемая сумма</w:t>
            </w:r>
          </w:p>
        </w:tc>
        <w:tc>
          <w:tcPr>
            <w:tcW w:w="13025" w:type="dxa"/>
          </w:tcPr>
          <w:p w14:paraId="066048FC" w14:textId="77777777" w:rsidR="00460D0E" w:rsidRPr="00621F12" w:rsidRDefault="00460D0E" w:rsidP="00460D0E">
            <w:pPr>
              <w:pStyle w:val="a1"/>
              <w:cnfStyle w:val="000000100000" w:firstRow="0" w:lastRow="0" w:firstColumn="0" w:lastColumn="0" w:oddVBand="0" w:evenVBand="0" w:oddHBand="1" w:evenHBand="0" w:firstRowFirstColumn="0" w:firstRowLastColumn="0" w:lastRowFirstColumn="0" w:lastRowLastColumn="0"/>
              <w:rPr>
                <w:sz w:val="22"/>
                <w:szCs w:val="20"/>
              </w:rPr>
            </w:pPr>
          </w:p>
        </w:tc>
      </w:tr>
      <w:tr w:rsidR="00460D0E" w:rsidRPr="00A26916" w14:paraId="77E2B4DA" w14:textId="77777777" w:rsidTr="00460D0E">
        <w:tc>
          <w:tcPr>
            <w:cnfStyle w:val="001000000000" w:firstRow="0" w:lastRow="0" w:firstColumn="1" w:lastColumn="0" w:oddVBand="0" w:evenVBand="0" w:oddHBand="0" w:evenHBand="0" w:firstRowFirstColumn="0" w:firstRowLastColumn="0" w:lastRowFirstColumn="0" w:lastRowLastColumn="0"/>
            <w:tcW w:w="2138" w:type="dxa"/>
          </w:tcPr>
          <w:p w14:paraId="46ED7073" w14:textId="77777777" w:rsidR="00460D0E" w:rsidRDefault="00460D0E" w:rsidP="00460D0E">
            <w:pPr>
              <w:pStyle w:val="a1"/>
            </w:pPr>
            <w:r w:rsidRPr="005A67CC">
              <w:rPr>
                <w:lang w:val="ru-RU"/>
              </w:rPr>
              <w:lastRenderedPageBreak/>
              <w:t>Ожидаемый результат</w:t>
            </w:r>
          </w:p>
        </w:tc>
        <w:tc>
          <w:tcPr>
            <w:tcW w:w="13025" w:type="dxa"/>
          </w:tcPr>
          <w:p w14:paraId="6161C149" w14:textId="6277264C" w:rsidR="00A30343" w:rsidRPr="0052310C" w:rsidRDefault="00763BE3" w:rsidP="001710B9">
            <w:pPr>
              <w:pStyle w:val="af1"/>
              <w:numPr>
                <w:ilvl w:val="0"/>
                <w:numId w:val="23"/>
              </w:numPr>
              <w:jc w:val="both"/>
              <w:cnfStyle w:val="000000000000" w:firstRow="0" w:lastRow="0" w:firstColumn="0" w:lastColumn="0" w:oddVBand="0" w:evenVBand="0" w:oddHBand="0" w:evenHBand="0" w:firstRowFirstColumn="0" w:firstRowLastColumn="0" w:lastRowFirstColumn="0" w:lastRowLastColumn="0"/>
              <w:rPr>
                <w:lang w:val="ru-RU"/>
              </w:rPr>
            </w:pPr>
            <w:r w:rsidRPr="0052310C">
              <w:rPr>
                <w:lang w:val="ru-RU"/>
              </w:rPr>
              <w:t>95% от охвата минимальным пакетом услуг из числа ключевых групп пройдут тестирование на ВИЧ.</w:t>
            </w:r>
          </w:p>
          <w:p w14:paraId="1DFFC2D9" w14:textId="39130BE8" w:rsidR="00460D0E" w:rsidRPr="0052310C" w:rsidRDefault="00763BE3" w:rsidP="001710B9">
            <w:pPr>
              <w:pStyle w:val="af1"/>
              <w:numPr>
                <w:ilvl w:val="0"/>
                <w:numId w:val="23"/>
              </w:numPr>
              <w:jc w:val="both"/>
              <w:cnfStyle w:val="000000000000" w:firstRow="0" w:lastRow="0" w:firstColumn="0" w:lastColumn="0" w:oddVBand="0" w:evenVBand="0" w:oddHBand="0" w:evenHBand="0" w:firstRowFirstColumn="0" w:firstRowLastColumn="0" w:lastRowFirstColumn="0" w:lastRowLastColumn="0"/>
              <w:rPr>
                <w:sz w:val="20"/>
                <w:szCs w:val="16"/>
                <w:lang w:val="ru-RU"/>
              </w:rPr>
            </w:pPr>
            <w:r w:rsidRPr="0052310C">
              <w:rPr>
                <w:lang w:val="ru-RU"/>
              </w:rPr>
              <w:t>Более 95% всех вновь выявленных случаев ВИЧ начнут лечение на ВИЧ.</w:t>
            </w:r>
          </w:p>
        </w:tc>
      </w:tr>
    </w:tbl>
    <w:p w14:paraId="03A10680" w14:textId="49A44C68" w:rsidR="00C46990" w:rsidRDefault="00C46990" w:rsidP="007E2465">
      <w:pPr>
        <w:pStyle w:val="a1"/>
        <w:rPr>
          <w:i/>
          <w:iCs/>
          <w:lang w:val="ru-RU"/>
        </w:rPr>
      </w:pPr>
    </w:p>
    <w:p w14:paraId="3F140866" w14:textId="77777777" w:rsidR="00C46990" w:rsidRDefault="00C46990">
      <w:pPr>
        <w:spacing w:after="200"/>
        <w:rPr>
          <w:i/>
          <w:iCs/>
          <w:sz w:val="24"/>
          <w:lang w:val="ru-RU"/>
        </w:rPr>
      </w:pPr>
      <w:r>
        <w:rPr>
          <w:i/>
          <w:iCs/>
          <w:lang w:val="ru-RU"/>
        </w:rPr>
        <w:br w:type="page"/>
      </w:r>
    </w:p>
    <w:tbl>
      <w:tblPr>
        <w:tblStyle w:val="110"/>
        <w:tblpPr w:leftFromText="181" w:rightFromText="181" w:vertAnchor="page" w:horzAnchor="margin" w:tblpY="911"/>
        <w:tblW w:w="15163" w:type="dxa"/>
        <w:tblLook w:val="04A0" w:firstRow="1" w:lastRow="0" w:firstColumn="1" w:lastColumn="0" w:noHBand="0" w:noVBand="1"/>
      </w:tblPr>
      <w:tblGrid>
        <w:gridCol w:w="2138"/>
        <w:gridCol w:w="13025"/>
      </w:tblGrid>
      <w:tr w:rsidR="00C46990" w:rsidRPr="00AC00FB" w14:paraId="2AF7B9E7" w14:textId="77777777" w:rsidTr="00C469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77AF6F9C" w14:textId="60588D92" w:rsidR="00C46990" w:rsidRPr="000B517D" w:rsidRDefault="00C46990" w:rsidP="00C46990">
            <w:pPr>
              <w:pStyle w:val="a1"/>
              <w:rPr>
                <w:lang w:val="ru-RU"/>
              </w:rPr>
            </w:pPr>
            <w:r>
              <w:rPr>
                <w:lang w:val="ru-RU"/>
              </w:rPr>
              <w:lastRenderedPageBreak/>
              <w:t>Модуль №</w:t>
            </w:r>
            <w:r>
              <w:t xml:space="preserve"> </w:t>
            </w:r>
            <w:r w:rsidR="00540290" w:rsidRPr="005A67CC">
              <w:rPr>
                <w:lang w:val="ru-RU"/>
              </w:rPr>
              <w:t>10</w:t>
            </w:r>
          </w:p>
        </w:tc>
        <w:tc>
          <w:tcPr>
            <w:tcW w:w="13025" w:type="dxa"/>
          </w:tcPr>
          <w:p w14:paraId="2059AABC" w14:textId="77777777" w:rsidR="00C46990" w:rsidRPr="002C2CA8" w:rsidRDefault="00C46990" w:rsidP="00C46990">
            <w:pPr>
              <w:jc w:val="both"/>
              <w:cnfStyle w:val="100000000000" w:firstRow="1" w:lastRow="0" w:firstColumn="0" w:lastColumn="0" w:oddVBand="0" w:evenVBand="0" w:oddHBand="0" w:evenHBand="0" w:firstRowFirstColumn="0" w:firstRowLastColumn="0" w:lastRowFirstColumn="0" w:lastRowLastColumn="0"/>
              <w:rPr>
                <w:sz w:val="24"/>
                <w:szCs w:val="24"/>
              </w:rPr>
            </w:pPr>
            <w:r w:rsidRPr="00515ECC">
              <w:rPr>
                <w:sz w:val="24"/>
                <w:szCs w:val="24"/>
              </w:rPr>
              <w:t>Лечение, уход и</w:t>
            </w:r>
            <w:r>
              <w:rPr>
                <w:sz w:val="24"/>
                <w:szCs w:val="24"/>
                <w:lang w:val="ru-RU"/>
              </w:rPr>
              <w:t xml:space="preserve"> </w:t>
            </w:r>
            <w:r>
              <w:rPr>
                <w:sz w:val="24"/>
                <w:szCs w:val="24"/>
              </w:rPr>
              <w:t>поддержка</w:t>
            </w:r>
          </w:p>
        </w:tc>
      </w:tr>
      <w:tr w:rsidR="00C46990" w:rsidRPr="00A26916" w14:paraId="16F57D52" w14:textId="77777777" w:rsidTr="00C469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7CA390F5" w14:textId="5163B833" w:rsidR="00C46990" w:rsidRDefault="00C46990" w:rsidP="00C46990">
            <w:pPr>
              <w:pStyle w:val="a1"/>
            </w:pPr>
            <w:r>
              <w:rPr>
                <w:lang w:val="ru-RU"/>
              </w:rPr>
              <w:t>Вмешательства</w:t>
            </w:r>
          </w:p>
        </w:tc>
        <w:tc>
          <w:tcPr>
            <w:tcW w:w="13025" w:type="dxa"/>
          </w:tcPr>
          <w:p w14:paraId="14A85202" w14:textId="77777777" w:rsidR="00A30343" w:rsidRPr="00787EA7" w:rsidRDefault="00A30343" w:rsidP="00A30343">
            <w:pPr>
              <w:tabs>
                <w:tab w:val="left" w:pos="9639"/>
                <w:tab w:val="left" w:pos="10773"/>
              </w:tabs>
              <w:jc w:val="both"/>
              <w:cnfStyle w:val="000000100000" w:firstRow="0" w:lastRow="0" w:firstColumn="0" w:lastColumn="0" w:oddVBand="0" w:evenVBand="0" w:oddHBand="1" w:evenHBand="0" w:firstRowFirstColumn="0" w:firstRowLastColumn="0" w:lastRowFirstColumn="0" w:lastRowLastColumn="0"/>
              <w:rPr>
                <w:lang w:val="ru-RU"/>
              </w:rPr>
            </w:pPr>
            <w:r w:rsidRPr="00787EA7">
              <w:rPr>
                <w:lang w:val="ru-RU"/>
              </w:rPr>
              <w:t>Антиретровирусная терапия будет предоставл</w:t>
            </w:r>
            <w:r>
              <w:rPr>
                <w:lang w:val="ru-RU"/>
              </w:rPr>
              <w:t>яться</w:t>
            </w:r>
            <w:r w:rsidRPr="00787EA7">
              <w:rPr>
                <w:lang w:val="ru-RU"/>
              </w:rPr>
              <w:t xml:space="preserve"> 95% ЛЖВ,</w:t>
            </w:r>
            <w:r w:rsidRPr="00F90FFC">
              <w:rPr>
                <w:rFonts w:ascii="Calibri" w:eastAsia="Calibri" w:hAnsi="Calibri"/>
                <w:color w:val="000000" w:themeColor="text1"/>
                <w:kern w:val="24"/>
                <w:sz w:val="40"/>
                <w:szCs w:val="40"/>
                <w:lang w:val="ru-RU"/>
              </w:rPr>
              <w:t xml:space="preserve"> </w:t>
            </w:r>
            <w:r w:rsidRPr="00F90FFC">
              <w:rPr>
                <w:lang w:val="ru-RU"/>
              </w:rPr>
              <w:t>с возможност</w:t>
            </w:r>
            <w:r>
              <w:rPr>
                <w:lang w:val="ru-RU"/>
              </w:rPr>
              <w:t>ью</w:t>
            </w:r>
            <w:r w:rsidRPr="00F90FFC">
              <w:rPr>
                <w:lang w:val="ru-RU"/>
              </w:rPr>
              <w:t xml:space="preserve"> </w:t>
            </w:r>
            <w:r w:rsidRPr="00F90FFC">
              <w:rPr>
                <w:b/>
                <w:bCs/>
                <w:lang w:val="ru-RU"/>
              </w:rPr>
              <w:t xml:space="preserve">многомесячного отпуска </w:t>
            </w:r>
            <w:r w:rsidRPr="00F90FFC">
              <w:rPr>
                <w:lang w:val="ru-RU"/>
              </w:rPr>
              <w:t>АРВ-препаратов в более широком диапазоне учреждений (ПМСП</w:t>
            </w:r>
            <w:r>
              <w:rPr>
                <w:lang w:val="ru-RU"/>
              </w:rPr>
              <w:t xml:space="preserve">, </w:t>
            </w:r>
            <w:r w:rsidRPr="00787EA7">
              <w:rPr>
                <w:lang w:val="ru-RU"/>
              </w:rPr>
              <w:t>в местах лишения свободы</w:t>
            </w:r>
            <w:r>
              <w:rPr>
                <w:lang w:val="ru-RU"/>
              </w:rPr>
              <w:t>, через</w:t>
            </w:r>
            <w:r w:rsidRPr="00F90FFC">
              <w:rPr>
                <w:rFonts w:ascii="Calibri" w:eastAsia="Calibri" w:hAnsi="Calibri"/>
                <w:color w:val="000000" w:themeColor="text1"/>
                <w:kern w:val="24"/>
                <w:sz w:val="40"/>
                <w:szCs w:val="40"/>
                <w:lang w:val="ru-RU"/>
              </w:rPr>
              <w:t xml:space="preserve"> </w:t>
            </w:r>
            <w:r w:rsidRPr="00F90FFC">
              <w:rPr>
                <w:lang w:val="ru-RU"/>
              </w:rPr>
              <w:t>общественны</w:t>
            </w:r>
            <w:r>
              <w:rPr>
                <w:lang w:val="ru-RU"/>
              </w:rPr>
              <w:t>х</w:t>
            </w:r>
            <w:r w:rsidRPr="00F90FFC">
              <w:rPr>
                <w:lang w:val="ru-RU"/>
              </w:rPr>
              <w:t xml:space="preserve"> организации</w:t>
            </w:r>
            <w:r>
              <w:rPr>
                <w:lang w:val="ru-RU"/>
              </w:rPr>
              <w:t>)</w:t>
            </w:r>
            <w:r w:rsidRPr="00787EA7">
              <w:rPr>
                <w:lang w:val="ru-RU"/>
              </w:rPr>
              <w:t xml:space="preserve">. </w:t>
            </w:r>
            <w:r w:rsidRPr="00F90FFC">
              <w:rPr>
                <w:b/>
                <w:bCs/>
                <w:lang w:val="ru-RU"/>
              </w:rPr>
              <w:t>Основные усилия для достижения этого показателя будут направлены на устранения имеющихся пробелов в каскаде лечения, а именно на продвижение подхода, ориентированного на пациента, улучшение приверженности к АРТ и решение проблемы потери пациентов из-под наблюдения</w:t>
            </w:r>
            <w:r w:rsidRPr="00787EA7">
              <w:rPr>
                <w:lang w:val="ru-RU"/>
              </w:rPr>
              <w:t>.</w:t>
            </w:r>
          </w:p>
          <w:p w14:paraId="185EC88E" w14:textId="1A97D1F4" w:rsidR="00A30343" w:rsidRPr="00974354" w:rsidRDefault="00A30343" w:rsidP="00A30343">
            <w:pPr>
              <w:tabs>
                <w:tab w:val="left" w:pos="9639"/>
                <w:tab w:val="left" w:pos="10773"/>
              </w:tabs>
              <w:jc w:val="both"/>
              <w:cnfStyle w:val="000000100000" w:firstRow="0" w:lastRow="0" w:firstColumn="0" w:lastColumn="0" w:oddVBand="0" w:evenVBand="0" w:oddHBand="1" w:evenHBand="0" w:firstRowFirstColumn="0" w:firstRowLastColumn="0" w:lastRowFirstColumn="0" w:lastRowLastColumn="0"/>
              <w:rPr>
                <w:lang w:val="ru-RU"/>
              </w:rPr>
            </w:pPr>
            <w:r w:rsidRPr="00787EA7">
              <w:rPr>
                <w:lang w:val="ru-RU"/>
              </w:rPr>
              <w:t>Для всех нуждающихся ЛЖВ будут предоставляться медицинские услуги в соответствии с национальными клиническими протоколами</w:t>
            </w:r>
            <w:r>
              <w:rPr>
                <w:lang w:val="ru-RU"/>
              </w:rPr>
              <w:t xml:space="preserve"> согласно </w:t>
            </w:r>
            <w:r w:rsidRPr="00F90FFC">
              <w:rPr>
                <w:lang w:val="ru-RU"/>
              </w:rPr>
              <w:t>рекоменд</w:t>
            </w:r>
            <w:r>
              <w:rPr>
                <w:lang w:val="ru-RU"/>
              </w:rPr>
              <w:t>ациям</w:t>
            </w:r>
            <w:r w:rsidRPr="00F90FFC">
              <w:rPr>
                <w:lang w:val="ru-RU"/>
              </w:rPr>
              <w:t xml:space="preserve"> ВОЗ</w:t>
            </w:r>
            <w:r w:rsidRPr="00787EA7">
              <w:rPr>
                <w:lang w:val="ru-RU"/>
              </w:rPr>
              <w:t xml:space="preserve">. Общественные организации будут активно вовлекаться в процесс обеспечения связи услуг тестирования с услугами лечения и ухода. В рамках сотрудничества медицинских организаций, доноров и неправительственных организаций все нуждающиеся ЛЖВ будут иметь доступ к программам социального сопровождения, формирования приверженности к лечению. </w:t>
            </w:r>
            <w:r w:rsidRPr="00974354">
              <w:rPr>
                <w:sz w:val="20"/>
                <w:lang w:val="ru-RU"/>
              </w:rPr>
              <w:t xml:space="preserve"> </w:t>
            </w:r>
            <w:r w:rsidR="000948B0">
              <w:rPr>
                <w:sz w:val="20"/>
                <w:lang w:val="ru-RU"/>
              </w:rPr>
              <w:t xml:space="preserve">Будет </w:t>
            </w:r>
            <w:r w:rsidR="000948B0">
              <w:rPr>
                <w:lang w:val="ru-RU"/>
              </w:rPr>
              <w:t>поддержана деятельность</w:t>
            </w:r>
            <w:r w:rsidRPr="00974354">
              <w:rPr>
                <w:lang w:val="ru-RU"/>
              </w:rPr>
              <w:t xml:space="preserve"> </w:t>
            </w:r>
            <w:r>
              <w:rPr>
                <w:lang w:val="ru-RU"/>
              </w:rPr>
              <w:t xml:space="preserve">двух </w:t>
            </w:r>
            <w:r w:rsidRPr="00974354">
              <w:rPr>
                <w:lang w:val="ru-RU"/>
              </w:rPr>
              <w:t>мультидисциплинарных команд</w:t>
            </w:r>
            <w:r>
              <w:rPr>
                <w:lang w:val="ru-RU"/>
              </w:rPr>
              <w:t xml:space="preserve"> в составе врача и равного консультанта</w:t>
            </w:r>
            <w:r w:rsidRPr="00974354">
              <w:rPr>
                <w:lang w:val="ru-RU"/>
              </w:rPr>
              <w:t xml:space="preserve"> </w:t>
            </w:r>
            <w:r>
              <w:rPr>
                <w:lang w:val="ru-RU"/>
              </w:rPr>
              <w:t>на севере и юге страны, где зарегистрированы наибольшее количество ЛЖВ</w:t>
            </w:r>
            <w:r w:rsidRPr="00974354">
              <w:rPr>
                <w:lang w:val="ru-RU"/>
              </w:rPr>
              <w:t xml:space="preserve">. </w:t>
            </w:r>
            <w:r>
              <w:rPr>
                <w:lang w:val="ru-RU"/>
              </w:rPr>
              <w:t>В д</w:t>
            </w:r>
            <w:r w:rsidRPr="00974354">
              <w:rPr>
                <w:lang w:val="ru-RU"/>
              </w:rPr>
              <w:t>е</w:t>
            </w:r>
            <w:r w:rsidRPr="0045359D">
              <w:rPr>
                <w:lang w:val="ru-RU"/>
              </w:rPr>
              <w:t>ятельность</w:t>
            </w:r>
            <w:r w:rsidRPr="00974354">
              <w:rPr>
                <w:lang w:val="ru-RU"/>
              </w:rPr>
              <w:t xml:space="preserve"> МДК буд</w:t>
            </w:r>
            <w:r>
              <w:rPr>
                <w:lang w:val="ru-RU"/>
              </w:rPr>
              <w:t>у</w:t>
            </w:r>
            <w:r w:rsidRPr="00974354">
              <w:rPr>
                <w:lang w:val="ru-RU"/>
              </w:rPr>
              <w:t>т включены компоненты по индексному тестированию, мероприятия по выдаче АРВ-препаратов на базе МДК, доконтактная профилактика</w:t>
            </w:r>
            <w:r>
              <w:rPr>
                <w:lang w:val="ru-RU"/>
              </w:rPr>
              <w:t>, уход и поддержка за тяжелыми пациентами</w:t>
            </w:r>
            <w:r w:rsidRPr="00974354">
              <w:rPr>
                <w:lang w:val="ru-RU"/>
              </w:rPr>
              <w:t>.</w:t>
            </w:r>
          </w:p>
          <w:p w14:paraId="0740C169" w14:textId="0D6B1A6C" w:rsidR="00A30343" w:rsidRPr="00974354" w:rsidRDefault="00A30343" w:rsidP="00A30343">
            <w:pPr>
              <w:tabs>
                <w:tab w:val="left" w:pos="9639"/>
                <w:tab w:val="left" w:pos="10773"/>
              </w:tabs>
              <w:jc w:val="both"/>
              <w:cnfStyle w:val="000000100000" w:firstRow="0" w:lastRow="0" w:firstColumn="0" w:lastColumn="0" w:oddVBand="0" w:evenVBand="0" w:oddHBand="1" w:evenHBand="0" w:firstRowFirstColumn="0" w:firstRowLastColumn="0" w:lastRowFirstColumn="0" w:lastRowLastColumn="0"/>
              <w:rPr>
                <w:b/>
                <w:bCs/>
                <w:lang w:val="ru-RU"/>
              </w:rPr>
            </w:pPr>
            <w:r>
              <w:rPr>
                <w:lang w:val="ru-RU"/>
              </w:rPr>
              <w:t xml:space="preserve">В настоящее время до 80 % АРВ-препаратов обеспечиваются за счет государственного бюджета. </w:t>
            </w:r>
            <w:r w:rsidRPr="00974354">
              <w:rPr>
                <w:b/>
                <w:bCs/>
                <w:lang w:val="ru-RU"/>
              </w:rPr>
              <w:t xml:space="preserve">Часть гранта будет направлена на закупку лекарственных препаратов, а также на закупку изделий медицинского назначения для проведения мониторинга эффективности АРТ, </w:t>
            </w:r>
            <w:r w:rsidRPr="00AA2F1C">
              <w:rPr>
                <w:lang w:val="ru-RU"/>
              </w:rPr>
              <w:t>которые невозможно закупить на местном рынке в связи с отсутствием регистрации</w:t>
            </w:r>
            <w:r w:rsidRPr="00974354">
              <w:rPr>
                <w:b/>
                <w:bCs/>
                <w:lang w:val="ru-RU"/>
              </w:rPr>
              <w:t xml:space="preserve">. Будут предусмотрены механизмы по мониторингу и ответным мерам на отдаленные побочные эффекты АРВ-препаратов </w:t>
            </w:r>
            <w:r w:rsidRPr="00AA2F1C">
              <w:rPr>
                <w:lang w:val="ru-RU"/>
              </w:rPr>
              <w:t>(85% ЛЖВ получают тенофовир дизопроксил фумарат)</w:t>
            </w:r>
            <w:r w:rsidRPr="00974354">
              <w:rPr>
                <w:b/>
                <w:bCs/>
                <w:lang w:val="ru-RU"/>
              </w:rPr>
              <w:t>.</w:t>
            </w:r>
            <w:r w:rsidRPr="002E1466">
              <w:rPr>
                <w:sz w:val="20"/>
                <w:lang w:val="ru-RU"/>
              </w:rPr>
              <w:t xml:space="preserve"> </w:t>
            </w:r>
            <w:r w:rsidRPr="00AA2F1C">
              <w:rPr>
                <w:lang w:val="ru-RU"/>
              </w:rPr>
              <w:t>Поддержана</w:t>
            </w:r>
            <w:r w:rsidRPr="002E1466">
              <w:rPr>
                <w:b/>
                <w:bCs/>
                <w:lang w:val="ru-RU"/>
              </w:rPr>
              <w:t xml:space="preserve"> транспортировка анализов</w:t>
            </w:r>
            <w:r>
              <w:rPr>
                <w:b/>
                <w:bCs/>
                <w:lang w:val="ru-RU"/>
              </w:rPr>
              <w:t xml:space="preserve"> из отдаленных регионов.</w:t>
            </w:r>
            <w:r w:rsidRPr="00974354">
              <w:rPr>
                <w:b/>
                <w:bCs/>
                <w:lang w:val="ru-RU"/>
              </w:rPr>
              <w:t xml:space="preserve"> </w:t>
            </w:r>
            <w:r w:rsidRPr="00AA2F1C">
              <w:rPr>
                <w:lang w:val="ru-RU"/>
              </w:rPr>
              <w:t xml:space="preserve">Продолжится </w:t>
            </w:r>
            <w:r w:rsidRPr="00974354">
              <w:rPr>
                <w:b/>
                <w:bCs/>
                <w:lang w:val="ru-RU"/>
              </w:rPr>
              <w:t xml:space="preserve">работа </w:t>
            </w:r>
            <w:r>
              <w:rPr>
                <w:b/>
                <w:bCs/>
                <w:lang w:val="ru-RU"/>
              </w:rPr>
              <w:t xml:space="preserve">по </w:t>
            </w:r>
            <w:r w:rsidRPr="00974354">
              <w:rPr>
                <w:b/>
                <w:bCs/>
                <w:lang w:val="ru-RU"/>
              </w:rPr>
              <w:t>мониторинг</w:t>
            </w:r>
            <w:r>
              <w:rPr>
                <w:b/>
                <w:bCs/>
                <w:lang w:val="ru-RU"/>
              </w:rPr>
              <w:t>у</w:t>
            </w:r>
            <w:r w:rsidRPr="00974354">
              <w:rPr>
                <w:b/>
                <w:bCs/>
                <w:lang w:val="ru-RU"/>
              </w:rPr>
              <w:t xml:space="preserve"> индикаторов раннего предупреждения</w:t>
            </w:r>
            <w:r>
              <w:rPr>
                <w:b/>
                <w:bCs/>
                <w:lang w:val="ru-RU"/>
              </w:rPr>
              <w:t xml:space="preserve"> </w:t>
            </w:r>
            <w:r w:rsidR="000948B0">
              <w:rPr>
                <w:b/>
                <w:bCs/>
                <w:lang w:val="ru-RU"/>
              </w:rPr>
              <w:t>лекарственной устойчивости к</w:t>
            </w:r>
            <w:r w:rsidRPr="00974354">
              <w:rPr>
                <w:b/>
                <w:bCs/>
                <w:lang w:val="ru-RU"/>
              </w:rPr>
              <w:t xml:space="preserve"> ВИЧ </w:t>
            </w:r>
            <w:r>
              <w:rPr>
                <w:b/>
                <w:bCs/>
                <w:lang w:val="ru-RU"/>
              </w:rPr>
              <w:t>в программах</w:t>
            </w:r>
            <w:r w:rsidRPr="00974354">
              <w:rPr>
                <w:b/>
                <w:bCs/>
                <w:lang w:val="ru-RU"/>
              </w:rPr>
              <w:t xml:space="preserve"> лечения</w:t>
            </w:r>
            <w:r>
              <w:rPr>
                <w:b/>
                <w:bCs/>
                <w:lang w:val="ru-RU"/>
              </w:rPr>
              <w:t>.</w:t>
            </w:r>
          </w:p>
          <w:p w14:paraId="5A489A1B" w14:textId="5C1D7CBA" w:rsidR="00A30343" w:rsidRPr="00787EA7" w:rsidRDefault="00A30343" w:rsidP="00A30343">
            <w:pPr>
              <w:tabs>
                <w:tab w:val="left" w:pos="9639"/>
                <w:tab w:val="left" w:pos="10773"/>
              </w:tabs>
              <w:jc w:val="both"/>
              <w:cnfStyle w:val="000000100000" w:firstRow="0" w:lastRow="0" w:firstColumn="0" w:lastColumn="0" w:oddVBand="0" w:evenVBand="0" w:oddHBand="1" w:evenHBand="0" w:firstRowFirstColumn="0" w:firstRowLastColumn="0" w:lastRowFirstColumn="0" w:lastRowLastColumn="0"/>
              <w:rPr>
                <w:lang w:val="ru-RU"/>
              </w:rPr>
            </w:pPr>
            <w:r w:rsidRPr="00787EA7">
              <w:rPr>
                <w:lang w:val="ru-RU"/>
              </w:rPr>
              <w:t>Не менее 90% женщин/девочек с ВИЧ-инфекцией получат доступ к услугам по СРЗ, включая предоставление контрацептивов; профилактику, диагностику и лечение ИППП; профилактику рака шейки матки; услуги гинеколога и доступ к вакцинации против вируса папилломы человека (с 11 до 45 лет).</w:t>
            </w:r>
          </w:p>
          <w:p w14:paraId="2E4CEA28" w14:textId="4D7BD8C3" w:rsidR="00A30343" w:rsidRPr="00787EA7" w:rsidRDefault="00A30343" w:rsidP="00A30343">
            <w:pPr>
              <w:tabs>
                <w:tab w:val="left" w:pos="9639"/>
                <w:tab w:val="left" w:pos="10773"/>
              </w:tabs>
              <w:jc w:val="both"/>
              <w:cnfStyle w:val="000000100000" w:firstRow="0" w:lastRow="0" w:firstColumn="0" w:lastColumn="0" w:oddVBand="0" w:evenVBand="0" w:oddHBand="1" w:evenHBand="0" w:firstRowFirstColumn="0" w:firstRowLastColumn="0" w:lastRowFirstColumn="0" w:lastRowLastColumn="0"/>
              <w:rPr>
                <w:lang w:val="ru-RU"/>
              </w:rPr>
            </w:pPr>
            <w:r w:rsidRPr="00787EA7">
              <w:rPr>
                <w:lang w:val="ru-RU"/>
              </w:rPr>
              <w:t>Поскольку одним из ключевых барьеров для достижения вторых «95» являет</w:t>
            </w:r>
            <w:r w:rsidR="000042D2">
              <w:rPr>
                <w:lang w:val="ru-RU"/>
              </w:rPr>
              <w:t xml:space="preserve">ся </w:t>
            </w:r>
            <w:r w:rsidRPr="00787EA7">
              <w:rPr>
                <w:lang w:val="ru-RU"/>
              </w:rPr>
              <w:t>проблема потери пациентов из-под наблюдения, будут поддержаны усилия мед</w:t>
            </w:r>
            <w:r w:rsidR="000042D2">
              <w:rPr>
                <w:lang w:val="ru-RU"/>
              </w:rPr>
              <w:t>ицинских работников, не входящих</w:t>
            </w:r>
            <w:r w:rsidRPr="00787EA7">
              <w:rPr>
                <w:lang w:val="ru-RU"/>
              </w:rPr>
              <w:t xml:space="preserve"> в перечень их должностных обязанностей, но направленные на улучшение качества услуг лечения и ухода при ВИЧ-инфекции (включая модель патронажного сестринского ухода). Для обеспечения устойчивости данного направления </w:t>
            </w:r>
            <w:r w:rsidRPr="00AA2F1C">
              <w:rPr>
                <w:b/>
                <w:bCs/>
                <w:lang w:val="ru-RU"/>
              </w:rPr>
              <w:t xml:space="preserve">будет разработан, внедрен и институционализирован механизм мотивационных выплат </w:t>
            </w:r>
            <w:r w:rsidRPr="00AA2F1C">
              <w:rPr>
                <w:lang w:val="ru-RU"/>
              </w:rPr>
              <w:t>медицинским работникам</w:t>
            </w:r>
            <w:r w:rsidRPr="00AA2F1C">
              <w:rPr>
                <w:b/>
                <w:bCs/>
                <w:lang w:val="ru-RU"/>
              </w:rPr>
              <w:t>, основанных на результатах</w:t>
            </w:r>
            <w:r w:rsidRPr="00787EA7">
              <w:rPr>
                <w:lang w:val="ru-RU"/>
              </w:rPr>
              <w:t>. Также будет продолжена реализация механизма основанных на результатах мотив</w:t>
            </w:r>
            <w:r w:rsidR="000042D2">
              <w:rPr>
                <w:lang w:val="ru-RU"/>
              </w:rPr>
              <w:t>ационных выплат сотрудникам НПО за включение в лечение и достижение вирусной супрессии.</w:t>
            </w:r>
          </w:p>
          <w:p w14:paraId="57BFCD08" w14:textId="657838B3" w:rsidR="00A30343" w:rsidRPr="00787EA7" w:rsidRDefault="00A30343" w:rsidP="00A30343">
            <w:pPr>
              <w:tabs>
                <w:tab w:val="left" w:pos="9639"/>
                <w:tab w:val="left" w:pos="10773"/>
              </w:tabs>
              <w:jc w:val="both"/>
              <w:cnfStyle w:val="000000100000" w:firstRow="0" w:lastRow="0" w:firstColumn="0" w:lastColumn="0" w:oddVBand="0" w:evenVBand="0" w:oddHBand="1" w:evenHBand="0" w:firstRowFirstColumn="0" w:firstRowLastColumn="0" w:lastRowFirstColumn="0" w:lastRowLastColumn="0"/>
              <w:rPr>
                <w:lang w:val="ru-RU"/>
              </w:rPr>
            </w:pPr>
            <w:r w:rsidRPr="00787EA7">
              <w:rPr>
                <w:lang w:val="ru-RU"/>
              </w:rPr>
              <w:lastRenderedPageBreak/>
              <w:t xml:space="preserve">Будет повышен потенциал </w:t>
            </w:r>
            <w:r w:rsidR="000042D2">
              <w:rPr>
                <w:lang w:val="ru-RU"/>
              </w:rPr>
              <w:t xml:space="preserve">сообществ </w:t>
            </w:r>
            <w:r w:rsidRPr="00787EA7">
              <w:rPr>
                <w:lang w:val="ru-RU"/>
              </w:rPr>
              <w:t>ЛЖВ и их близкого окружения по вопросам ВИЧ и прав человека, а также поддержаны мероприятия, включая обучение по вопросам приверженности, лечения, снижения стигмы и дискриминации и СРЗ, участие в международных конференциях, форумах, тренингах. С целью мобилизации сообщества ЛЖВ будет оказана поддержка по проведению акций в аккордные дни.</w:t>
            </w:r>
          </w:p>
          <w:p w14:paraId="74299733" w14:textId="36104094" w:rsidR="00A30343" w:rsidRPr="00787EA7" w:rsidRDefault="00A30343" w:rsidP="00A30343">
            <w:pPr>
              <w:tabs>
                <w:tab w:val="left" w:pos="9639"/>
                <w:tab w:val="left" w:pos="10773"/>
              </w:tabs>
              <w:jc w:val="both"/>
              <w:cnfStyle w:val="000000100000" w:firstRow="0" w:lastRow="0" w:firstColumn="0" w:lastColumn="0" w:oddVBand="0" w:evenVBand="0" w:oddHBand="1" w:evenHBand="0" w:firstRowFirstColumn="0" w:firstRowLastColumn="0" w:lastRowFirstColumn="0" w:lastRowLastColumn="0"/>
              <w:rPr>
                <w:lang w:val="ru-RU"/>
              </w:rPr>
            </w:pPr>
            <w:r w:rsidRPr="00787EA7">
              <w:rPr>
                <w:lang w:val="ru-RU"/>
              </w:rPr>
              <w:t>Для улучшения доступа ЛЖВ к медицинским услугам по ВИЧ и повышению их качества будут реализованы мероприятия по развитию информационных и цифровых технологий. Сохранится социальная и правовая поддержка ЛЖВ, в особенности детей с ВИЧ по направлениям, не имеющим бюджетного источника финансирования (поддержка образовательных центров для обучения навыкам социальной адаптации в обществе с ВИЧ, компьютерной грамотности и изучения иностранных языков, для снижения уровня самостигматизации)</w:t>
            </w:r>
            <w:r w:rsidR="00AA2F1C">
              <w:rPr>
                <w:lang w:val="ru-RU"/>
              </w:rPr>
              <w:t>.</w:t>
            </w:r>
            <w:r w:rsidRPr="00787EA7">
              <w:rPr>
                <w:lang w:val="ru-RU"/>
              </w:rPr>
              <w:t xml:space="preserve"> Часть средств гранта будет направлена на улучшение доступа и повышение качества специфических медицинских услуг для ЛЖВ, не имеющих бюджетного источника финансирования (паллиативная помощь, лабораторная диагностика ИППП и др.)</w:t>
            </w:r>
            <w:r w:rsidR="0023526B">
              <w:rPr>
                <w:lang w:val="ru-RU"/>
              </w:rPr>
              <w:t xml:space="preserve"> В данном гранте (модуль 1) также предусмотрена деятельность по пересмотру программы государственных гарантий, которая в соответствии с проектами новых законов в сфере здравоохранения, будет включать расширенный доступ к медицинским услугам для ключевых групп населения.</w:t>
            </w:r>
          </w:p>
          <w:p w14:paraId="7A9A83EC" w14:textId="77777777" w:rsidR="00A30343" w:rsidRPr="00787EA7" w:rsidRDefault="00A30343" w:rsidP="00A30343">
            <w:pPr>
              <w:pStyle w:val="a1"/>
              <w:jc w:val="both"/>
              <w:cnfStyle w:val="000000100000" w:firstRow="0" w:lastRow="0" w:firstColumn="0" w:lastColumn="0" w:oddVBand="0" w:evenVBand="0" w:oddHBand="1" w:evenHBand="0" w:firstRowFirstColumn="0" w:firstRowLastColumn="0" w:lastRowFirstColumn="0" w:lastRowLastColumn="0"/>
              <w:rPr>
                <w:sz w:val="22"/>
                <w:lang w:val="ru-RU"/>
              </w:rPr>
            </w:pPr>
            <w:r w:rsidRPr="00787EA7">
              <w:rPr>
                <w:sz w:val="22"/>
                <w:lang w:val="ru-RU"/>
              </w:rPr>
              <w:t>В целях усовершенствования медицинских образовательных программ по ВИЧ будут разработаны и внедрены тематические учебно-методические комплексы по вопросам ВИЧ на базе организаций постдипломного образования. Медицинские специалисты служб по ВИЧ, ТБ, ПМСП будут регулярно обучаться по вопросам диагностики, лечения ВИЧ и ТБ в соответствии с обновленными учебными программами и клиническими протоколами.</w:t>
            </w:r>
          </w:p>
          <w:p w14:paraId="14C3F371" w14:textId="77777777" w:rsidR="00A30343" w:rsidRPr="00787EA7" w:rsidRDefault="00A30343" w:rsidP="00A30343">
            <w:pPr>
              <w:pStyle w:val="a1"/>
              <w:jc w:val="both"/>
              <w:cnfStyle w:val="000000100000" w:firstRow="0" w:lastRow="0" w:firstColumn="0" w:lastColumn="0" w:oddVBand="0" w:evenVBand="0" w:oddHBand="1" w:evenHBand="0" w:firstRowFirstColumn="0" w:firstRowLastColumn="0" w:lastRowFirstColumn="0" w:lastRowLastColumn="0"/>
              <w:rPr>
                <w:sz w:val="22"/>
                <w:lang w:val="ru-RU"/>
              </w:rPr>
            </w:pPr>
            <w:r w:rsidRPr="00787EA7">
              <w:rPr>
                <w:sz w:val="22"/>
                <w:lang w:val="ru-RU"/>
              </w:rPr>
              <w:t>Для улучшения системы менеджмента ЛС и ИМН будут обновлены соответствующие инструкции и СОПы по распределению, хранению и управлению запасами ЛС и ИМН в соответствии с международными стандартами. Внедрение информационных систем «1С Склад/Аптека» и обучение персонала позволит систематизировать многообразие бизнес-процессов в цепочке поставок ЛС и ИМН, своевременно получать структурированную информацию и улучшать качество медицинской помощи.</w:t>
            </w:r>
          </w:p>
          <w:p w14:paraId="3C5EEF85" w14:textId="77777777" w:rsidR="00A30343" w:rsidRPr="00787EA7" w:rsidRDefault="00A30343" w:rsidP="00A30343">
            <w:pPr>
              <w:pStyle w:val="a1"/>
              <w:jc w:val="both"/>
              <w:cnfStyle w:val="000000100000" w:firstRow="0" w:lastRow="0" w:firstColumn="0" w:lastColumn="0" w:oddVBand="0" w:evenVBand="0" w:oddHBand="1" w:evenHBand="0" w:firstRowFirstColumn="0" w:firstRowLastColumn="0" w:lastRowFirstColumn="0" w:lastRowLastColumn="0"/>
              <w:rPr>
                <w:sz w:val="22"/>
                <w:lang w:val="ru-RU"/>
              </w:rPr>
            </w:pPr>
            <w:r w:rsidRPr="00787EA7">
              <w:rPr>
                <w:sz w:val="22"/>
                <w:lang w:val="ru-RU"/>
              </w:rPr>
              <w:t>Будет пересмотрена существующая методология прогнозирования потребности в ЛС и ИМН, с максимальной автоматизацией рабочего процесса. Планирование поставок будет проводиться чаще (1 раз в 2-6 мес.), в увязке с обновлением количественных показателей по движению ЛС и ИМН. На национальном уровне будут поддержаны специалисты - менеджер по медицинскому обеспечению ВИЧ и ТБ программ, и консультанты по лечению и уходу, ответственные по вопросам прогнозирования и планирования в рамках программ, финансируемых ГФ.</w:t>
            </w:r>
          </w:p>
          <w:p w14:paraId="1714E081" w14:textId="2117A75F" w:rsidR="001C2192" w:rsidRPr="003B5EAD" w:rsidRDefault="00A30343" w:rsidP="00A30343">
            <w:pPr>
              <w:tabs>
                <w:tab w:val="left" w:pos="9639"/>
                <w:tab w:val="left" w:pos="10773"/>
              </w:tabs>
              <w:jc w:val="both"/>
              <w:cnfStyle w:val="000000100000" w:firstRow="0" w:lastRow="0" w:firstColumn="0" w:lastColumn="0" w:oddVBand="0" w:evenVBand="0" w:oddHBand="1" w:evenHBand="0" w:firstRowFirstColumn="0" w:firstRowLastColumn="0" w:lastRowFirstColumn="0" w:lastRowLastColumn="0"/>
              <w:rPr>
                <w:bCs/>
                <w:sz w:val="24"/>
                <w:lang w:val="ru-RU"/>
              </w:rPr>
            </w:pPr>
            <w:r w:rsidRPr="00787EA7">
              <w:rPr>
                <w:lang w:val="ru-RU"/>
              </w:rPr>
              <w:t>Дополнительными мероприятиями, которые улучшат систему управления запасами ЛС и ИМН, станут перепрофилирование/ремонт складов семи областных ВИЧ-центров в соответствии с международными стандартами хранения ЛС и ИМН, разработка государственной централизованной системы транспортировки и хранения ЛС и ИМН, а также закупка 2х среднеразмерных грузовых автомобилей грузоподъемностью 3 тонны для оперативной транспортировки ЛС и ИМН с соблюдением температурного режима в регионы страны.</w:t>
            </w:r>
          </w:p>
        </w:tc>
      </w:tr>
      <w:tr w:rsidR="00C46990" w:rsidRPr="00A26916" w14:paraId="63452288" w14:textId="77777777" w:rsidTr="00C46990">
        <w:tc>
          <w:tcPr>
            <w:cnfStyle w:val="001000000000" w:firstRow="0" w:lastRow="0" w:firstColumn="1" w:lastColumn="0" w:oddVBand="0" w:evenVBand="0" w:oddHBand="0" w:evenHBand="0" w:firstRowFirstColumn="0" w:firstRowLastColumn="0" w:lastRowFirstColumn="0" w:lastRowLastColumn="0"/>
            <w:tcW w:w="2138" w:type="dxa"/>
          </w:tcPr>
          <w:p w14:paraId="62D57F10" w14:textId="77777777" w:rsidR="00C46990" w:rsidRPr="008B08A2" w:rsidRDefault="00C46990" w:rsidP="00C46990">
            <w:pPr>
              <w:pStyle w:val="a1"/>
              <w:rPr>
                <w:lang w:val="ru-RU"/>
              </w:rPr>
            </w:pPr>
            <w:r>
              <w:rPr>
                <w:lang w:val="ru-RU"/>
              </w:rPr>
              <w:lastRenderedPageBreak/>
              <w:t>Население</w:t>
            </w:r>
            <w:r w:rsidRPr="008B08A2">
              <w:rPr>
                <w:lang w:val="ru-RU"/>
              </w:rPr>
              <w:t xml:space="preserve">, </w:t>
            </w:r>
            <w:r>
              <w:rPr>
                <w:lang w:val="ru-RU"/>
              </w:rPr>
              <w:t>территории</w:t>
            </w:r>
            <w:r w:rsidRPr="008B08A2">
              <w:rPr>
                <w:lang w:val="ru-RU"/>
              </w:rPr>
              <w:t xml:space="preserve"> </w:t>
            </w:r>
            <w:r>
              <w:rPr>
                <w:lang w:val="ru-RU"/>
              </w:rPr>
              <w:t>и</w:t>
            </w:r>
            <w:r w:rsidRPr="008B08A2">
              <w:rPr>
                <w:lang w:val="ru-RU"/>
              </w:rPr>
              <w:t>/</w:t>
            </w:r>
            <w:r>
              <w:rPr>
                <w:lang w:val="ru-RU"/>
              </w:rPr>
              <w:t>или</w:t>
            </w:r>
            <w:r w:rsidRPr="008B08A2">
              <w:rPr>
                <w:lang w:val="ru-RU"/>
              </w:rPr>
              <w:t xml:space="preserve"> </w:t>
            </w:r>
            <w:r>
              <w:rPr>
                <w:lang w:val="ru-RU"/>
              </w:rPr>
              <w:t>барьеры</w:t>
            </w:r>
            <w:r w:rsidRPr="008B08A2">
              <w:rPr>
                <w:lang w:val="ru-RU"/>
              </w:rPr>
              <w:t xml:space="preserve">, </w:t>
            </w:r>
            <w:r>
              <w:rPr>
                <w:lang w:val="ru-RU"/>
              </w:rPr>
              <w:t>на</w:t>
            </w:r>
            <w:r w:rsidRPr="008B08A2">
              <w:rPr>
                <w:lang w:val="ru-RU"/>
              </w:rPr>
              <w:t xml:space="preserve"> </w:t>
            </w:r>
            <w:r>
              <w:rPr>
                <w:lang w:val="ru-RU"/>
              </w:rPr>
              <w:t>которые направлена деятельность</w:t>
            </w:r>
          </w:p>
        </w:tc>
        <w:tc>
          <w:tcPr>
            <w:tcW w:w="13025" w:type="dxa"/>
          </w:tcPr>
          <w:p w14:paraId="2FF8F569" w14:textId="77777777" w:rsidR="00A30343" w:rsidRDefault="00A30343" w:rsidP="00A30343">
            <w:pPr>
              <w:pStyle w:val="a1"/>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К</w:t>
            </w:r>
            <w:r w:rsidRPr="001C2192">
              <w:rPr>
                <w:sz w:val="22"/>
                <w:szCs w:val="20"/>
                <w:lang w:val="ru-RU"/>
              </w:rPr>
              <w:t>лючевые группы (МСМ, ТГ, СР, ЛУН, заключенные)</w:t>
            </w:r>
            <w:r>
              <w:rPr>
                <w:sz w:val="22"/>
                <w:szCs w:val="20"/>
                <w:lang w:val="ru-RU"/>
              </w:rPr>
              <w:t>,</w:t>
            </w:r>
            <w:r w:rsidRPr="001C2192">
              <w:rPr>
                <w:sz w:val="22"/>
                <w:szCs w:val="20"/>
                <w:lang w:val="ru-RU"/>
              </w:rPr>
              <w:t xml:space="preserve"> </w:t>
            </w:r>
            <w:r>
              <w:rPr>
                <w:sz w:val="22"/>
                <w:szCs w:val="20"/>
                <w:lang w:val="ru-RU"/>
              </w:rPr>
              <w:t>л</w:t>
            </w:r>
            <w:r w:rsidRPr="001C2192">
              <w:rPr>
                <w:sz w:val="22"/>
                <w:szCs w:val="20"/>
                <w:lang w:val="ru-RU"/>
              </w:rPr>
              <w:t>юди, живущие с ВИЧ</w:t>
            </w:r>
            <w:r>
              <w:rPr>
                <w:sz w:val="22"/>
                <w:szCs w:val="20"/>
                <w:lang w:val="ru-RU"/>
              </w:rPr>
              <w:t xml:space="preserve"> и их половые партнеры. </w:t>
            </w:r>
          </w:p>
          <w:p w14:paraId="7CEB8BBE" w14:textId="77777777" w:rsidR="00A30343" w:rsidRDefault="00A30343" w:rsidP="00A30343">
            <w:pPr>
              <w:pStyle w:val="a1"/>
              <w:cnfStyle w:val="000000000000" w:firstRow="0" w:lastRow="0" w:firstColumn="0" w:lastColumn="0" w:oddVBand="0" w:evenVBand="0" w:oddHBand="0" w:evenHBand="0" w:firstRowFirstColumn="0" w:firstRowLastColumn="0" w:lastRowFirstColumn="0" w:lastRowLastColumn="0"/>
              <w:rPr>
                <w:sz w:val="22"/>
                <w:szCs w:val="20"/>
                <w:lang w:val="ru-RU"/>
              </w:rPr>
            </w:pPr>
            <w:r w:rsidRPr="00413276">
              <w:rPr>
                <w:sz w:val="22"/>
                <w:szCs w:val="20"/>
                <w:lang w:val="ru-RU"/>
              </w:rPr>
              <w:t>Кыргызская Республика</w:t>
            </w:r>
          </w:p>
          <w:p w14:paraId="735CE69D" w14:textId="62BBCCCA" w:rsidR="00A30343" w:rsidRDefault="008D7D69" w:rsidP="009A3083">
            <w:pPr>
              <w:pStyle w:val="a1"/>
              <w:jc w:val="both"/>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П</w:t>
            </w:r>
            <w:r w:rsidRPr="00AC086A">
              <w:rPr>
                <w:sz w:val="22"/>
                <w:szCs w:val="20"/>
                <w:lang w:val="ru-RU"/>
              </w:rPr>
              <w:t>о состоя</w:t>
            </w:r>
            <w:r>
              <w:rPr>
                <w:sz w:val="22"/>
                <w:szCs w:val="20"/>
                <w:lang w:val="ru-RU"/>
              </w:rPr>
              <w:t>нию на 31 декабря 2022 года</w:t>
            </w:r>
            <w:r w:rsidRPr="00AC086A">
              <w:rPr>
                <w:sz w:val="22"/>
                <w:szCs w:val="20"/>
                <w:lang w:val="ru-RU"/>
              </w:rPr>
              <w:t xml:space="preserve"> </w:t>
            </w:r>
            <w:r>
              <w:rPr>
                <w:sz w:val="22"/>
                <w:szCs w:val="20"/>
                <w:lang w:val="ru-RU"/>
              </w:rPr>
              <w:t>с</w:t>
            </w:r>
            <w:r w:rsidR="00A30343" w:rsidRPr="00AC086A">
              <w:rPr>
                <w:sz w:val="22"/>
                <w:szCs w:val="20"/>
                <w:lang w:val="ru-RU"/>
              </w:rPr>
              <w:t>уществ</w:t>
            </w:r>
            <w:r>
              <w:rPr>
                <w:sz w:val="22"/>
                <w:szCs w:val="20"/>
                <w:lang w:val="ru-RU"/>
              </w:rPr>
              <w:t>ует значительный</w:t>
            </w:r>
            <w:r w:rsidR="00A30343" w:rsidRPr="00AC086A">
              <w:rPr>
                <w:sz w:val="22"/>
                <w:szCs w:val="20"/>
                <w:lang w:val="ru-RU"/>
              </w:rPr>
              <w:t xml:space="preserve"> разрыв между выявленными и знающими свой результат ЛЖВ (8</w:t>
            </w:r>
            <w:r>
              <w:rPr>
                <w:sz w:val="22"/>
                <w:szCs w:val="20"/>
                <w:lang w:val="ru-RU"/>
              </w:rPr>
              <w:t>,</w:t>
            </w:r>
            <w:r w:rsidR="00A30343" w:rsidRPr="00AC086A">
              <w:rPr>
                <w:sz w:val="22"/>
                <w:szCs w:val="20"/>
                <w:lang w:val="ru-RU"/>
              </w:rPr>
              <w:t>253</w:t>
            </w:r>
            <w:r>
              <w:rPr>
                <w:sz w:val="22"/>
                <w:szCs w:val="20"/>
                <w:lang w:val="ru-RU"/>
              </w:rPr>
              <w:t>, или 83% от оценочного числа ЛЖВ</w:t>
            </w:r>
            <w:r w:rsidR="00A30343" w:rsidRPr="00AC086A">
              <w:rPr>
                <w:sz w:val="22"/>
                <w:szCs w:val="20"/>
                <w:lang w:val="ru-RU"/>
              </w:rPr>
              <w:t>) и тех, кто на АРТ (5</w:t>
            </w:r>
            <w:r>
              <w:rPr>
                <w:sz w:val="22"/>
                <w:szCs w:val="20"/>
                <w:lang w:val="ru-RU"/>
              </w:rPr>
              <w:t>,</w:t>
            </w:r>
            <w:r w:rsidR="00A30343" w:rsidRPr="00AC086A">
              <w:rPr>
                <w:sz w:val="22"/>
                <w:szCs w:val="20"/>
                <w:lang w:val="ru-RU"/>
              </w:rPr>
              <w:t>766</w:t>
            </w:r>
            <w:r>
              <w:rPr>
                <w:sz w:val="22"/>
                <w:szCs w:val="20"/>
                <w:lang w:val="ru-RU"/>
              </w:rPr>
              <w:t>, или 70% от знающих свой статус</w:t>
            </w:r>
            <w:r w:rsidR="00A30343" w:rsidRPr="00AC086A">
              <w:rPr>
                <w:sz w:val="22"/>
                <w:szCs w:val="20"/>
                <w:lang w:val="ru-RU"/>
              </w:rPr>
              <w:t>)</w:t>
            </w:r>
            <w:r>
              <w:rPr>
                <w:sz w:val="22"/>
                <w:szCs w:val="20"/>
                <w:lang w:val="ru-RU"/>
              </w:rPr>
              <w:t xml:space="preserve">. </w:t>
            </w:r>
            <w:r w:rsidR="00A30343" w:rsidRPr="00AC086A">
              <w:rPr>
                <w:sz w:val="22"/>
                <w:szCs w:val="20"/>
                <w:lang w:val="ru-RU"/>
              </w:rPr>
              <w:t>90% достигли подавления вирусной нагрузки.</w:t>
            </w:r>
            <w:r w:rsidR="00A30343">
              <w:rPr>
                <w:sz w:val="22"/>
                <w:szCs w:val="20"/>
                <w:lang w:val="ru-RU"/>
              </w:rPr>
              <w:t xml:space="preserve"> </w:t>
            </w:r>
          </w:p>
          <w:p w14:paraId="4E081922" w14:textId="27B56502" w:rsidR="00A30343" w:rsidRDefault="00A30343" w:rsidP="009A3083">
            <w:pPr>
              <w:pStyle w:val="a1"/>
              <w:jc w:val="both"/>
              <w:cnfStyle w:val="000000000000" w:firstRow="0" w:lastRow="0" w:firstColumn="0" w:lastColumn="0" w:oddVBand="0" w:evenVBand="0" w:oddHBand="0" w:evenHBand="0" w:firstRowFirstColumn="0" w:firstRowLastColumn="0" w:lastRowFirstColumn="0" w:lastRowLastColumn="0"/>
              <w:rPr>
                <w:sz w:val="22"/>
                <w:szCs w:val="20"/>
                <w:lang w:val="ru-RU"/>
              </w:rPr>
            </w:pPr>
            <w:r w:rsidRPr="00061381">
              <w:rPr>
                <w:sz w:val="22"/>
                <w:szCs w:val="20"/>
                <w:lang w:val="ru-RU"/>
              </w:rPr>
              <w:t>Сохраня</w:t>
            </w:r>
            <w:r>
              <w:rPr>
                <w:sz w:val="22"/>
                <w:szCs w:val="20"/>
                <w:lang w:val="ru-RU"/>
              </w:rPr>
              <w:t>ю</w:t>
            </w:r>
            <w:r w:rsidRPr="00061381">
              <w:rPr>
                <w:sz w:val="22"/>
                <w:szCs w:val="20"/>
                <w:lang w:val="ru-RU"/>
              </w:rPr>
              <w:t xml:space="preserve">тся проблемы с </w:t>
            </w:r>
            <w:r>
              <w:rPr>
                <w:sz w:val="22"/>
                <w:szCs w:val="20"/>
                <w:lang w:val="ru-RU"/>
              </w:rPr>
              <w:t xml:space="preserve">пациентами, потерянными из-под наблюдения в программах лечения </w:t>
            </w:r>
            <w:r w:rsidRPr="00061381">
              <w:rPr>
                <w:sz w:val="22"/>
                <w:szCs w:val="20"/>
                <w:lang w:val="ru-RU"/>
              </w:rPr>
              <w:t>АРТ</w:t>
            </w:r>
            <w:r>
              <w:rPr>
                <w:sz w:val="22"/>
                <w:szCs w:val="20"/>
                <w:lang w:val="ru-RU"/>
              </w:rPr>
              <w:t>. С</w:t>
            </w:r>
            <w:r w:rsidRPr="00061381">
              <w:rPr>
                <w:sz w:val="22"/>
                <w:szCs w:val="20"/>
                <w:lang w:val="ru-RU"/>
              </w:rPr>
              <w:t>охраняется высокая смертность среди людей, живущих с ВИЧ, около 50% выявленных случаев приходится на продвинутые стадии ВИЧ, при этом имеются лица в терминальной стадии СПИДа, которым необходим паллиативный уход.</w:t>
            </w:r>
          </w:p>
          <w:p w14:paraId="27B9102F" w14:textId="43653D78" w:rsidR="00A30343" w:rsidRPr="00061381" w:rsidRDefault="00A30343" w:rsidP="009A3083">
            <w:pPr>
              <w:jc w:val="both"/>
              <w:cnfStyle w:val="000000000000" w:firstRow="0" w:lastRow="0" w:firstColumn="0" w:lastColumn="0" w:oddVBand="0" w:evenVBand="0" w:oddHBand="0" w:evenHBand="0" w:firstRowFirstColumn="0" w:firstRowLastColumn="0" w:lastRowFirstColumn="0" w:lastRowLastColumn="0"/>
              <w:rPr>
                <w:szCs w:val="20"/>
                <w:lang w:val="ru-RU"/>
              </w:rPr>
            </w:pPr>
            <w:r>
              <w:rPr>
                <w:szCs w:val="20"/>
                <w:lang w:val="ru-RU"/>
              </w:rPr>
              <w:t>Е</w:t>
            </w:r>
            <w:r w:rsidRPr="00061381">
              <w:rPr>
                <w:szCs w:val="20"/>
                <w:lang w:val="ru-RU"/>
              </w:rPr>
              <w:t>жегодно увеличива</w:t>
            </w:r>
            <w:r w:rsidR="00F315F0">
              <w:rPr>
                <w:szCs w:val="20"/>
                <w:lang w:val="ru-RU"/>
              </w:rPr>
              <w:t>е</w:t>
            </w:r>
            <w:r w:rsidRPr="00061381">
              <w:rPr>
                <w:szCs w:val="20"/>
                <w:lang w:val="ru-RU"/>
              </w:rPr>
              <w:t>тся объем закупок за счет государственных средств</w:t>
            </w:r>
            <w:r w:rsidR="00F315F0">
              <w:rPr>
                <w:szCs w:val="20"/>
                <w:lang w:val="ru-RU"/>
              </w:rPr>
              <w:t xml:space="preserve">, на данный момент </w:t>
            </w:r>
            <w:r>
              <w:rPr>
                <w:szCs w:val="20"/>
                <w:lang w:val="ru-RU"/>
              </w:rPr>
              <w:t xml:space="preserve">составляет </w:t>
            </w:r>
            <w:r w:rsidRPr="00061381">
              <w:rPr>
                <w:szCs w:val="20"/>
                <w:lang w:val="ru-RU"/>
              </w:rPr>
              <w:t>80% в лекарствах и тестах для диагностики ВИЧ</w:t>
            </w:r>
            <w:r>
              <w:rPr>
                <w:szCs w:val="20"/>
                <w:lang w:val="ru-RU"/>
              </w:rPr>
              <w:t>. Однако</w:t>
            </w:r>
            <w:r w:rsidRPr="00061381">
              <w:rPr>
                <w:szCs w:val="20"/>
                <w:lang w:val="ru-RU"/>
              </w:rPr>
              <w:t xml:space="preserve"> сохраняется риск прерывания услуг по профилактике и ЛиУ, связанных с закупками АРВ препаратов (детских форм) и диагностических тест систем и реагентов, которые государств</w:t>
            </w:r>
            <w:r w:rsidR="00F315F0">
              <w:rPr>
                <w:szCs w:val="20"/>
                <w:lang w:val="ru-RU"/>
              </w:rPr>
              <w:t>о</w:t>
            </w:r>
            <w:r w:rsidRPr="00061381">
              <w:rPr>
                <w:szCs w:val="20"/>
                <w:lang w:val="ru-RU"/>
              </w:rPr>
              <w:t xml:space="preserve"> не может покрыть ввиду </w:t>
            </w:r>
            <w:r w:rsidR="009A3083">
              <w:rPr>
                <w:szCs w:val="20"/>
                <w:lang w:val="ru-RU"/>
              </w:rPr>
              <w:t>дефицита</w:t>
            </w:r>
            <w:r>
              <w:rPr>
                <w:szCs w:val="20"/>
                <w:lang w:val="ru-RU"/>
              </w:rPr>
              <w:t xml:space="preserve"> финансирования, </w:t>
            </w:r>
            <w:r w:rsidRPr="00061381">
              <w:rPr>
                <w:szCs w:val="20"/>
                <w:lang w:val="ru-RU"/>
              </w:rPr>
              <w:t>проблем с регистрацией в КР и барьерами в логистике.</w:t>
            </w:r>
          </w:p>
          <w:p w14:paraId="01AEA4F5" w14:textId="1465B5C4" w:rsidR="00A30343" w:rsidRDefault="00A30343" w:rsidP="009A3083">
            <w:pPr>
              <w:pStyle w:val="a1"/>
              <w:jc w:val="both"/>
              <w:cnfStyle w:val="000000000000" w:firstRow="0" w:lastRow="0" w:firstColumn="0" w:lastColumn="0" w:oddVBand="0" w:evenVBand="0" w:oddHBand="0" w:evenHBand="0" w:firstRowFirstColumn="0" w:firstRowLastColumn="0" w:lastRowFirstColumn="0" w:lastRowLastColumn="0"/>
              <w:rPr>
                <w:sz w:val="22"/>
                <w:szCs w:val="20"/>
                <w:lang w:val="ru-RU"/>
              </w:rPr>
            </w:pPr>
            <w:r w:rsidRPr="00061381">
              <w:rPr>
                <w:sz w:val="22"/>
                <w:szCs w:val="20"/>
                <w:lang w:val="ru-RU"/>
              </w:rPr>
              <w:t xml:space="preserve">Государство осуществляет лечение </w:t>
            </w:r>
            <w:r>
              <w:rPr>
                <w:sz w:val="22"/>
                <w:szCs w:val="20"/>
                <w:lang w:val="ru-RU"/>
              </w:rPr>
              <w:t xml:space="preserve">КГН и </w:t>
            </w:r>
            <w:r w:rsidRPr="00061381">
              <w:rPr>
                <w:sz w:val="22"/>
                <w:szCs w:val="20"/>
                <w:lang w:val="ru-RU"/>
              </w:rPr>
              <w:t>ЛЖВ от ВГС и</w:t>
            </w:r>
            <w:r>
              <w:rPr>
                <w:sz w:val="22"/>
                <w:szCs w:val="20"/>
                <w:lang w:val="ru-RU"/>
              </w:rPr>
              <w:t xml:space="preserve"> ВГВ,</w:t>
            </w:r>
            <w:r w:rsidRPr="00061381">
              <w:rPr>
                <w:sz w:val="22"/>
                <w:szCs w:val="20"/>
                <w:lang w:val="ru-RU"/>
              </w:rPr>
              <w:t xml:space="preserve"> проводит вакцинацию </w:t>
            </w:r>
            <w:r>
              <w:rPr>
                <w:sz w:val="22"/>
                <w:szCs w:val="20"/>
                <w:lang w:val="ru-RU"/>
              </w:rPr>
              <w:t>против ВГВ.</w:t>
            </w:r>
            <w:r w:rsidRPr="00061381">
              <w:rPr>
                <w:sz w:val="22"/>
                <w:szCs w:val="20"/>
                <w:lang w:val="ru-RU"/>
              </w:rPr>
              <w:t xml:space="preserve"> </w:t>
            </w:r>
            <w:r w:rsidR="009A3083">
              <w:rPr>
                <w:sz w:val="22"/>
                <w:szCs w:val="20"/>
                <w:lang w:val="ru-RU"/>
              </w:rPr>
              <w:t>В то же время, о</w:t>
            </w:r>
            <w:r>
              <w:rPr>
                <w:sz w:val="22"/>
                <w:szCs w:val="20"/>
                <w:lang w:val="ru-RU"/>
              </w:rPr>
              <w:t>тсутствует</w:t>
            </w:r>
            <w:r w:rsidR="0023526B">
              <w:rPr>
                <w:sz w:val="22"/>
                <w:szCs w:val="20"/>
                <w:lang w:val="ru-RU"/>
              </w:rPr>
              <w:t>, предусмотренные национальным клиническим протоколом по лечению ВГ и ВИЧ, некоторые виды диагностики, включая</w:t>
            </w:r>
            <w:r>
              <w:rPr>
                <w:sz w:val="22"/>
                <w:szCs w:val="20"/>
                <w:lang w:val="ru-RU"/>
              </w:rPr>
              <w:t xml:space="preserve"> </w:t>
            </w:r>
            <w:r w:rsidRPr="00061381">
              <w:rPr>
                <w:sz w:val="22"/>
                <w:szCs w:val="20"/>
                <w:lang w:val="ru-RU"/>
              </w:rPr>
              <w:t>диагностик</w:t>
            </w:r>
            <w:r w:rsidR="0023526B">
              <w:rPr>
                <w:sz w:val="22"/>
                <w:szCs w:val="20"/>
                <w:lang w:val="ru-RU"/>
              </w:rPr>
              <w:t>у</w:t>
            </w:r>
            <w:r w:rsidRPr="00061381">
              <w:rPr>
                <w:sz w:val="22"/>
                <w:szCs w:val="20"/>
                <w:lang w:val="ru-RU"/>
              </w:rPr>
              <w:t xml:space="preserve"> фибросканом, УЗИ и т.д., так как данные виды диагностики не входят в программы государственных социальных гарантий для </w:t>
            </w:r>
            <w:r>
              <w:rPr>
                <w:sz w:val="22"/>
                <w:szCs w:val="20"/>
                <w:lang w:val="ru-RU"/>
              </w:rPr>
              <w:t>КГН и ЛЖВ.</w:t>
            </w:r>
          </w:p>
          <w:p w14:paraId="23FB023A" w14:textId="57A09A81" w:rsidR="00A30343" w:rsidRPr="008955D7" w:rsidRDefault="00A30343" w:rsidP="009A3083">
            <w:pPr>
              <w:pStyle w:val="a1"/>
              <w:jc w:val="both"/>
              <w:cnfStyle w:val="000000000000" w:firstRow="0" w:lastRow="0" w:firstColumn="0" w:lastColumn="0" w:oddVBand="0" w:evenVBand="0" w:oddHBand="0" w:evenHBand="0" w:firstRowFirstColumn="0" w:firstRowLastColumn="0" w:lastRowFirstColumn="0" w:lastRowLastColumn="0"/>
              <w:rPr>
                <w:sz w:val="22"/>
                <w:szCs w:val="20"/>
                <w:lang w:val="ru-RU"/>
              </w:rPr>
            </w:pPr>
            <w:r w:rsidRPr="008955D7">
              <w:rPr>
                <w:sz w:val="22"/>
                <w:szCs w:val="20"/>
                <w:lang w:val="ru-RU"/>
              </w:rPr>
              <w:t>Сохраняется дефицит кадров на уровне ПМСП, предоставляющих услуги для ЛЖВ. Это вызывает проблемы для обеспечения качественного ведения ЛЖВ на уровне ЦСМ /ГСВ. В некоторых учреждениях ПМСП услуги ЛЖВ оказываются врачами, которые не имеют необходимой квалификации и специализации в области ВИЧ-инфекции. Отсутствие либо некачественное консультирование является одной из причин отказа ЛЖВ от АРТ, низкой приверженности и потери для наблюдения, ухода и поддержки</w:t>
            </w:r>
            <w:r w:rsidR="00F315F0">
              <w:rPr>
                <w:sz w:val="22"/>
                <w:szCs w:val="20"/>
                <w:lang w:val="ru-RU"/>
              </w:rPr>
              <w:t>.</w:t>
            </w:r>
          </w:p>
          <w:p w14:paraId="6F913FE4" w14:textId="2845E025" w:rsidR="00A30343" w:rsidRPr="008955D7" w:rsidRDefault="00A30343" w:rsidP="00A30343">
            <w:pPr>
              <w:jc w:val="both"/>
              <w:cnfStyle w:val="000000000000" w:firstRow="0" w:lastRow="0" w:firstColumn="0" w:lastColumn="0" w:oddVBand="0" w:evenVBand="0" w:oddHBand="0" w:evenHBand="0" w:firstRowFirstColumn="0" w:firstRowLastColumn="0" w:lastRowFirstColumn="0" w:lastRowLastColumn="0"/>
              <w:rPr>
                <w:szCs w:val="20"/>
                <w:lang w:val="ru-RU"/>
              </w:rPr>
            </w:pPr>
            <w:r w:rsidRPr="008955D7">
              <w:rPr>
                <w:szCs w:val="20"/>
                <w:lang w:val="ru-RU"/>
              </w:rPr>
              <w:t xml:space="preserve">Ежегодное увеличение закупок медикаментов и изделий медицинского назначения за счет государственных средств для программ ВИЧ и </w:t>
            </w:r>
            <w:r w:rsidR="00F315F0">
              <w:rPr>
                <w:szCs w:val="20"/>
                <w:lang w:val="ru-RU"/>
              </w:rPr>
              <w:t>ТБ</w:t>
            </w:r>
            <w:r w:rsidRPr="008955D7">
              <w:rPr>
                <w:szCs w:val="20"/>
                <w:lang w:val="ru-RU"/>
              </w:rPr>
              <w:t xml:space="preserve"> требует развития цепи поставок с целью создания устойчивой системы управления запасами и поставками ЛС и ИМН. Надлежащее состояние складов и их количество являются одними из важных компонентов, определяющих потенциал для хранения необходимого запаса ЛС и ИМИ и их эффективное распределение. Эти факторы влияют на безопасность товаров, частоту закупки товаров, оптимизацию графика поставок, экономию транспортных расходов и другие показатели в цепи поставок. С увеличением количества пациентов увеличиваются объёмы медикаментов и ИМН, при этом областные центры не имеют достаточного количества помещений для надлежащего хранения необходимого запаса ЛС и ИМН, соответствующим международным стандартам хранения ЛС и ИМН.</w:t>
            </w:r>
          </w:p>
          <w:p w14:paraId="324CEFFC" w14:textId="46589899" w:rsidR="00A30343" w:rsidRPr="008955D7" w:rsidRDefault="00A30343" w:rsidP="00A30343">
            <w:pPr>
              <w:jc w:val="both"/>
              <w:cnfStyle w:val="000000000000" w:firstRow="0" w:lastRow="0" w:firstColumn="0" w:lastColumn="0" w:oddVBand="0" w:evenVBand="0" w:oddHBand="0" w:evenHBand="0" w:firstRowFirstColumn="0" w:firstRowLastColumn="0" w:lastRowFirstColumn="0" w:lastRowLastColumn="0"/>
              <w:rPr>
                <w:szCs w:val="20"/>
                <w:lang w:val="ru-RU"/>
              </w:rPr>
            </w:pPr>
            <w:r w:rsidRPr="008955D7">
              <w:rPr>
                <w:szCs w:val="20"/>
                <w:lang w:val="ru-RU"/>
              </w:rPr>
              <w:lastRenderedPageBreak/>
              <w:t>В связи с этим</w:t>
            </w:r>
            <w:r w:rsidR="009A3083">
              <w:rPr>
                <w:szCs w:val="20"/>
                <w:lang w:val="ru-RU"/>
              </w:rPr>
              <w:t>,</w:t>
            </w:r>
            <w:r w:rsidRPr="008955D7">
              <w:rPr>
                <w:szCs w:val="20"/>
                <w:lang w:val="ru-RU"/>
              </w:rPr>
              <w:t xml:space="preserve"> АРВ-препараты, закупаемые за счёт ГФ, хранятся отдельно на складе, арендуемом основным реципиентом (ПРООН). В целом, страна не имеет централизованной системы транспортировки ЛС и ИМН. В случае закупки ЛС и ИМН основным реципиентом, нанимается логистическая компания, услуги которой соответствуют правилам транспортировки ЛС и ИМН.</w:t>
            </w:r>
          </w:p>
          <w:p w14:paraId="2AE9B803" w14:textId="4C9F6E96" w:rsidR="00540290" w:rsidRPr="008B08A2" w:rsidRDefault="00A30343" w:rsidP="00A30343">
            <w:pPr>
              <w:pStyle w:val="a1"/>
              <w:jc w:val="both"/>
              <w:cnfStyle w:val="000000000000" w:firstRow="0" w:lastRow="0" w:firstColumn="0" w:lastColumn="0" w:oddVBand="0" w:evenVBand="0" w:oddHBand="0" w:evenHBand="0" w:firstRowFirstColumn="0" w:firstRowLastColumn="0" w:lastRowFirstColumn="0" w:lastRowLastColumn="0"/>
              <w:rPr>
                <w:sz w:val="22"/>
                <w:szCs w:val="20"/>
                <w:lang w:val="ru-RU"/>
              </w:rPr>
            </w:pPr>
            <w:r w:rsidRPr="008955D7">
              <w:rPr>
                <w:sz w:val="22"/>
                <w:szCs w:val="20"/>
                <w:lang w:val="ru-RU"/>
              </w:rPr>
              <w:t>В бюджетах организаций здравоохранения не предусмотрены статьи для оплаты грузовых транспортных перевозок. Своего транспорта для доставки в республиканских организациях не предусмотрено. При государственных закупках ЛС и ИМН поступают на склад Республиканских центров, затем согласно плану распределения, областные организации здравоохранения своими силами осуществляют доставку ЛС и ИМН в регионы, причем не всегда имеются возможности для соблюдения требований транспортировки. В ряде случаев Республиканские центры обращаются в донорские организации по доставке ЛС и ИМН.</w:t>
            </w:r>
          </w:p>
        </w:tc>
      </w:tr>
      <w:tr w:rsidR="00C46990" w14:paraId="7A00DDD5" w14:textId="77777777" w:rsidTr="00C469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6E4A9445" w14:textId="77777777" w:rsidR="00C46990" w:rsidRDefault="00C46990" w:rsidP="00C46990">
            <w:pPr>
              <w:pStyle w:val="a1"/>
            </w:pPr>
            <w:r>
              <w:rPr>
                <w:lang w:val="ru-RU"/>
              </w:rPr>
              <w:lastRenderedPageBreak/>
              <w:t>Запрашиваемая сумма</w:t>
            </w:r>
          </w:p>
        </w:tc>
        <w:tc>
          <w:tcPr>
            <w:tcW w:w="13025" w:type="dxa"/>
          </w:tcPr>
          <w:p w14:paraId="3E27053E" w14:textId="77777777" w:rsidR="00C46990" w:rsidRPr="00621F12" w:rsidRDefault="00C46990" w:rsidP="00C46990">
            <w:pPr>
              <w:pStyle w:val="a1"/>
              <w:cnfStyle w:val="000000100000" w:firstRow="0" w:lastRow="0" w:firstColumn="0" w:lastColumn="0" w:oddVBand="0" w:evenVBand="0" w:oddHBand="1" w:evenHBand="0" w:firstRowFirstColumn="0" w:firstRowLastColumn="0" w:lastRowFirstColumn="0" w:lastRowLastColumn="0"/>
              <w:rPr>
                <w:sz w:val="22"/>
                <w:szCs w:val="20"/>
              </w:rPr>
            </w:pPr>
          </w:p>
        </w:tc>
      </w:tr>
      <w:tr w:rsidR="00C46990" w14:paraId="03EF4EC0" w14:textId="77777777" w:rsidTr="00C46990">
        <w:tc>
          <w:tcPr>
            <w:cnfStyle w:val="001000000000" w:firstRow="0" w:lastRow="0" w:firstColumn="1" w:lastColumn="0" w:oddVBand="0" w:evenVBand="0" w:oddHBand="0" w:evenHBand="0" w:firstRowFirstColumn="0" w:firstRowLastColumn="0" w:lastRowFirstColumn="0" w:lastRowLastColumn="0"/>
            <w:tcW w:w="2138" w:type="dxa"/>
          </w:tcPr>
          <w:p w14:paraId="0E4B2B12" w14:textId="77777777" w:rsidR="00C46990" w:rsidRPr="003967C3" w:rsidRDefault="00C46990" w:rsidP="00C46990">
            <w:pPr>
              <w:pStyle w:val="a1"/>
              <w:rPr>
                <w:color w:val="FF0000"/>
              </w:rPr>
            </w:pPr>
            <w:r w:rsidRPr="005A67CC">
              <w:rPr>
                <w:lang w:val="ru-RU"/>
              </w:rPr>
              <w:t>Ожидаемый результат</w:t>
            </w:r>
          </w:p>
        </w:tc>
        <w:tc>
          <w:tcPr>
            <w:tcW w:w="13025" w:type="dxa"/>
          </w:tcPr>
          <w:p w14:paraId="74BFFA39" w14:textId="77777777" w:rsidR="00C46990" w:rsidRPr="00621F12" w:rsidRDefault="00C46990" w:rsidP="00C46990">
            <w:pPr>
              <w:pStyle w:val="a1"/>
              <w:cnfStyle w:val="000000000000" w:firstRow="0" w:lastRow="0" w:firstColumn="0" w:lastColumn="0" w:oddVBand="0" w:evenVBand="0" w:oddHBand="0" w:evenHBand="0" w:firstRowFirstColumn="0" w:firstRowLastColumn="0" w:lastRowFirstColumn="0" w:lastRowLastColumn="0"/>
              <w:rPr>
                <w:sz w:val="22"/>
                <w:szCs w:val="20"/>
              </w:rPr>
            </w:pPr>
          </w:p>
        </w:tc>
      </w:tr>
    </w:tbl>
    <w:p w14:paraId="6A7A7174" w14:textId="7829738F" w:rsidR="006C41C1" w:rsidRDefault="006C41C1" w:rsidP="007E2465">
      <w:pPr>
        <w:pStyle w:val="a1"/>
        <w:rPr>
          <w:i/>
          <w:iCs/>
          <w:lang w:val="ru-RU"/>
        </w:rPr>
      </w:pPr>
    </w:p>
    <w:p w14:paraId="694331C7" w14:textId="77777777" w:rsidR="006C41C1" w:rsidRDefault="006C41C1">
      <w:pPr>
        <w:spacing w:after="200"/>
        <w:rPr>
          <w:i/>
          <w:iCs/>
          <w:sz w:val="24"/>
          <w:lang w:val="ru-RU"/>
        </w:rPr>
      </w:pPr>
      <w:r>
        <w:rPr>
          <w:i/>
          <w:iCs/>
          <w:lang w:val="ru-RU"/>
        </w:rPr>
        <w:br w:type="page"/>
      </w:r>
    </w:p>
    <w:tbl>
      <w:tblPr>
        <w:tblStyle w:val="110"/>
        <w:tblpPr w:leftFromText="181" w:rightFromText="181" w:vertAnchor="page" w:horzAnchor="margin" w:tblpY="911"/>
        <w:tblW w:w="15163" w:type="dxa"/>
        <w:tblLook w:val="04A0" w:firstRow="1" w:lastRow="0" w:firstColumn="1" w:lastColumn="0" w:noHBand="0" w:noVBand="1"/>
      </w:tblPr>
      <w:tblGrid>
        <w:gridCol w:w="2138"/>
        <w:gridCol w:w="13025"/>
      </w:tblGrid>
      <w:tr w:rsidR="006C41C1" w:rsidRPr="00AC00FB" w14:paraId="1D5958B6" w14:textId="77777777" w:rsidTr="006C41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6C401CB4" w14:textId="3234F51B" w:rsidR="006C41C1" w:rsidRPr="000B517D" w:rsidRDefault="006C41C1" w:rsidP="006C41C1">
            <w:pPr>
              <w:pStyle w:val="a1"/>
              <w:rPr>
                <w:lang w:val="ru-RU"/>
              </w:rPr>
            </w:pPr>
            <w:r>
              <w:rPr>
                <w:lang w:val="ru-RU"/>
              </w:rPr>
              <w:lastRenderedPageBreak/>
              <w:t>Модуль №</w:t>
            </w:r>
            <w:r>
              <w:t xml:space="preserve"> </w:t>
            </w:r>
            <w:r w:rsidRPr="005A67CC">
              <w:rPr>
                <w:lang w:val="ru-RU"/>
              </w:rPr>
              <w:t>1</w:t>
            </w:r>
            <w:r w:rsidR="00540290" w:rsidRPr="005A67CC">
              <w:rPr>
                <w:lang w:val="ru-RU"/>
              </w:rPr>
              <w:t>1</w:t>
            </w:r>
          </w:p>
        </w:tc>
        <w:tc>
          <w:tcPr>
            <w:tcW w:w="13025" w:type="dxa"/>
          </w:tcPr>
          <w:p w14:paraId="729A1D0C" w14:textId="77777777" w:rsidR="006C41C1" w:rsidRPr="00225ADB" w:rsidRDefault="006C41C1" w:rsidP="006C41C1">
            <w:pPr>
              <w:jc w:val="both"/>
              <w:cnfStyle w:val="100000000000" w:firstRow="1" w:lastRow="0" w:firstColumn="0" w:lastColumn="0" w:oddVBand="0" w:evenVBand="0" w:oddHBand="0" w:evenHBand="0" w:firstRowFirstColumn="0" w:firstRowLastColumn="0" w:lastRowFirstColumn="0" w:lastRowLastColumn="0"/>
              <w:rPr>
                <w:sz w:val="24"/>
                <w:szCs w:val="24"/>
                <w:lang w:val="ru-RU"/>
              </w:rPr>
            </w:pPr>
            <w:r>
              <w:rPr>
                <w:sz w:val="24"/>
                <w:szCs w:val="24"/>
                <w:lang w:val="ru-RU"/>
              </w:rPr>
              <w:t>ТБ/ВИЧ</w:t>
            </w:r>
          </w:p>
        </w:tc>
      </w:tr>
      <w:tr w:rsidR="006C41C1" w:rsidRPr="00A26916" w14:paraId="7E68BC7D" w14:textId="77777777" w:rsidTr="006C4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07AD01A2" w14:textId="3AF5339A" w:rsidR="006C41C1" w:rsidRDefault="00C55C38" w:rsidP="006C41C1">
            <w:pPr>
              <w:pStyle w:val="a1"/>
            </w:pPr>
            <w:r>
              <w:rPr>
                <w:lang w:val="ru-RU"/>
              </w:rPr>
              <w:t>Вмешательства</w:t>
            </w:r>
          </w:p>
        </w:tc>
        <w:tc>
          <w:tcPr>
            <w:tcW w:w="13025" w:type="dxa"/>
          </w:tcPr>
          <w:p w14:paraId="13244A38" w14:textId="1C7A2CD9" w:rsidR="006C41C1" w:rsidRPr="005E70A1" w:rsidRDefault="005E70A1" w:rsidP="006C41C1">
            <w:pPr>
              <w:jc w:val="both"/>
              <w:cnfStyle w:val="000000100000" w:firstRow="0" w:lastRow="0" w:firstColumn="0" w:lastColumn="0" w:oddVBand="0" w:evenVBand="0" w:oddHBand="1" w:evenHBand="0" w:firstRowFirstColumn="0" w:firstRowLastColumn="0" w:lastRowFirstColumn="0" w:lastRowLastColumn="0"/>
              <w:rPr>
                <w:b/>
                <w:bCs/>
                <w:lang w:val="ru-RU"/>
              </w:rPr>
            </w:pPr>
            <w:r w:rsidRPr="005E70A1">
              <w:rPr>
                <w:b/>
                <w:bCs/>
                <w:lang w:val="ru-RU"/>
              </w:rPr>
              <w:t>ТБ/ВИЧ - Совместные мероприятия</w:t>
            </w:r>
          </w:p>
          <w:p w14:paraId="080EFD17" w14:textId="750690E4" w:rsidR="00190F81" w:rsidRPr="00F65E94" w:rsidRDefault="00190F81" w:rsidP="00190F81">
            <w:pPr>
              <w:jc w:val="both"/>
              <w:cnfStyle w:val="000000100000" w:firstRow="0" w:lastRow="0" w:firstColumn="0" w:lastColumn="0" w:oddVBand="0" w:evenVBand="0" w:oddHBand="1" w:evenHBand="0" w:firstRowFirstColumn="0" w:firstRowLastColumn="0" w:lastRowFirstColumn="0" w:lastRowLastColumn="0"/>
              <w:rPr>
                <w:lang w:val="ru-RU"/>
              </w:rPr>
            </w:pPr>
            <w:r w:rsidRPr="00D205AA">
              <w:rPr>
                <w:lang w:val="ru-RU"/>
              </w:rPr>
              <w:t xml:space="preserve">С учетом высокого бремени туберкулеза в стране, основные усилия в рамках гранта будут </w:t>
            </w:r>
            <w:r w:rsidRPr="00F315F0">
              <w:rPr>
                <w:lang w:val="ru-RU"/>
              </w:rPr>
              <w:t>направлены на</w:t>
            </w:r>
            <w:r w:rsidRPr="00D205AA">
              <w:rPr>
                <w:b/>
                <w:bCs/>
                <w:lang w:val="ru-RU"/>
              </w:rPr>
              <w:t xml:space="preserve"> выявление туберкулеза среди ЛЖВ в медицинских и общественных организациях, увеличение охвата профилактическим лечением латентной туберкулезной инфекции</w:t>
            </w:r>
            <w:r w:rsidRPr="00D205AA">
              <w:rPr>
                <w:lang w:val="ru-RU"/>
              </w:rPr>
              <w:t xml:space="preserve">. </w:t>
            </w:r>
            <w:r w:rsidRPr="000C3390">
              <w:rPr>
                <w:lang w:val="ru-RU"/>
              </w:rPr>
              <w:t>Смертность от туберкулеза остается первой причиной смертности среди ЛЖВ и в 20</w:t>
            </w:r>
            <w:r>
              <w:rPr>
                <w:lang w:val="ru-RU"/>
              </w:rPr>
              <w:t>22</w:t>
            </w:r>
            <w:r w:rsidRPr="000C3390">
              <w:rPr>
                <w:lang w:val="ru-RU"/>
              </w:rPr>
              <w:t xml:space="preserve"> году составила </w:t>
            </w:r>
            <w:r>
              <w:rPr>
                <w:lang w:val="ru-RU"/>
              </w:rPr>
              <w:t>2</w:t>
            </w:r>
            <w:r w:rsidRPr="000C3390">
              <w:rPr>
                <w:lang w:val="ru-RU"/>
              </w:rPr>
              <w:t xml:space="preserve">0% из всех случаев смертей среди ЛЖВ. </w:t>
            </w:r>
            <w:r w:rsidRPr="00F5217F">
              <w:rPr>
                <w:lang w:val="ru-RU"/>
              </w:rPr>
              <w:t xml:space="preserve">Охват лечением новых выявленных ЛЖВ с ко-инфекцией ВИЧ/ТБ с ПТП и АРТ составляет </w:t>
            </w:r>
            <w:r>
              <w:rPr>
                <w:lang w:val="ru-RU"/>
              </w:rPr>
              <w:t>более 95%</w:t>
            </w:r>
            <w:r w:rsidRPr="00F5217F">
              <w:rPr>
                <w:lang w:val="ru-RU"/>
              </w:rPr>
              <w:t>.</w:t>
            </w:r>
            <w:r>
              <w:rPr>
                <w:lang w:val="ru-RU"/>
              </w:rPr>
              <w:t xml:space="preserve"> </w:t>
            </w:r>
            <w:r w:rsidRPr="00F5217F">
              <w:rPr>
                <w:lang w:val="ru-RU"/>
              </w:rPr>
              <w:t>Несмотря на успехи по лечению сочетанной инфекции ВИЧ и туберкулеза</w:t>
            </w:r>
            <w:r w:rsidR="00EE421C">
              <w:rPr>
                <w:lang w:val="ru-RU"/>
              </w:rPr>
              <w:t xml:space="preserve">, </w:t>
            </w:r>
            <w:r>
              <w:rPr>
                <w:lang w:val="ru-RU"/>
              </w:rPr>
              <w:t>часто</w:t>
            </w:r>
            <w:r w:rsidRPr="000C3390">
              <w:rPr>
                <w:lang w:val="ru-RU"/>
              </w:rPr>
              <w:t xml:space="preserve"> отмеча</w:t>
            </w:r>
            <w:r>
              <w:rPr>
                <w:lang w:val="ru-RU"/>
              </w:rPr>
              <w:t>ется</w:t>
            </w:r>
            <w:r w:rsidRPr="000C3390">
              <w:rPr>
                <w:lang w:val="ru-RU"/>
              </w:rPr>
              <w:t xml:space="preserve"> </w:t>
            </w:r>
            <w:r>
              <w:rPr>
                <w:lang w:val="ru-RU"/>
              </w:rPr>
              <w:t>выявление</w:t>
            </w:r>
            <w:r w:rsidRPr="000C3390">
              <w:rPr>
                <w:lang w:val="ru-RU"/>
              </w:rPr>
              <w:t xml:space="preserve"> ВИЧ </w:t>
            </w:r>
            <w:r>
              <w:rPr>
                <w:lang w:val="ru-RU"/>
              </w:rPr>
              <w:t>после постановки диагноза туберкулез.</w:t>
            </w:r>
            <w:r w:rsidRPr="00F5217F">
              <w:rPr>
                <w:lang w:val="ru-RU"/>
              </w:rPr>
              <w:t xml:space="preserve"> </w:t>
            </w:r>
            <w:r w:rsidRPr="00D205AA">
              <w:rPr>
                <w:b/>
                <w:bCs/>
                <w:lang w:val="ru-RU"/>
              </w:rPr>
              <w:t>Для ранней диагностики ВИЧ у пациентов с симптомами ВИЧ на уровне ПМСП будут внедрены экспресс тестирование на ВИЧ параллельно с диагностикой туберкулеза.</w:t>
            </w:r>
            <w:r>
              <w:rPr>
                <w:lang w:val="ru-RU"/>
              </w:rPr>
              <w:t xml:space="preserve"> </w:t>
            </w:r>
          </w:p>
          <w:p w14:paraId="42101E1E" w14:textId="77777777" w:rsidR="00190F81" w:rsidRPr="00D205AA" w:rsidRDefault="00190F81" w:rsidP="00F315F0">
            <w:pPr>
              <w:jc w:val="both"/>
              <w:cnfStyle w:val="000000100000" w:firstRow="0" w:lastRow="0" w:firstColumn="0" w:lastColumn="0" w:oddVBand="0" w:evenVBand="0" w:oddHBand="1" w:evenHBand="0" w:firstRowFirstColumn="0" w:firstRowLastColumn="0" w:lastRowFirstColumn="0" w:lastRowLastColumn="0"/>
              <w:rPr>
                <w:lang w:val="ru-RU"/>
              </w:rPr>
            </w:pPr>
            <w:r w:rsidRPr="00D205AA">
              <w:rPr>
                <w:b/>
                <w:bCs/>
                <w:lang w:val="ru-RU"/>
              </w:rPr>
              <w:t>В целях упрощения и ускорения процедуры диагностики активного ТБ, будут закуплены экспресс-тесты и расходные материалы на определение антигена микобактерий в моче (LF-LAM) среди ЛЖВ с продвинутыми стадиями ВИЧ или низким количеством СД4 лимфоцитов.</w:t>
            </w:r>
            <w:r w:rsidRPr="00D205AA">
              <w:rPr>
                <w:lang w:val="ru-RU"/>
              </w:rPr>
              <w:t xml:space="preserve"> В настоящее время в стране уже имеется положительный опыт использования таких тестов, включая наличие нормативных документов и обученный персонал.</w:t>
            </w:r>
          </w:p>
          <w:p w14:paraId="7F6038AA" w14:textId="77777777" w:rsidR="00190F81" w:rsidRPr="00D205AA" w:rsidRDefault="00190F81" w:rsidP="00F315F0">
            <w:pPr>
              <w:jc w:val="both"/>
              <w:cnfStyle w:val="000000100000" w:firstRow="0" w:lastRow="0" w:firstColumn="0" w:lastColumn="0" w:oddVBand="0" w:evenVBand="0" w:oddHBand="1" w:evenHBand="0" w:firstRowFirstColumn="0" w:firstRowLastColumn="0" w:lastRowFirstColumn="0" w:lastRowLastColumn="0"/>
              <w:rPr>
                <w:b/>
                <w:bCs/>
                <w:lang w:val="ru-RU"/>
              </w:rPr>
            </w:pPr>
            <w:r w:rsidRPr="00D205AA">
              <w:rPr>
                <w:b/>
                <w:bCs/>
                <w:lang w:val="ru-RU"/>
              </w:rPr>
              <w:t>Для повышения доли ЛЖВ, начавших и завершивших профилактическое лечение латентной туберкулезной инфекции, будут закуплены лекарственные препараты, позволяющие сократить и упростить курс лечения (3HP).</w:t>
            </w:r>
          </w:p>
          <w:p w14:paraId="296AD4CF" w14:textId="77777777" w:rsidR="00190F81" w:rsidRDefault="00190F81" w:rsidP="00F315F0">
            <w:pPr>
              <w:jc w:val="both"/>
              <w:cnfStyle w:val="000000100000" w:firstRow="0" w:lastRow="0" w:firstColumn="0" w:lastColumn="0" w:oddVBand="0" w:evenVBand="0" w:oddHBand="1" w:evenHBand="0" w:firstRowFirstColumn="0" w:firstRowLastColumn="0" w:lastRowFirstColumn="0" w:lastRowLastColumn="0"/>
              <w:rPr>
                <w:b/>
                <w:bCs/>
                <w:lang w:val="ru-RU"/>
              </w:rPr>
            </w:pPr>
            <w:r w:rsidRPr="00D205AA">
              <w:rPr>
                <w:b/>
                <w:bCs/>
                <w:lang w:val="ru-RU"/>
              </w:rPr>
              <w:t>Сотрудники НПО и организаций здравоохранения будут обучены стандартам оказания услуг лечения, ухода и поддержки для людей с коинфекцией ВИЧ и ТБ, в соответствии с обновленными клиническими руководствами.</w:t>
            </w:r>
          </w:p>
          <w:p w14:paraId="01FAA616" w14:textId="33384FB2" w:rsidR="006C41C1" w:rsidRDefault="00190F81" w:rsidP="00190F81">
            <w:pPr>
              <w:jc w:val="both"/>
              <w:cnfStyle w:val="000000100000" w:firstRow="0" w:lastRow="0" w:firstColumn="0" w:lastColumn="0" w:oddVBand="0" w:evenVBand="0" w:oddHBand="1" w:evenHBand="0" w:firstRowFirstColumn="0" w:firstRowLastColumn="0" w:lastRowFirstColumn="0" w:lastRowLastColumn="0"/>
              <w:rPr>
                <w:lang w:val="ru-RU"/>
              </w:rPr>
            </w:pPr>
            <w:r w:rsidRPr="00190F81">
              <w:rPr>
                <w:lang w:val="ru-RU"/>
              </w:rPr>
              <w:t>Усилится партнерство и взаимодействие государственных структур и гражданского общества по достижению целей по преодолению ВИЧ и ТБ. В службах по ВИЧ и туберкулезу существует системы электронного слежения, которые будут интегрированы в общую систему электронного здравоохранения для оперативного обмена информацией.</w:t>
            </w:r>
          </w:p>
          <w:p w14:paraId="436114D3" w14:textId="3842EDD0" w:rsidR="00EE421C" w:rsidRPr="00190F81" w:rsidRDefault="00EE421C" w:rsidP="00190F81">
            <w:pPr>
              <w:jc w:val="both"/>
              <w:cnfStyle w:val="000000100000" w:firstRow="0" w:lastRow="0" w:firstColumn="0" w:lastColumn="0" w:oddVBand="0" w:evenVBand="0" w:oddHBand="1" w:evenHBand="0" w:firstRowFirstColumn="0" w:firstRowLastColumn="0" w:lastRowFirstColumn="0" w:lastRowLastColumn="0"/>
              <w:rPr>
                <w:lang w:val="ru-RU"/>
              </w:rPr>
            </w:pPr>
            <w:r>
              <w:rPr>
                <w:lang w:val="ru-RU"/>
              </w:rPr>
              <w:t>Будут предусмотрены организационные улучшения во взаимодействии служб ТБ и ВИЧ. В</w:t>
            </w:r>
            <w:r w:rsidR="00191D41">
              <w:rPr>
                <w:lang w:val="ru-RU"/>
              </w:rPr>
              <w:t xml:space="preserve"> консилиумы специалистов в</w:t>
            </w:r>
            <w:r>
              <w:rPr>
                <w:lang w:val="ru-RU"/>
              </w:rPr>
              <w:t xml:space="preserve"> Национальном центре фтизиатрии будут включены специалисты ВИЧ служб, будут пересмотрены форматы ведения истории болезни людей с туберкулезом, в которых </w:t>
            </w:r>
            <w:r w:rsidR="00191D41">
              <w:rPr>
                <w:lang w:val="ru-RU"/>
              </w:rPr>
              <w:t>будут включены назначения в связи с ВИЧ-инфекцией. С этой целью будет проведен комплексный анализ взаимодействия служб и разработаны практические рекомендации для усиления взаимодействия.</w:t>
            </w:r>
          </w:p>
        </w:tc>
      </w:tr>
      <w:tr w:rsidR="006C41C1" w:rsidRPr="00A26916" w14:paraId="01A34B95" w14:textId="77777777" w:rsidTr="006C41C1">
        <w:tc>
          <w:tcPr>
            <w:cnfStyle w:val="001000000000" w:firstRow="0" w:lastRow="0" w:firstColumn="1" w:lastColumn="0" w:oddVBand="0" w:evenVBand="0" w:oddHBand="0" w:evenHBand="0" w:firstRowFirstColumn="0" w:firstRowLastColumn="0" w:lastRowFirstColumn="0" w:lastRowLastColumn="0"/>
            <w:tcW w:w="2138" w:type="dxa"/>
          </w:tcPr>
          <w:p w14:paraId="1313FF73" w14:textId="77777777" w:rsidR="006C41C1" w:rsidRPr="008B08A2" w:rsidRDefault="006C41C1" w:rsidP="006C41C1">
            <w:pPr>
              <w:pStyle w:val="a1"/>
              <w:rPr>
                <w:lang w:val="ru-RU"/>
              </w:rPr>
            </w:pPr>
            <w:r>
              <w:rPr>
                <w:lang w:val="ru-RU"/>
              </w:rPr>
              <w:t>Население</w:t>
            </w:r>
            <w:r w:rsidRPr="008B08A2">
              <w:rPr>
                <w:lang w:val="ru-RU"/>
              </w:rPr>
              <w:t xml:space="preserve">, </w:t>
            </w:r>
            <w:r>
              <w:rPr>
                <w:lang w:val="ru-RU"/>
              </w:rPr>
              <w:t>территории</w:t>
            </w:r>
            <w:r w:rsidRPr="008B08A2">
              <w:rPr>
                <w:lang w:val="ru-RU"/>
              </w:rPr>
              <w:t xml:space="preserve"> </w:t>
            </w:r>
            <w:r>
              <w:rPr>
                <w:lang w:val="ru-RU"/>
              </w:rPr>
              <w:t>и</w:t>
            </w:r>
            <w:r w:rsidRPr="008B08A2">
              <w:rPr>
                <w:lang w:val="ru-RU"/>
              </w:rPr>
              <w:t>/</w:t>
            </w:r>
            <w:r>
              <w:rPr>
                <w:lang w:val="ru-RU"/>
              </w:rPr>
              <w:t>или</w:t>
            </w:r>
            <w:r w:rsidRPr="008B08A2">
              <w:rPr>
                <w:lang w:val="ru-RU"/>
              </w:rPr>
              <w:t xml:space="preserve"> </w:t>
            </w:r>
            <w:r>
              <w:rPr>
                <w:lang w:val="ru-RU"/>
              </w:rPr>
              <w:t>барьеры</w:t>
            </w:r>
            <w:r w:rsidRPr="008B08A2">
              <w:rPr>
                <w:lang w:val="ru-RU"/>
              </w:rPr>
              <w:t xml:space="preserve">, </w:t>
            </w:r>
            <w:r>
              <w:rPr>
                <w:lang w:val="ru-RU"/>
              </w:rPr>
              <w:t>на</w:t>
            </w:r>
            <w:r w:rsidRPr="008B08A2">
              <w:rPr>
                <w:lang w:val="ru-RU"/>
              </w:rPr>
              <w:t xml:space="preserve"> </w:t>
            </w:r>
            <w:r>
              <w:rPr>
                <w:lang w:val="ru-RU"/>
              </w:rPr>
              <w:t xml:space="preserve">которые </w:t>
            </w:r>
            <w:r>
              <w:rPr>
                <w:lang w:val="ru-RU"/>
              </w:rPr>
              <w:lastRenderedPageBreak/>
              <w:t>направлена деятельность</w:t>
            </w:r>
          </w:p>
        </w:tc>
        <w:tc>
          <w:tcPr>
            <w:tcW w:w="13025" w:type="dxa"/>
          </w:tcPr>
          <w:p w14:paraId="013B91F5" w14:textId="31482D9A" w:rsidR="006C41C1" w:rsidRDefault="006C41C1" w:rsidP="006C41C1">
            <w:pPr>
              <w:jc w:val="both"/>
              <w:cnfStyle w:val="000000000000" w:firstRow="0" w:lastRow="0" w:firstColumn="0" w:lastColumn="0" w:oddVBand="0" w:evenVBand="0" w:oddHBand="0" w:evenHBand="0" w:firstRowFirstColumn="0" w:firstRowLastColumn="0" w:lastRowFirstColumn="0" w:lastRowLastColumn="0"/>
              <w:rPr>
                <w:lang w:val="ru-RU"/>
              </w:rPr>
            </w:pPr>
            <w:r w:rsidRPr="00F5217F">
              <w:rPr>
                <w:lang w:val="ru-RU"/>
              </w:rPr>
              <w:lastRenderedPageBreak/>
              <w:t xml:space="preserve">Пациенты с сочетанной инфекцией ВИЧ/ТБ, ВИЧ инфицированные, </w:t>
            </w:r>
            <w:r w:rsidR="00ED016D">
              <w:rPr>
                <w:lang w:val="ru-RU"/>
              </w:rPr>
              <w:t>люди с</w:t>
            </w:r>
            <w:r w:rsidRPr="00F5217F">
              <w:rPr>
                <w:lang w:val="ru-RU"/>
              </w:rPr>
              <w:t xml:space="preserve"> ТБ.</w:t>
            </w:r>
          </w:p>
          <w:p w14:paraId="4390F4B9" w14:textId="77777777" w:rsidR="00190F81" w:rsidRDefault="00190F81" w:rsidP="00190F81">
            <w:pPr>
              <w:jc w:val="both"/>
              <w:cnfStyle w:val="000000000000" w:firstRow="0" w:lastRow="0" w:firstColumn="0" w:lastColumn="0" w:oddVBand="0" w:evenVBand="0" w:oddHBand="0" w:evenHBand="0" w:firstRowFirstColumn="0" w:firstRowLastColumn="0" w:lastRowFirstColumn="0" w:lastRowLastColumn="0"/>
              <w:rPr>
                <w:lang w:val="ru-RU"/>
              </w:rPr>
            </w:pPr>
            <w:r w:rsidRPr="00F5217F">
              <w:rPr>
                <w:lang w:val="ru-RU"/>
              </w:rPr>
              <w:t xml:space="preserve">Несмотря на несомненные успехи по выявлению и лечению сочетанной инфекции ВИЧ и туберкулеза, последний является основной причиной смертности при ВИЧ-инфекции, составив 20% от числа умерших от ВИЧ-инфекции в 2022 году. Отмечаются случаи, что при первых обращениях в связи с ухудшением здоровья в организации ПМСП, не проводится </w:t>
            </w:r>
            <w:r w:rsidRPr="00F5217F">
              <w:rPr>
                <w:lang w:val="ru-RU"/>
              </w:rPr>
              <w:lastRenderedPageBreak/>
              <w:t>скрининг на ВИЧ, что может свидетельствовать о низкой настороженности либо недостаточном потенциале специалистов ПМСП.</w:t>
            </w:r>
          </w:p>
          <w:p w14:paraId="2B0939D2" w14:textId="77777777" w:rsidR="00190F81" w:rsidRDefault="00190F81" w:rsidP="00190F81">
            <w:pPr>
              <w:jc w:val="both"/>
              <w:cnfStyle w:val="000000000000" w:firstRow="0" w:lastRow="0" w:firstColumn="0" w:lastColumn="0" w:oddVBand="0" w:evenVBand="0" w:oddHBand="0" w:evenHBand="0" w:firstRowFirstColumn="0" w:firstRowLastColumn="0" w:lastRowFirstColumn="0" w:lastRowLastColumn="0"/>
              <w:rPr>
                <w:lang w:val="ru-RU"/>
              </w:rPr>
            </w:pPr>
            <w:r w:rsidRPr="00F5217F">
              <w:rPr>
                <w:lang w:val="ru-RU"/>
              </w:rPr>
              <w:t>Охват профилактикой изониазидом среди вновь выявленных ЛЖВ снизился до 45%. Это связано с изменением критериев, нуждающихся в ПТИ согласно обновленного КП, так как, стабильным пациентам проводит лечение латентного ТБ 1 раз в жизни и также, с исключением индикаторов, отслеживающих данный показатель.</w:t>
            </w:r>
            <w:r>
              <w:rPr>
                <w:lang w:val="ru-RU"/>
              </w:rPr>
              <w:t xml:space="preserve"> </w:t>
            </w:r>
          </w:p>
          <w:p w14:paraId="70FBA985" w14:textId="1BFBF440" w:rsidR="006C41C1" w:rsidRPr="008B08A2" w:rsidRDefault="00190F81" w:rsidP="00190F81">
            <w:pPr>
              <w:jc w:val="both"/>
              <w:cnfStyle w:val="000000000000" w:firstRow="0" w:lastRow="0" w:firstColumn="0" w:lastColumn="0" w:oddVBand="0" w:evenVBand="0" w:oddHBand="0" w:evenHBand="0" w:firstRowFirstColumn="0" w:firstRowLastColumn="0" w:lastRowFirstColumn="0" w:lastRowLastColumn="0"/>
              <w:rPr>
                <w:szCs w:val="20"/>
                <w:lang w:val="ru-RU"/>
              </w:rPr>
            </w:pPr>
            <w:r>
              <w:rPr>
                <w:lang w:val="ru-RU"/>
              </w:rPr>
              <w:t>П</w:t>
            </w:r>
            <w:r w:rsidRPr="00F5217F">
              <w:rPr>
                <w:lang w:val="ru-RU"/>
              </w:rPr>
              <w:t>римен</w:t>
            </w:r>
            <w:r>
              <w:rPr>
                <w:lang w:val="ru-RU"/>
              </w:rPr>
              <w:t>ение</w:t>
            </w:r>
            <w:r w:rsidRPr="00F5217F">
              <w:rPr>
                <w:lang w:val="ru-RU"/>
              </w:rPr>
              <w:t xml:space="preserve"> шестимесячного курса ежедневного приема изониазида </w:t>
            </w:r>
            <w:r>
              <w:rPr>
                <w:lang w:val="ru-RU"/>
              </w:rPr>
              <w:t>не обеспечивает высокую приверженности к лечению</w:t>
            </w:r>
            <w:r w:rsidRPr="00F5217F">
              <w:rPr>
                <w:lang w:val="ru-RU"/>
              </w:rPr>
              <w:t xml:space="preserve">, </w:t>
            </w:r>
            <w:r>
              <w:rPr>
                <w:lang w:val="ru-RU"/>
              </w:rPr>
              <w:t xml:space="preserve">необходимо использовать </w:t>
            </w:r>
            <w:r w:rsidRPr="00F5217F">
              <w:rPr>
                <w:lang w:val="ru-RU"/>
              </w:rPr>
              <w:t>более короткие схемы профилактического лечения</w:t>
            </w:r>
            <w:r>
              <w:rPr>
                <w:lang w:val="ru-RU"/>
              </w:rPr>
              <w:t xml:space="preserve"> рекомендуемые ВОЗ</w:t>
            </w:r>
            <w:r w:rsidRPr="00F5217F">
              <w:rPr>
                <w:lang w:val="ru-RU"/>
              </w:rPr>
              <w:t>.</w:t>
            </w:r>
          </w:p>
        </w:tc>
      </w:tr>
      <w:tr w:rsidR="006C41C1" w14:paraId="1AEA0523" w14:textId="77777777" w:rsidTr="006C4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709734C5" w14:textId="77777777" w:rsidR="006C41C1" w:rsidRDefault="006C41C1" w:rsidP="006C41C1">
            <w:pPr>
              <w:pStyle w:val="a1"/>
            </w:pPr>
            <w:r>
              <w:rPr>
                <w:lang w:val="ru-RU"/>
              </w:rPr>
              <w:lastRenderedPageBreak/>
              <w:t>Запрашиваемая сумма</w:t>
            </w:r>
          </w:p>
        </w:tc>
        <w:tc>
          <w:tcPr>
            <w:tcW w:w="13025" w:type="dxa"/>
          </w:tcPr>
          <w:p w14:paraId="73D058C2" w14:textId="77777777" w:rsidR="006C41C1" w:rsidRPr="00621F12" w:rsidRDefault="006C41C1" w:rsidP="006C41C1">
            <w:pPr>
              <w:pStyle w:val="a1"/>
              <w:cnfStyle w:val="000000100000" w:firstRow="0" w:lastRow="0" w:firstColumn="0" w:lastColumn="0" w:oddVBand="0" w:evenVBand="0" w:oddHBand="1" w:evenHBand="0" w:firstRowFirstColumn="0" w:firstRowLastColumn="0" w:lastRowFirstColumn="0" w:lastRowLastColumn="0"/>
              <w:rPr>
                <w:sz w:val="22"/>
                <w:szCs w:val="20"/>
              </w:rPr>
            </w:pPr>
          </w:p>
        </w:tc>
      </w:tr>
      <w:tr w:rsidR="006C41C1" w:rsidRPr="00A26916" w14:paraId="31352062" w14:textId="77777777" w:rsidTr="006C41C1">
        <w:tc>
          <w:tcPr>
            <w:cnfStyle w:val="001000000000" w:firstRow="0" w:lastRow="0" w:firstColumn="1" w:lastColumn="0" w:oddVBand="0" w:evenVBand="0" w:oddHBand="0" w:evenHBand="0" w:firstRowFirstColumn="0" w:firstRowLastColumn="0" w:lastRowFirstColumn="0" w:lastRowLastColumn="0"/>
            <w:tcW w:w="2138" w:type="dxa"/>
          </w:tcPr>
          <w:p w14:paraId="1ED3D088" w14:textId="77777777" w:rsidR="006C41C1" w:rsidRDefault="006C41C1" w:rsidP="006C41C1">
            <w:pPr>
              <w:pStyle w:val="a1"/>
            </w:pPr>
            <w:r>
              <w:rPr>
                <w:lang w:val="ru-RU"/>
              </w:rPr>
              <w:t>Ожидаемый результат</w:t>
            </w:r>
          </w:p>
        </w:tc>
        <w:tc>
          <w:tcPr>
            <w:tcW w:w="13025" w:type="dxa"/>
          </w:tcPr>
          <w:p w14:paraId="3F086FDD" w14:textId="77777777" w:rsidR="00190F81" w:rsidRDefault="00190F81" w:rsidP="00190F81">
            <w:pPr>
              <w:jc w:val="both"/>
              <w:cnfStyle w:val="000000000000" w:firstRow="0" w:lastRow="0" w:firstColumn="0" w:lastColumn="0" w:oddVBand="0" w:evenVBand="0" w:oddHBand="0" w:evenHBand="0" w:firstRowFirstColumn="0" w:firstRowLastColumn="0" w:lastRowFirstColumn="0" w:lastRowLastColumn="0"/>
              <w:rPr>
                <w:lang w:val="ru-RU"/>
              </w:rPr>
            </w:pPr>
            <w:r w:rsidRPr="00E36464">
              <w:rPr>
                <w:lang w:val="ru-RU"/>
              </w:rPr>
              <w:t>100% больных ТБ пройдут тестирование на ВИЧ</w:t>
            </w:r>
          </w:p>
          <w:p w14:paraId="41B85251" w14:textId="77777777" w:rsidR="00190F81" w:rsidRPr="00E36464" w:rsidRDefault="00190F81" w:rsidP="00190F81">
            <w:pPr>
              <w:jc w:val="both"/>
              <w:cnfStyle w:val="000000000000" w:firstRow="0" w:lastRow="0" w:firstColumn="0" w:lastColumn="0" w:oddVBand="0" w:evenVBand="0" w:oddHBand="0" w:evenHBand="0" w:firstRowFirstColumn="0" w:firstRowLastColumn="0" w:lastRowFirstColumn="0" w:lastRowLastColumn="0"/>
              <w:rPr>
                <w:lang w:val="ru-RU"/>
              </w:rPr>
            </w:pPr>
            <w:r w:rsidRPr="00E36464">
              <w:rPr>
                <w:lang w:val="ru-RU"/>
              </w:rPr>
              <w:t>90% ЛЖВ пройдут тестирование на ТБ</w:t>
            </w:r>
          </w:p>
          <w:p w14:paraId="573ACFE1" w14:textId="77777777" w:rsidR="00190F81" w:rsidRPr="00E36464" w:rsidRDefault="00190F81" w:rsidP="00190F81">
            <w:pPr>
              <w:jc w:val="both"/>
              <w:cnfStyle w:val="000000000000" w:firstRow="0" w:lastRow="0" w:firstColumn="0" w:lastColumn="0" w:oddVBand="0" w:evenVBand="0" w:oddHBand="0" w:evenHBand="0" w:firstRowFirstColumn="0" w:firstRowLastColumn="0" w:lastRowFirstColumn="0" w:lastRowLastColumn="0"/>
              <w:rPr>
                <w:lang w:val="ru-RU"/>
              </w:rPr>
            </w:pPr>
            <w:r>
              <w:rPr>
                <w:lang w:val="ru-RU"/>
              </w:rPr>
              <w:t>9</w:t>
            </w:r>
            <w:r w:rsidRPr="00E36464">
              <w:rPr>
                <w:lang w:val="ru-RU"/>
              </w:rPr>
              <w:t xml:space="preserve">0% ЛЖВ с диагностированным латентным ТБ получат </w:t>
            </w:r>
            <w:r>
              <w:rPr>
                <w:lang w:val="ru-RU"/>
              </w:rPr>
              <w:t xml:space="preserve">профилактическое </w:t>
            </w:r>
            <w:r w:rsidRPr="004F04D9">
              <w:rPr>
                <w:lang w:val="ru-RU"/>
              </w:rPr>
              <w:t>лечение по упрощённой схеме 3HP</w:t>
            </w:r>
          </w:p>
          <w:p w14:paraId="594117A6" w14:textId="0645DE82" w:rsidR="006C41C1" w:rsidRPr="00F5217F" w:rsidRDefault="00190F81" w:rsidP="00190F81">
            <w:pPr>
              <w:pStyle w:val="a1"/>
              <w:cnfStyle w:val="000000000000" w:firstRow="0" w:lastRow="0" w:firstColumn="0" w:lastColumn="0" w:oddVBand="0" w:evenVBand="0" w:oddHBand="0" w:evenHBand="0" w:firstRowFirstColumn="0" w:firstRowLastColumn="0" w:lastRowFirstColumn="0" w:lastRowLastColumn="0"/>
              <w:rPr>
                <w:sz w:val="22"/>
                <w:szCs w:val="20"/>
                <w:lang w:val="ru-RU"/>
              </w:rPr>
            </w:pPr>
            <w:r w:rsidRPr="00E36464">
              <w:rPr>
                <w:sz w:val="22"/>
                <w:lang w:val="ru-RU"/>
              </w:rPr>
              <w:t>Снизится смертность ЛЖВ от ТБ на 50% по сравнению с 2022 годом к 2027 году</w:t>
            </w:r>
          </w:p>
        </w:tc>
      </w:tr>
    </w:tbl>
    <w:p w14:paraId="42CBDFBF" w14:textId="69F248BB" w:rsidR="007C0483" w:rsidRDefault="007C0483" w:rsidP="007E2465">
      <w:pPr>
        <w:pStyle w:val="a1"/>
        <w:rPr>
          <w:i/>
          <w:iCs/>
          <w:lang w:val="ru-RU"/>
        </w:rPr>
      </w:pPr>
    </w:p>
    <w:tbl>
      <w:tblPr>
        <w:tblStyle w:val="110"/>
        <w:tblpPr w:leftFromText="181" w:rightFromText="181" w:vertAnchor="page" w:horzAnchor="margin" w:tblpY="2317"/>
        <w:tblW w:w="15163" w:type="dxa"/>
        <w:tblLook w:val="04A0" w:firstRow="1" w:lastRow="0" w:firstColumn="1" w:lastColumn="0" w:noHBand="0" w:noVBand="1"/>
      </w:tblPr>
      <w:tblGrid>
        <w:gridCol w:w="2138"/>
        <w:gridCol w:w="13025"/>
      </w:tblGrid>
      <w:tr w:rsidR="007C0483" w:rsidRPr="00A26916" w14:paraId="794A85EC" w14:textId="77777777" w:rsidTr="007F4E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3E74649F" w14:textId="6DAD22B7" w:rsidR="007C0483" w:rsidRPr="00C55C38" w:rsidRDefault="007C0483" w:rsidP="007F4EBC">
            <w:pPr>
              <w:pStyle w:val="a1"/>
              <w:rPr>
                <w:lang w:val="ru-RU"/>
              </w:rPr>
            </w:pPr>
            <w:r>
              <w:rPr>
                <w:lang w:val="ru-RU"/>
              </w:rPr>
              <w:lastRenderedPageBreak/>
              <w:t>Модуль №</w:t>
            </w:r>
            <w:r>
              <w:t xml:space="preserve"> </w:t>
            </w:r>
            <w:r w:rsidR="00540290" w:rsidRPr="005A67CC">
              <w:rPr>
                <w:lang w:val="ru-RU"/>
              </w:rPr>
              <w:t>12</w:t>
            </w:r>
          </w:p>
        </w:tc>
        <w:tc>
          <w:tcPr>
            <w:tcW w:w="13025" w:type="dxa"/>
          </w:tcPr>
          <w:p w14:paraId="1244ED26" w14:textId="13446C5B" w:rsidR="007C0483" w:rsidRPr="00225ADB" w:rsidRDefault="007C0483" w:rsidP="007F4EBC">
            <w:pPr>
              <w:jc w:val="both"/>
              <w:cnfStyle w:val="100000000000" w:firstRow="1" w:lastRow="0" w:firstColumn="0" w:lastColumn="0" w:oddVBand="0" w:evenVBand="0" w:oddHBand="0" w:evenHBand="0" w:firstRowFirstColumn="0" w:firstRowLastColumn="0" w:lastRowFirstColumn="0" w:lastRowLastColumn="0"/>
              <w:rPr>
                <w:sz w:val="24"/>
                <w:szCs w:val="24"/>
                <w:lang w:val="ru-RU"/>
              </w:rPr>
            </w:pPr>
            <w:r w:rsidRPr="007C0483">
              <w:rPr>
                <w:sz w:val="24"/>
                <w:szCs w:val="24"/>
                <w:lang w:val="ru-RU"/>
              </w:rPr>
              <w:t>Снижение барьеров на пути к ВИЧ/ТБ, связанных с правами человека</w:t>
            </w:r>
          </w:p>
        </w:tc>
      </w:tr>
      <w:tr w:rsidR="007C0483" w:rsidRPr="00A26916" w14:paraId="0DC409E0" w14:textId="77777777" w:rsidTr="007F4E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3B0094A3" w14:textId="39ABE345" w:rsidR="007C0483" w:rsidRPr="00E03188" w:rsidRDefault="007E1281" w:rsidP="007F4EBC">
            <w:pPr>
              <w:pStyle w:val="a1"/>
              <w:rPr>
                <w:lang w:val="en-US"/>
              </w:rPr>
            </w:pPr>
            <w:r>
              <w:rPr>
                <w:lang w:val="ru-RU"/>
              </w:rPr>
              <w:t>Вмешательства</w:t>
            </w:r>
          </w:p>
        </w:tc>
        <w:tc>
          <w:tcPr>
            <w:tcW w:w="13025" w:type="dxa"/>
          </w:tcPr>
          <w:p w14:paraId="7F0EA9B7" w14:textId="1E53FE94" w:rsidR="005A67CC" w:rsidRPr="005A0779" w:rsidRDefault="005A67CC" w:rsidP="005A67CC">
            <w:pPr>
              <w:jc w:val="both"/>
              <w:cnfStyle w:val="000000100000" w:firstRow="0" w:lastRow="0" w:firstColumn="0" w:lastColumn="0" w:oddVBand="0" w:evenVBand="0" w:oddHBand="1" w:evenHBand="0" w:firstRowFirstColumn="0" w:firstRowLastColumn="0" w:lastRowFirstColumn="0" w:lastRowLastColumn="0"/>
              <w:rPr>
                <w:lang w:val="ru-RU"/>
              </w:rPr>
            </w:pPr>
            <w:r w:rsidRPr="005A0779">
              <w:rPr>
                <w:lang w:val="ru-RU"/>
              </w:rPr>
              <w:t>Несмотря на значительные усилия в укреплени</w:t>
            </w:r>
            <w:r>
              <w:rPr>
                <w:lang w:val="ru-RU"/>
              </w:rPr>
              <w:t>и</w:t>
            </w:r>
            <w:r w:rsidRPr="005A0779">
              <w:rPr>
                <w:lang w:val="ru-RU"/>
              </w:rPr>
              <w:t xml:space="preserve"> прав человека и систем сообществ в Кыргызской Республике со значительным вкладом гранта ГФ, стигма и дискриминация, связанные с ВИЧ, ТБ и КГН, остаются высокими. Сохраняются другие барьеры в области прав человека, причем в некоторых аспектах за последние несколько лет даже произошло дальнейшее ухудшение</w:t>
            </w:r>
            <w:r w:rsidRPr="009D6B2A">
              <w:rPr>
                <w:lang w:val="ru-RU"/>
              </w:rPr>
              <w:t>, например - это правовые барьеры в рамках профилактических программ среди секс-работников</w:t>
            </w:r>
            <w:r w:rsidRPr="005A0779">
              <w:rPr>
                <w:lang w:val="ru-RU"/>
              </w:rPr>
              <w:t>. Хотя был достигнут определенный прогресс (</w:t>
            </w:r>
            <w:r w:rsidR="009D6B2A">
              <w:rPr>
                <w:lang w:val="ru-RU"/>
              </w:rPr>
              <w:t>утверждение</w:t>
            </w:r>
            <w:r w:rsidRPr="005A0779">
              <w:rPr>
                <w:lang w:val="ru-RU"/>
              </w:rPr>
              <w:t xml:space="preserve"> национального плана по комплексному реагированию на барьеры, связанные с правами человека, при оказании услуг в области ВИЧ и ТБ), в целом правовая среда не является полностью благоприятной, существует широкая криминализация хранения наркотиков для личного пользования, регулярные преследования полицией СР и ЛГБТ-сообщества. Проводимая оценка прогресса в рамках программы "Ломая барьеры" (Breaking Down Barriers, BDB) предоставила важные выводы о среднесрочном прогрессе, а также рекомендации по улучшению масштаба и эффективности программ в области прав человека, связанных с ВИЧ. Данный отчет и анализ страновой команды положены в основу данного модуля. </w:t>
            </w:r>
          </w:p>
          <w:p w14:paraId="7091DB32" w14:textId="77777777" w:rsidR="005A67CC" w:rsidRDefault="005A67CC" w:rsidP="005A67CC">
            <w:pPr>
              <w:jc w:val="both"/>
              <w:cnfStyle w:val="000000100000" w:firstRow="0" w:lastRow="0" w:firstColumn="0" w:lastColumn="0" w:oddVBand="0" w:evenVBand="0" w:oddHBand="1" w:evenHBand="0" w:firstRowFirstColumn="0" w:firstRowLastColumn="0" w:lastRowFirstColumn="0" w:lastRowLastColumn="0"/>
              <w:rPr>
                <w:b/>
                <w:lang w:val="ru-RU"/>
              </w:rPr>
            </w:pPr>
            <w:r>
              <w:rPr>
                <w:b/>
                <w:lang w:val="ru-RU"/>
              </w:rPr>
              <w:t xml:space="preserve">Устранение стигмы и </w:t>
            </w:r>
            <w:r w:rsidRPr="007C0483">
              <w:rPr>
                <w:b/>
                <w:lang w:val="ru-RU"/>
              </w:rPr>
              <w:t>дискриминаци</w:t>
            </w:r>
            <w:r>
              <w:rPr>
                <w:b/>
                <w:lang w:val="ru-RU"/>
              </w:rPr>
              <w:t>и</w:t>
            </w:r>
            <w:r w:rsidRPr="007C0483">
              <w:rPr>
                <w:b/>
                <w:lang w:val="ru-RU"/>
              </w:rPr>
              <w:t xml:space="preserve"> </w:t>
            </w:r>
            <w:r>
              <w:rPr>
                <w:b/>
                <w:lang w:val="ru-RU"/>
              </w:rPr>
              <w:t>на всех уровнях</w:t>
            </w:r>
          </w:p>
          <w:p w14:paraId="269307F9" w14:textId="1DF3F8D1" w:rsidR="005A67CC"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sidRPr="00D74BE9">
              <w:rPr>
                <w:rFonts w:ascii="Arial" w:eastAsia="Arial" w:hAnsi="Arial" w:cs="Arial"/>
                <w:lang w:val="ru-RU"/>
              </w:rPr>
              <w:t>Мероприятия</w:t>
            </w:r>
            <w:r>
              <w:rPr>
                <w:rFonts w:ascii="Arial" w:eastAsia="Arial" w:hAnsi="Arial" w:cs="Arial"/>
                <w:lang w:val="ru-RU"/>
              </w:rPr>
              <w:t>,</w:t>
            </w:r>
            <w:r w:rsidRPr="00D74BE9">
              <w:rPr>
                <w:rFonts w:ascii="Arial" w:eastAsia="Arial" w:hAnsi="Arial" w:cs="Arial"/>
                <w:lang w:val="ru-RU"/>
              </w:rPr>
              <w:t xml:space="preserve"> </w:t>
            </w:r>
            <w:r>
              <w:rPr>
                <w:rFonts w:ascii="Arial" w:eastAsia="Arial" w:hAnsi="Arial" w:cs="Arial"/>
                <w:lang w:val="ru-RU"/>
              </w:rPr>
              <w:t>в рамках</w:t>
            </w:r>
            <w:r w:rsidRPr="00D74BE9">
              <w:rPr>
                <w:rFonts w:ascii="Arial" w:eastAsia="Arial" w:hAnsi="Arial" w:cs="Arial"/>
                <w:lang w:val="ru-RU"/>
              </w:rPr>
              <w:t xml:space="preserve"> присоединени</w:t>
            </w:r>
            <w:r>
              <w:rPr>
                <w:rFonts w:ascii="Arial" w:eastAsia="Arial" w:hAnsi="Arial" w:cs="Arial"/>
                <w:lang w:val="ru-RU"/>
              </w:rPr>
              <w:t xml:space="preserve">я </w:t>
            </w:r>
            <w:r w:rsidRPr="00EC4253">
              <w:rPr>
                <w:rFonts w:ascii="Arial" w:eastAsia="Arial" w:hAnsi="Arial" w:cs="Arial"/>
                <w:lang w:val="ru-RU"/>
              </w:rPr>
              <w:t>страны к Глобальному Партнерству по ликвидации стигмы и дискриминации по ВИЧ и ТБ, будут разработаны и реализованы в дополнение к межсекторальному плану КР по преодолению правовых барьеров</w:t>
            </w:r>
            <w:r>
              <w:rPr>
                <w:rStyle w:val="aff1"/>
                <w:rFonts w:ascii="Arial" w:eastAsia="Arial" w:hAnsi="Arial" w:cs="Arial"/>
                <w:lang w:val="ru-RU"/>
              </w:rPr>
              <w:footnoteReference w:id="32"/>
            </w:r>
            <w:r w:rsidRPr="00EC4253">
              <w:rPr>
                <w:rFonts w:ascii="Arial" w:eastAsia="Arial" w:hAnsi="Arial" w:cs="Arial"/>
                <w:lang w:val="ru-RU"/>
              </w:rPr>
              <w:t>. Межсекторальная рабочая группа, состоящая из представителей ключевых ведомств (МЗ, МЮ, МВД) с участием гражданского общества и сообществ обеспечит мониторинг за исполнением плана, информирование лиц, принимающих решения и достижение поставленных целей.</w:t>
            </w:r>
            <w:r w:rsidRPr="00EC4253">
              <w:rPr>
                <w:lang w:val="ru-RU"/>
              </w:rPr>
              <w:t xml:space="preserve"> </w:t>
            </w:r>
            <w:r w:rsidRPr="00EC4253">
              <w:rPr>
                <w:rFonts w:ascii="Arial" w:eastAsia="Arial" w:hAnsi="Arial" w:cs="Arial"/>
                <w:lang w:val="ru-RU"/>
              </w:rPr>
              <w:t xml:space="preserve">В функцию </w:t>
            </w:r>
            <w:r w:rsidRPr="00C632B2">
              <w:rPr>
                <w:rFonts w:ascii="Arial" w:eastAsia="Arial" w:hAnsi="Arial" w:cs="Arial"/>
                <w:lang w:val="ru-RU"/>
              </w:rPr>
              <w:t>этой группы также во</w:t>
            </w:r>
            <w:r>
              <w:rPr>
                <w:rFonts w:ascii="Arial" w:eastAsia="Arial" w:hAnsi="Arial" w:cs="Arial"/>
                <w:lang w:val="ru-RU"/>
              </w:rPr>
              <w:t xml:space="preserve">йдет </w:t>
            </w:r>
            <w:r w:rsidRPr="00C632B2">
              <w:rPr>
                <w:rFonts w:ascii="Arial" w:eastAsia="Arial" w:hAnsi="Arial" w:cs="Arial"/>
                <w:lang w:val="ru-RU"/>
              </w:rPr>
              <w:t>мониторинг исполнения рекомендаций международных механизмов ООН (комитеты ООН, УПО</w:t>
            </w:r>
            <w:r>
              <w:rPr>
                <w:rFonts w:ascii="Arial" w:eastAsia="Arial" w:hAnsi="Arial" w:cs="Arial"/>
                <w:lang w:val="ru-RU"/>
              </w:rPr>
              <w:t xml:space="preserve">, </w:t>
            </w:r>
            <w:r>
              <w:rPr>
                <w:rFonts w:ascii="Arial" w:eastAsia="Arial" w:hAnsi="Arial" w:cs="Arial"/>
              </w:rPr>
              <w:t>CEDAW</w:t>
            </w:r>
            <w:r>
              <w:rPr>
                <w:rFonts w:ascii="Arial" w:eastAsia="Arial" w:hAnsi="Arial" w:cs="Arial"/>
                <w:lang w:val="ru-RU"/>
              </w:rPr>
              <w:t>)</w:t>
            </w:r>
            <w:r w:rsidRPr="00D74BE9">
              <w:rPr>
                <w:rFonts w:ascii="Arial" w:eastAsia="Arial" w:hAnsi="Arial" w:cs="Arial"/>
                <w:lang w:val="ru-RU"/>
              </w:rPr>
              <w:t xml:space="preserve">. </w:t>
            </w:r>
            <w:r w:rsidRPr="009D6B2A">
              <w:rPr>
                <w:rFonts w:ascii="Arial" w:eastAsia="Arial" w:hAnsi="Arial" w:cs="Arial"/>
                <w:lang w:val="ru-RU"/>
              </w:rPr>
              <w:t>Сообщества ключевых групп будут активно участвовать в деятельности этой межсекторальной рабочей группы как на местах, так и на национальном уровне.</w:t>
            </w:r>
          </w:p>
          <w:p w14:paraId="71A5AA34" w14:textId="3930659C" w:rsidR="005A67CC"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sidRPr="00D74BE9">
              <w:rPr>
                <w:rFonts w:ascii="Arial" w:eastAsia="Arial" w:hAnsi="Arial" w:cs="Arial"/>
                <w:lang w:val="ru-RU"/>
              </w:rPr>
              <w:t>Будут разработаны и внедрены механизмы ежегодного мониторинга оценки стигмы/ дискриминации а также экспресс-оценки нарушений прав на уровне учреждений</w:t>
            </w:r>
            <w:r>
              <w:rPr>
                <w:rFonts w:ascii="Arial" w:eastAsia="Arial" w:hAnsi="Arial" w:cs="Arial"/>
                <w:lang w:val="ru-RU"/>
              </w:rPr>
              <w:t>,</w:t>
            </w:r>
            <w:r w:rsidRPr="00D74BE9">
              <w:rPr>
                <w:rFonts w:ascii="Arial" w:eastAsia="Arial" w:hAnsi="Arial" w:cs="Arial"/>
                <w:lang w:val="ru-RU"/>
              </w:rPr>
              <w:t xml:space="preserve"> предоставляющих услуги в связи с ВИЧ и ТБ, как среди клиентов, так и поставщиков услуг</w:t>
            </w:r>
            <w:r>
              <w:rPr>
                <w:rFonts w:ascii="Arial" w:eastAsia="Arial" w:hAnsi="Arial" w:cs="Arial"/>
                <w:lang w:val="ru-RU"/>
              </w:rPr>
              <w:t>. Мониторинг</w:t>
            </w:r>
            <w:r w:rsidRPr="00D74BE9">
              <w:rPr>
                <w:rFonts w:ascii="Arial" w:eastAsia="Arial" w:hAnsi="Arial" w:cs="Arial"/>
                <w:lang w:val="ru-RU"/>
              </w:rPr>
              <w:t xml:space="preserve"> будет проводиться </w:t>
            </w:r>
            <w:r>
              <w:rPr>
                <w:rFonts w:ascii="Arial" w:eastAsia="Arial" w:hAnsi="Arial" w:cs="Arial"/>
                <w:lang w:val="ru-RU"/>
              </w:rPr>
              <w:t xml:space="preserve">ежегодно с охватом не менее 2-х регионов. Экспресс-оценка будет проводиться систематически </w:t>
            </w:r>
            <w:r w:rsidRPr="00D74BE9">
              <w:rPr>
                <w:rFonts w:ascii="Arial" w:eastAsia="Arial" w:hAnsi="Arial" w:cs="Arial"/>
                <w:lang w:val="ru-RU"/>
              </w:rPr>
              <w:t>в ходе мониторинговых визитов</w:t>
            </w:r>
            <w:r>
              <w:rPr>
                <w:rFonts w:ascii="Arial" w:eastAsia="Arial" w:hAnsi="Arial" w:cs="Arial"/>
                <w:lang w:val="ru-RU"/>
              </w:rPr>
              <w:t xml:space="preserve"> сообщества</w:t>
            </w:r>
            <w:r w:rsidRPr="00D74BE9">
              <w:rPr>
                <w:rFonts w:ascii="Arial" w:eastAsia="Arial" w:hAnsi="Arial" w:cs="Arial"/>
                <w:lang w:val="ru-RU"/>
              </w:rPr>
              <w:t xml:space="preserve"> </w:t>
            </w:r>
            <w:r>
              <w:rPr>
                <w:rFonts w:ascii="Arial" w:eastAsia="Arial" w:hAnsi="Arial" w:cs="Arial"/>
                <w:lang w:val="ru-RU"/>
              </w:rPr>
              <w:t>и/</w:t>
            </w:r>
            <w:r w:rsidRPr="00D74BE9">
              <w:rPr>
                <w:rFonts w:ascii="Arial" w:eastAsia="Arial" w:hAnsi="Arial" w:cs="Arial"/>
                <w:lang w:val="ru-RU"/>
              </w:rPr>
              <w:t>или обучающих программ</w:t>
            </w:r>
            <w:r>
              <w:rPr>
                <w:rFonts w:ascii="Arial" w:eastAsia="Arial" w:hAnsi="Arial" w:cs="Arial"/>
                <w:lang w:val="ru-RU"/>
              </w:rPr>
              <w:t xml:space="preserve"> </w:t>
            </w:r>
            <w:r w:rsidR="009D6B2A" w:rsidRPr="009D6B2A">
              <w:rPr>
                <w:rFonts w:ascii="Arial" w:eastAsia="Arial" w:hAnsi="Arial" w:cs="Arial"/>
                <w:lang w:val="ru-RU"/>
              </w:rPr>
              <w:t>на местах.</w:t>
            </w:r>
            <w:r w:rsidRPr="00D74BE9">
              <w:rPr>
                <w:rFonts w:ascii="Arial" w:eastAsia="Arial" w:hAnsi="Arial" w:cs="Arial"/>
                <w:lang w:val="ru-RU"/>
              </w:rPr>
              <w:t xml:space="preserve"> Будут проведены </w:t>
            </w:r>
            <w:r>
              <w:rPr>
                <w:rFonts w:ascii="Arial" w:eastAsia="Arial" w:hAnsi="Arial" w:cs="Arial"/>
                <w:lang w:val="ru-RU"/>
              </w:rPr>
              <w:t xml:space="preserve">2 </w:t>
            </w:r>
            <w:r w:rsidRPr="00D74BE9">
              <w:rPr>
                <w:rFonts w:ascii="Arial" w:eastAsia="Arial" w:hAnsi="Arial" w:cs="Arial"/>
                <w:lang w:val="ru-RU"/>
              </w:rPr>
              <w:lastRenderedPageBreak/>
              <w:t>национальны</w:t>
            </w:r>
            <w:r>
              <w:rPr>
                <w:rFonts w:ascii="Arial" w:eastAsia="Arial" w:hAnsi="Arial" w:cs="Arial"/>
                <w:lang w:val="ru-RU"/>
              </w:rPr>
              <w:t>х</w:t>
            </w:r>
            <w:r w:rsidRPr="00D74BE9">
              <w:rPr>
                <w:rFonts w:ascii="Arial" w:eastAsia="Arial" w:hAnsi="Arial" w:cs="Arial"/>
                <w:lang w:val="ru-RU"/>
              </w:rPr>
              <w:t xml:space="preserve"> исследования</w:t>
            </w:r>
            <w:r>
              <w:rPr>
                <w:rFonts w:ascii="Arial" w:eastAsia="Arial" w:hAnsi="Arial" w:cs="Arial"/>
                <w:lang w:val="ru-RU"/>
              </w:rPr>
              <w:t xml:space="preserve"> </w:t>
            </w:r>
            <w:r w:rsidRPr="00D74BE9">
              <w:rPr>
                <w:rFonts w:ascii="Arial" w:eastAsia="Arial" w:hAnsi="Arial" w:cs="Arial"/>
                <w:lang w:val="ru-RU"/>
              </w:rPr>
              <w:t>Индекс</w:t>
            </w:r>
            <w:r>
              <w:rPr>
                <w:rFonts w:ascii="Arial" w:eastAsia="Arial" w:hAnsi="Arial" w:cs="Arial"/>
                <w:lang w:val="ru-RU"/>
              </w:rPr>
              <w:t>а</w:t>
            </w:r>
            <w:r w:rsidRPr="00D74BE9">
              <w:rPr>
                <w:rFonts w:ascii="Arial" w:eastAsia="Arial" w:hAnsi="Arial" w:cs="Arial"/>
                <w:lang w:val="ru-RU"/>
              </w:rPr>
              <w:t xml:space="preserve"> стигмы</w:t>
            </w:r>
            <w:r>
              <w:rPr>
                <w:rFonts w:ascii="Arial" w:eastAsia="Arial" w:hAnsi="Arial" w:cs="Arial"/>
                <w:lang w:val="ru-RU"/>
              </w:rPr>
              <w:t xml:space="preserve"> среди ЛЖВ </w:t>
            </w:r>
            <w:r w:rsidRPr="00D74BE9">
              <w:rPr>
                <w:rFonts w:ascii="Arial" w:eastAsia="Arial" w:hAnsi="Arial" w:cs="Arial"/>
                <w:lang w:val="ru-RU"/>
              </w:rPr>
              <w:t>и ключевых групп населения</w:t>
            </w:r>
            <w:r>
              <w:rPr>
                <w:rFonts w:ascii="Arial" w:eastAsia="Arial" w:hAnsi="Arial" w:cs="Arial"/>
                <w:lang w:val="ru-RU"/>
              </w:rPr>
              <w:t>, а также среди людей, живущих с</w:t>
            </w:r>
            <w:r w:rsidRPr="00D74BE9">
              <w:rPr>
                <w:rFonts w:ascii="Arial" w:eastAsia="Arial" w:hAnsi="Arial" w:cs="Arial"/>
                <w:lang w:val="ru-RU"/>
              </w:rPr>
              <w:t xml:space="preserve"> ТБ</w:t>
            </w:r>
            <w:r>
              <w:rPr>
                <w:rFonts w:ascii="Arial" w:eastAsia="Arial" w:hAnsi="Arial" w:cs="Arial"/>
                <w:lang w:val="ru-RU"/>
              </w:rPr>
              <w:t>,</w:t>
            </w:r>
            <w:r w:rsidRPr="00D74BE9">
              <w:rPr>
                <w:rFonts w:ascii="Arial" w:eastAsia="Arial" w:hAnsi="Arial" w:cs="Arial"/>
                <w:lang w:val="ru-RU"/>
              </w:rPr>
              <w:t xml:space="preserve"> в 2025 году.</w:t>
            </w:r>
          </w:p>
          <w:p w14:paraId="7B7F896B" w14:textId="2BA4F662" w:rsidR="005A67CC"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sidRPr="006779C3">
              <w:rPr>
                <w:rFonts w:ascii="Arial" w:eastAsia="Arial" w:hAnsi="Arial" w:cs="Arial"/>
                <w:lang w:val="ru-RU"/>
              </w:rPr>
              <w:t xml:space="preserve">Вовлечение института омбудсмена и при нем Совета по защите прав ключевых групп населения </w:t>
            </w:r>
            <w:r w:rsidRPr="009D6B2A">
              <w:rPr>
                <w:rFonts w:ascii="Arial" w:eastAsia="Arial" w:hAnsi="Arial" w:cs="Arial"/>
                <w:lang w:val="ru-RU"/>
              </w:rPr>
              <w:t>с участием сообществ</w:t>
            </w:r>
            <w:r>
              <w:rPr>
                <w:rFonts w:ascii="Arial" w:eastAsia="Arial" w:hAnsi="Arial" w:cs="Arial"/>
                <w:lang w:val="ru-RU"/>
              </w:rPr>
              <w:t xml:space="preserve"> </w:t>
            </w:r>
            <w:r w:rsidRPr="006779C3">
              <w:rPr>
                <w:rFonts w:ascii="Arial" w:eastAsia="Arial" w:hAnsi="Arial" w:cs="Arial"/>
                <w:lang w:val="ru-RU"/>
              </w:rPr>
              <w:t>обеспечит оперативное реагирование на нарушение прав, а также включение правовых барьеров в ежегодные и специальные отчеты Парламенту и Правительству КР.</w:t>
            </w:r>
            <w:r>
              <w:rPr>
                <w:rFonts w:ascii="Arial" w:eastAsia="Arial" w:hAnsi="Arial" w:cs="Arial"/>
                <w:lang w:val="ru-RU"/>
              </w:rPr>
              <w:t xml:space="preserve"> Будет проведена выездная встреча Совета по разработке механизмов и плана взаимодействия с сообществом </w:t>
            </w:r>
            <w:r w:rsidRPr="009D6B2A">
              <w:rPr>
                <w:rFonts w:ascii="Arial" w:eastAsia="Arial" w:hAnsi="Arial" w:cs="Arial"/>
                <w:lang w:val="ru-RU"/>
              </w:rPr>
              <w:t>ключевых групп.</w:t>
            </w:r>
            <w:r>
              <w:rPr>
                <w:rFonts w:ascii="Arial" w:eastAsia="Arial" w:hAnsi="Arial" w:cs="Arial"/>
                <w:lang w:val="ru-RU"/>
              </w:rPr>
              <w:t xml:space="preserve"> В дальнейшем будут проводиться по две встречи в год по о</w:t>
            </w:r>
            <w:r w:rsidR="00480C4E">
              <w:rPr>
                <w:rFonts w:ascii="Arial" w:eastAsia="Arial" w:hAnsi="Arial" w:cs="Arial"/>
                <w:lang w:val="ru-RU"/>
              </w:rPr>
              <w:t>б</w:t>
            </w:r>
            <w:r>
              <w:rPr>
                <w:rFonts w:ascii="Arial" w:eastAsia="Arial" w:hAnsi="Arial" w:cs="Arial"/>
                <w:lang w:val="ru-RU"/>
              </w:rPr>
              <w:t>суждению результатов совместной деятельности.</w:t>
            </w:r>
          </w:p>
          <w:p w14:paraId="66C7C9E0" w14:textId="425391E8" w:rsidR="005A67CC" w:rsidRPr="00D74BE9"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sidRPr="00170696">
              <w:rPr>
                <w:rFonts w:ascii="Arial" w:eastAsia="Arial" w:hAnsi="Arial" w:cs="Arial"/>
                <w:lang w:val="ru-RU"/>
              </w:rPr>
              <w:t>Адвока</w:t>
            </w:r>
            <w:r w:rsidR="00480C4E">
              <w:rPr>
                <w:rFonts w:ascii="Arial" w:eastAsia="Arial" w:hAnsi="Arial" w:cs="Arial"/>
                <w:lang w:val="ru-RU"/>
              </w:rPr>
              <w:t>ция</w:t>
            </w:r>
            <w:r w:rsidRPr="00170696">
              <w:rPr>
                <w:rFonts w:ascii="Arial" w:eastAsia="Arial" w:hAnsi="Arial" w:cs="Arial"/>
                <w:lang w:val="ru-RU"/>
              </w:rPr>
              <w:t xml:space="preserve"> национальных кампаний по ВИЧ и ТБ, с компонентами профилактики стигмы и дискриминации, гендерного насилия, разработка информационных материалов, включая электронные, </w:t>
            </w:r>
            <w:r w:rsidR="009D6B2A">
              <w:rPr>
                <w:rFonts w:ascii="Arial" w:eastAsia="Arial" w:hAnsi="Arial" w:cs="Arial"/>
                <w:lang w:val="ru-RU"/>
              </w:rPr>
              <w:t>будет проведена силами сетей</w:t>
            </w:r>
            <w:r w:rsidRPr="009D6B2A">
              <w:rPr>
                <w:rFonts w:ascii="Arial" w:eastAsia="Arial" w:hAnsi="Arial" w:cs="Arial"/>
                <w:lang w:val="ru-RU"/>
              </w:rPr>
              <w:t>.</w:t>
            </w:r>
            <w:r w:rsidRPr="00170696">
              <w:rPr>
                <w:rFonts w:ascii="Arial" w:eastAsia="Arial" w:hAnsi="Arial" w:cs="Arial"/>
                <w:lang w:val="ru-RU"/>
              </w:rPr>
              <w:t xml:space="preserve"> Будут организованы конкурсы для журналистов, направленные на развитие толерантности в обществе для повышения доступа к профилактике, диагностике и лечению по ВИЧ и ТБ.</w:t>
            </w:r>
          </w:p>
          <w:p w14:paraId="199887E5" w14:textId="77777777" w:rsidR="005A67CC" w:rsidRPr="00D74BE9"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sidRPr="00D74BE9">
              <w:rPr>
                <w:rFonts w:ascii="Arial" w:eastAsia="Arial" w:hAnsi="Arial" w:cs="Arial"/>
                <w:lang w:val="ru-RU"/>
              </w:rPr>
              <w:t>Представители местных администраций, религиозные лидеры и журналисты пройдут обучение и реализуют мероприятия по снижению стигматизации (всего не менее 100 человек в год). Будут разработаны краткие модули для работы ОМСУ</w:t>
            </w:r>
            <w:r>
              <w:rPr>
                <w:rFonts w:ascii="Arial" w:eastAsia="Arial" w:hAnsi="Arial" w:cs="Arial"/>
                <w:lang w:val="ru-RU"/>
              </w:rPr>
              <w:t xml:space="preserve"> (органы местного самоуправления)</w:t>
            </w:r>
            <w:r w:rsidRPr="00D74BE9">
              <w:rPr>
                <w:rFonts w:ascii="Arial" w:eastAsia="Arial" w:hAnsi="Arial" w:cs="Arial"/>
                <w:lang w:val="ru-RU"/>
              </w:rPr>
              <w:t xml:space="preserve"> и религиозных лидеров по развитию толерантности в отношении ВИЧ и ТБ на уровне местных сооб</w:t>
            </w:r>
            <w:r>
              <w:rPr>
                <w:rFonts w:ascii="Arial" w:eastAsia="Arial" w:hAnsi="Arial" w:cs="Arial"/>
                <w:lang w:val="ru-RU"/>
              </w:rPr>
              <w:t>щ</w:t>
            </w:r>
            <w:r w:rsidRPr="00D74BE9">
              <w:rPr>
                <w:rFonts w:ascii="Arial" w:eastAsia="Arial" w:hAnsi="Arial" w:cs="Arial"/>
                <w:lang w:val="ru-RU"/>
              </w:rPr>
              <w:t xml:space="preserve">еств. </w:t>
            </w:r>
            <w:r>
              <w:rPr>
                <w:rFonts w:ascii="Arial" w:eastAsia="Arial" w:hAnsi="Arial" w:cs="Arial"/>
                <w:lang w:val="ru-RU"/>
              </w:rPr>
              <w:t xml:space="preserve"> С</w:t>
            </w:r>
            <w:r w:rsidRPr="00577E58">
              <w:rPr>
                <w:rFonts w:ascii="Arial" w:eastAsia="Arial" w:hAnsi="Arial" w:cs="Arial"/>
                <w:lang w:val="ru-RU"/>
              </w:rPr>
              <w:t xml:space="preserve">илами НПО и </w:t>
            </w:r>
            <w:r w:rsidRPr="009D6B2A">
              <w:rPr>
                <w:rFonts w:ascii="Arial" w:eastAsia="Arial" w:hAnsi="Arial" w:cs="Arial"/>
                <w:lang w:val="ru-RU"/>
              </w:rPr>
              <w:t>сообществ ключевых групп на местах</w:t>
            </w:r>
            <w:r w:rsidRPr="00577E58">
              <w:rPr>
                <w:rFonts w:ascii="Arial" w:eastAsia="Arial" w:hAnsi="Arial" w:cs="Arial"/>
                <w:lang w:val="ru-RU"/>
              </w:rPr>
              <w:t xml:space="preserve"> </w:t>
            </w:r>
            <w:r>
              <w:rPr>
                <w:rFonts w:ascii="Arial" w:eastAsia="Arial" w:hAnsi="Arial" w:cs="Arial"/>
                <w:lang w:val="ru-RU"/>
              </w:rPr>
              <w:t xml:space="preserve">будут проведены три семинара и </w:t>
            </w:r>
            <w:r w:rsidRPr="00577E58">
              <w:rPr>
                <w:rFonts w:ascii="Arial" w:eastAsia="Arial" w:hAnsi="Arial" w:cs="Arial"/>
                <w:lang w:val="ru-RU"/>
              </w:rPr>
              <w:t>обучен</w:t>
            </w:r>
            <w:r>
              <w:rPr>
                <w:rFonts w:ascii="Arial" w:eastAsia="Arial" w:hAnsi="Arial" w:cs="Arial"/>
                <w:lang w:val="ru-RU"/>
              </w:rPr>
              <w:t>ы 75 работников</w:t>
            </w:r>
            <w:r w:rsidRPr="00577E58">
              <w:rPr>
                <w:rFonts w:ascii="Arial" w:eastAsia="Arial" w:hAnsi="Arial" w:cs="Arial"/>
                <w:lang w:val="ru-RU"/>
              </w:rPr>
              <w:t xml:space="preserve"> </w:t>
            </w:r>
            <w:r>
              <w:rPr>
                <w:rFonts w:ascii="Arial" w:eastAsia="Arial" w:hAnsi="Arial" w:cs="Arial"/>
                <w:lang w:val="ru-RU"/>
              </w:rPr>
              <w:t xml:space="preserve">социальных служб </w:t>
            </w:r>
            <w:r w:rsidRPr="00577E58">
              <w:rPr>
                <w:rFonts w:ascii="Arial" w:eastAsia="Arial" w:hAnsi="Arial" w:cs="Arial"/>
                <w:lang w:val="ru-RU"/>
              </w:rPr>
              <w:t>по вопросам ВИЧ-инфекции и ТБ, особенностям работы с ЛЖВ, преодоления стигмы и дискриминации</w:t>
            </w:r>
            <w:r>
              <w:rPr>
                <w:rFonts w:ascii="Arial" w:eastAsia="Arial" w:hAnsi="Arial" w:cs="Arial"/>
                <w:lang w:val="ru-RU"/>
              </w:rPr>
              <w:t>.</w:t>
            </w:r>
            <w:r w:rsidRPr="00577E58">
              <w:rPr>
                <w:rFonts w:ascii="Arial" w:eastAsia="Arial" w:hAnsi="Arial" w:cs="Arial"/>
                <w:lang w:val="ru-RU"/>
              </w:rPr>
              <w:t xml:space="preserve"> </w:t>
            </w:r>
          </w:p>
          <w:p w14:paraId="0BA216CA" w14:textId="77777777" w:rsidR="005A67CC" w:rsidRPr="00D74BE9"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lang w:val="ru-RU"/>
              </w:rPr>
            </w:pPr>
            <w:r w:rsidRPr="00D74BE9">
              <w:rPr>
                <w:rFonts w:ascii="Arial" w:eastAsia="Arial" w:hAnsi="Arial" w:cs="Arial"/>
                <w:b/>
                <w:lang w:val="ru-RU"/>
              </w:rPr>
              <w:t>Совершенствование законов, правил и политик</w:t>
            </w:r>
            <w:r>
              <w:rPr>
                <w:rFonts w:ascii="Arial" w:eastAsia="Arial" w:hAnsi="Arial" w:cs="Arial"/>
                <w:b/>
                <w:lang w:val="ru-RU"/>
              </w:rPr>
              <w:t>и</w:t>
            </w:r>
            <w:r w:rsidRPr="00D74BE9">
              <w:rPr>
                <w:rFonts w:ascii="Arial" w:eastAsia="Arial" w:hAnsi="Arial" w:cs="Arial"/>
                <w:b/>
                <w:lang w:val="ru-RU"/>
              </w:rPr>
              <w:t xml:space="preserve"> в отношении ВИЧ</w:t>
            </w:r>
            <w:r>
              <w:rPr>
                <w:rFonts w:ascii="Arial" w:eastAsia="Arial" w:hAnsi="Arial" w:cs="Arial"/>
                <w:b/>
                <w:lang w:val="ru-RU"/>
              </w:rPr>
              <w:t>, ТБ</w:t>
            </w:r>
            <w:r w:rsidRPr="00D74BE9">
              <w:rPr>
                <w:rFonts w:ascii="Arial" w:eastAsia="Arial" w:hAnsi="Arial" w:cs="Arial"/>
                <w:b/>
                <w:lang w:val="ru-RU"/>
              </w:rPr>
              <w:t xml:space="preserve"> и ВИЧ/ТБ</w:t>
            </w:r>
          </w:p>
          <w:p w14:paraId="6450F881" w14:textId="2D5C5E58" w:rsidR="005A67CC" w:rsidRPr="00D74BE9"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sidRPr="00D74BE9">
              <w:rPr>
                <w:rFonts w:ascii="Arial" w:eastAsia="Arial" w:hAnsi="Arial" w:cs="Arial"/>
                <w:lang w:val="ru-RU"/>
              </w:rPr>
              <w:t>Будет обеспечено участие и мониторинг за вновь разрабатываемыми законопроектами</w:t>
            </w:r>
            <w:r>
              <w:rPr>
                <w:rFonts w:ascii="Arial" w:eastAsia="Arial" w:hAnsi="Arial" w:cs="Arial"/>
                <w:lang w:val="ru-RU"/>
              </w:rPr>
              <w:t xml:space="preserve">, а также </w:t>
            </w:r>
            <w:r w:rsidRPr="00D74BE9">
              <w:rPr>
                <w:rFonts w:ascii="Arial" w:eastAsia="Arial" w:hAnsi="Arial" w:cs="Arial"/>
                <w:lang w:val="ru-RU"/>
              </w:rPr>
              <w:t>другими нормативными правовыми актами, связанными с ВИЧ</w:t>
            </w:r>
            <w:r>
              <w:rPr>
                <w:rFonts w:ascii="Arial" w:eastAsia="Arial" w:hAnsi="Arial" w:cs="Arial"/>
                <w:lang w:val="ru-RU"/>
              </w:rPr>
              <w:t xml:space="preserve"> и </w:t>
            </w:r>
            <w:r w:rsidRPr="00D74BE9">
              <w:rPr>
                <w:rFonts w:ascii="Arial" w:eastAsia="Arial" w:hAnsi="Arial" w:cs="Arial"/>
                <w:lang w:val="ru-RU"/>
              </w:rPr>
              <w:t>ТБ</w:t>
            </w:r>
            <w:r>
              <w:rPr>
                <w:rFonts w:ascii="Arial" w:eastAsia="Arial" w:hAnsi="Arial" w:cs="Arial"/>
                <w:lang w:val="ru-RU"/>
              </w:rPr>
              <w:t>. Этот процесс включает разработку Программ Кабинета Министров КР, ведомственных нормативных актов, приказов и инструкций. У</w:t>
            </w:r>
            <w:r w:rsidRPr="00D74BE9">
              <w:rPr>
                <w:rFonts w:ascii="Arial" w:eastAsia="Arial" w:hAnsi="Arial" w:cs="Arial"/>
                <w:lang w:val="ru-RU"/>
              </w:rPr>
              <w:t xml:space="preserve">частие в общественном обсуждении </w:t>
            </w:r>
            <w:r>
              <w:rPr>
                <w:rFonts w:ascii="Arial" w:eastAsia="Arial" w:hAnsi="Arial" w:cs="Arial"/>
                <w:lang w:val="ru-RU"/>
              </w:rPr>
              <w:t>НПА (нормативно-правовой акт) о</w:t>
            </w:r>
            <w:r w:rsidRPr="00D74BE9">
              <w:rPr>
                <w:rFonts w:ascii="Arial" w:eastAsia="Arial" w:hAnsi="Arial" w:cs="Arial"/>
                <w:lang w:val="ru-RU"/>
              </w:rPr>
              <w:t>беспеч</w:t>
            </w:r>
            <w:r>
              <w:rPr>
                <w:rFonts w:ascii="Arial" w:eastAsia="Arial" w:hAnsi="Arial" w:cs="Arial"/>
                <w:lang w:val="ru-RU"/>
              </w:rPr>
              <w:t>ит их</w:t>
            </w:r>
            <w:r w:rsidRPr="00D74BE9">
              <w:rPr>
                <w:rFonts w:ascii="Arial" w:eastAsia="Arial" w:hAnsi="Arial" w:cs="Arial"/>
                <w:lang w:val="ru-RU"/>
              </w:rPr>
              <w:t xml:space="preserve"> гендерн</w:t>
            </w:r>
            <w:r>
              <w:rPr>
                <w:rFonts w:ascii="Arial" w:eastAsia="Arial" w:hAnsi="Arial" w:cs="Arial"/>
                <w:lang w:val="ru-RU"/>
              </w:rPr>
              <w:t>ую</w:t>
            </w:r>
            <w:r w:rsidRPr="00D74BE9">
              <w:rPr>
                <w:rFonts w:ascii="Arial" w:eastAsia="Arial" w:hAnsi="Arial" w:cs="Arial"/>
                <w:lang w:val="ru-RU"/>
              </w:rPr>
              <w:t xml:space="preserve"> чувствительност</w:t>
            </w:r>
            <w:r>
              <w:rPr>
                <w:rFonts w:ascii="Arial" w:eastAsia="Arial" w:hAnsi="Arial" w:cs="Arial"/>
                <w:lang w:val="ru-RU"/>
              </w:rPr>
              <w:t>ь;</w:t>
            </w:r>
            <w:r w:rsidRPr="00D74BE9">
              <w:rPr>
                <w:rFonts w:ascii="Arial" w:eastAsia="Arial" w:hAnsi="Arial" w:cs="Arial"/>
                <w:lang w:val="ru-RU"/>
              </w:rPr>
              <w:t xml:space="preserve"> адвокаци</w:t>
            </w:r>
            <w:r>
              <w:rPr>
                <w:rFonts w:ascii="Arial" w:eastAsia="Arial" w:hAnsi="Arial" w:cs="Arial"/>
                <w:lang w:val="ru-RU"/>
              </w:rPr>
              <w:t>ю</w:t>
            </w:r>
            <w:r w:rsidRPr="00D74BE9">
              <w:rPr>
                <w:rFonts w:ascii="Arial" w:eastAsia="Arial" w:hAnsi="Arial" w:cs="Arial"/>
                <w:lang w:val="ru-RU"/>
              </w:rPr>
              <w:t xml:space="preserve"> исключения дискриминирующих ЛЖВ</w:t>
            </w:r>
            <w:r>
              <w:rPr>
                <w:rFonts w:ascii="Arial" w:eastAsia="Arial" w:hAnsi="Arial" w:cs="Arial"/>
                <w:lang w:val="ru-RU"/>
              </w:rPr>
              <w:t>, лиц, живущих с ТБ,</w:t>
            </w:r>
            <w:r w:rsidRPr="00D74BE9">
              <w:rPr>
                <w:rFonts w:ascii="Arial" w:eastAsia="Arial" w:hAnsi="Arial" w:cs="Arial"/>
                <w:lang w:val="ru-RU"/>
              </w:rPr>
              <w:t xml:space="preserve"> и КГН положений. Буд</w:t>
            </w:r>
            <w:r>
              <w:rPr>
                <w:rFonts w:ascii="Arial" w:eastAsia="Arial" w:hAnsi="Arial" w:cs="Arial"/>
                <w:lang w:val="ru-RU"/>
              </w:rPr>
              <w:t>ет</w:t>
            </w:r>
            <w:r w:rsidRPr="00D74BE9">
              <w:rPr>
                <w:rFonts w:ascii="Arial" w:eastAsia="Arial" w:hAnsi="Arial" w:cs="Arial"/>
                <w:lang w:val="ru-RU"/>
              </w:rPr>
              <w:t xml:space="preserve"> инициирован</w:t>
            </w:r>
            <w:r>
              <w:rPr>
                <w:rFonts w:ascii="Arial" w:eastAsia="Arial" w:hAnsi="Arial" w:cs="Arial"/>
                <w:lang w:val="ru-RU"/>
              </w:rPr>
              <w:t>о</w:t>
            </w:r>
            <w:r w:rsidRPr="00D74BE9">
              <w:rPr>
                <w:rFonts w:ascii="Arial" w:eastAsia="Arial" w:hAnsi="Arial" w:cs="Arial"/>
                <w:lang w:val="ru-RU"/>
              </w:rPr>
              <w:t xml:space="preserve"> приняти</w:t>
            </w:r>
            <w:r>
              <w:rPr>
                <w:rFonts w:ascii="Arial" w:eastAsia="Arial" w:hAnsi="Arial" w:cs="Arial"/>
                <w:lang w:val="ru-RU"/>
              </w:rPr>
              <w:t>е</w:t>
            </w:r>
            <w:r w:rsidRPr="00D74BE9">
              <w:rPr>
                <w:rFonts w:ascii="Arial" w:eastAsia="Arial" w:hAnsi="Arial" w:cs="Arial"/>
                <w:lang w:val="ru-RU"/>
              </w:rPr>
              <w:t xml:space="preserve"> нормативных актов по обеспечени</w:t>
            </w:r>
            <w:r>
              <w:rPr>
                <w:rFonts w:ascii="Arial" w:eastAsia="Arial" w:hAnsi="Arial" w:cs="Arial"/>
                <w:lang w:val="ru-RU"/>
              </w:rPr>
              <w:t>ю</w:t>
            </w:r>
            <w:r w:rsidRPr="00D74BE9">
              <w:rPr>
                <w:rFonts w:ascii="Arial" w:eastAsia="Arial" w:hAnsi="Arial" w:cs="Arial"/>
                <w:lang w:val="ru-RU"/>
              </w:rPr>
              <w:t xml:space="preserve"> прав/декриминализации ключевых групп, включая исключение норм наркологического учета, отмены принудительного лечения наркозависимости, возможностей лечения наркологических расстройств; доступ</w:t>
            </w:r>
            <w:r>
              <w:rPr>
                <w:rFonts w:ascii="Arial" w:eastAsia="Arial" w:hAnsi="Arial" w:cs="Arial"/>
                <w:lang w:val="ru-RU"/>
              </w:rPr>
              <w:t>а</w:t>
            </w:r>
            <w:r w:rsidRPr="00D74BE9">
              <w:rPr>
                <w:rFonts w:ascii="Arial" w:eastAsia="Arial" w:hAnsi="Arial" w:cs="Arial"/>
                <w:lang w:val="ru-RU"/>
              </w:rPr>
              <w:t xml:space="preserve"> к услугам по коррекции пола</w:t>
            </w:r>
            <w:r w:rsidRPr="009D6B2A">
              <w:rPr>
                <w:rFonts w:ascii="Arial" w:eastAsia="Arial" w:hAnsi="Arial" w:cs="Arial"/>
                <w:lang w:val="ru-RU"/>
              </w:rPr>
              <w:t xml:space="preserve">, </w:t>
            </w:r>
            <w:r w:rsidR="009D6B2A" w:rsidRPr="009D6B2A">
              <w:rPr>
                <w:rFonts w:ascii="Arial" w:eastAsia="Arial" w:hAnsi="Arial" w:cs="Arial"/>
                <w:lang w:val="ru-RU"/>
              </w:rPr>
              <w:t>антидис</w:t>
            </w:r>
            <w:r w:rsidRPr="009D6B2A">
              <w:rPr>
                <w:rFonts w:ascii="Arial" w:eastAsia="Arial" w:hAnsi="Arial" w:cs="Arial"/>
                <w:lang w:val="ru-RU"/>
              </w:rPr>
              <w:t>криминационного закона</w:t>
            </w:r>
            <w:r w:rsidRPr="00D74BE9">
              <w:rPr>
                <w:rFonts w:ascii="Arial" w:eastAsia="Arial" w:hAnsi="Arial" w:cs="Arial"/>
                <w:lang w:val="ru-RU"/>
              </w:rPr>
              <w:t xml:space="preserve"> и др. </w:t>
            </w:r>
          </w:p>
          <w:p w14:paraId="115A64C0" w14:textId="158A9EA9" w:rsidR="005A67CC"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sidRPr="00D74BE9">
              <w:rPr>
                <w:rFonts w:ascii="Arial" w:eastAsia="Arial" w:hAnsi="Arial" w:cs="Arial"/>
                <w:lang w:val="ru-RU"/>
              </w:rPr>
              <w:t>Будет проведен анализ правоприменительной практики</w:t>
            </w:r>
            <w:r>
              <w:rPr>
                <w:rFonts w:ascii="Arial" w:eastAsia="Arial" w:hAnsi="Arial" w:cs="Arial"/>
                <w:lang w:val="ru-RU"/>
              </w:rPr>
              <w:t xml:space="preserve"> с учетом нововведённого уголовного и административного законодательства</w:t>
            </w:r>
            <w:r w:rsidRPr="00D74BE9">
              <w:rPr>
                <w:rFonts w:ascii="Arial" w:eastAsia="Arial" w:hAnsi="Arial" w:cs="Arial"/>
                <w:lang w:val="ru-RU"/>
              </w:rPr>
              <w:t xml:space="preserve"> и в системе здравоохранения из-за неправомерных правоприменительных практик</w:t>
            </w:r>
            <w:r>
              <w:rPr>
                <w:rFonts w:ascii="Arial" w:eastAsia="Arial" w:hAnsi="Arial" w:cs="Arial"/>
                <w:lang w:val="ru-RU"/>
              </w:rPr>
              <w:t>.</w:t>
            </w:r>
          </w:p>
          <w:p w14:paraId="1C80D25C" w14:textId="77777777" w:rsidR="005A67CC" w:rsidRPr="00D74BE9"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lang w:val="ru-RU"/>
              </w:rPr>
            </w:pPr>
            <w:r w:rsidRPr="00E03188">
              <w:rPr>
                <w:rFonts w:ascii="Arial" w:eastAsia="Arial" w:hAnsi="Arial" w:cs="Arial"/>
                <w:b/>
                <w:lang w:val="ru-RU"/>
              </w:rPr>
              <w:t>Правовая грамотность ("Знай свои права")</w:t>
            </w:r>
          </w:p>
          <w:p w14:paraId="1512DE6E" w14:textId="23607571" w:rsidR="005A67CC" w:rsidRPr="00D74BE9"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Pr>
                <w:rFonts w:ascii="Arial" w:eastAsia="Arial" w:hAnsi="Arial" w:cs="Arial"/>
                <w:lang w:val="ru-RU"/>
              </w:rPr>
              <w:t xml:space="preserve">Подготовленные 25 </w:t>
            </w:r>
            <w:r w:rsidRPr="00D74BE9">
              <w:rPr>
                <w:rFonts w:ascii="Arial" w:eastAsia="Arial" w:hAnsi="Arial" w:cs="Arial"/>
                <w:lang w:val="ru-RU"/>
              </w:rPr>
              <w:t xml:space="preserve">тренеров из числа </w:t>
            </w:r>
            <w:r>
              <w:rPr>
                <w:rFonts w:ascii="Arial" w:eastAsia="Arial" w:hAnsi="Arial" w:cs="Arial"/>
                <w:lang w:val="ru-RU"/>
              </w:rPr>
              <w:t>людей, живущих с ВИЧ и с ТБ, ключевых групп населения</w:t>
            </w:r>
            <w:r w:rsidR="00480C4E">
              <w:rPr>
                <w:rFonts w:ascii="Arial" w:eastAsia="Arial" w:hAnsi="Arial" w:cs="Arial"/>
                <w:lang w:val="ru-RU"/>
              </w:rPr>
              <w:t>,</w:t>
            </w:r>
            <w:r>
              <w:rPr>
                <w:rFonts w:ascii="Arial" w:eastAsia="Arial" w:hAnsi="Arial" w:cs="Arial"/>
                <w:lang w:val="ru-RU"/>
              </w:rPr>
              <w:t xml:space="preserve"> проведут обучение</w:t>
            </w:r>
            <w:r w:rsidRPr="00D74BE9">
              <w:rPr>
                <w:rFonts w:ascii="Arial" w:eastAsia="Arial" w:hAnsi="Arial" w:cs="Arial"/>
                <w:lang w:val="ru-RU"/>
              </w:rPr>
              <w:t xml:space="preserve"> представителей НПО и государственных учреждений </w:t>
            </w:r>
            <w:r>
              <w:rPr>
                <w:rFonts w:ascii="Arial" w:eastAsia="Arial" w:hAnsi="Arial" w:cs="Arial"/>
                <w:lang w:val="ru-RU"/>
              </w:rPr>
              <w:t>п</w:t>
            </w:r>
            <w:r w:rsidRPr="00D74BE9">
              <w:rPr>
                <w:rFonts w:ascii="Arial" w:eastAsia="Arial" w:hAnsi="Arial" w:cs="Arial"/>
                <w:lang w:val="ru-RU"/>
              </w:rPr>
              <w:t>о недискриминационны</w:t>
            </w:r>
            <w:r>
              <w:rPr>
                <w:rFonts w:ascii="Arial" w:eastAsia="Arial" w:hAnsi="Arial" w:cs="Arial"/>
                <w:lang w:val="ru-RU"/>
              </w:rPr>
              <w:t>м</w:t>
            </w:r>
            <w:r w:rsidRPr="00D74BE9">
              <w:rPr>
                <w:rFonts w:ascii="Arial" w:eastAsia="Arial" w:hAnsi="Arial" w:cs="Arial"/>
                <w:lang w:val="ru-RU"/>
              </w:rPr>
              <w:t xml:space="preserve"> подхода</w:t>
            </w:r>
            <w:r>
              <w:rPr>
                <w:rFonts w:ascii="Arial" w:eastAsia="Arial" w:hAnsi="Arial" w:cs="Arial"/>
                <w:lang w:val="ru-RU"/>
              </w:rPr>
              <w:t>м</w:t>
            </w:r>
            <w:r w:rsidRPr="00D74BE9">
              <w:rPr>
                <w:rFonts w:ascii="Arial" w:eastAsia="Arial" w:hAnsi="Arial" w:cs="Arial"/>
                <w:lang w:val="ru-RU"/>
              </w:rPr>
              <w:t xml:space="preserve"> и права</w:t>
            </w:r>
            <w:r>
              <w:rPr>
                <w:rFonts w:ascii="Arial" w:eastAsia="Arial" w:hAnsi="Arial" w:cs="Arial"/>
                <w:lang w:val="ru-RU"/>
              </w:rPr>
              <w:t>м человека в рамках</w:t>
            </w:r>
            <w:r w:rsidRPr="00D74BE9">
              <w:rPr>
                <w:rFonts w:ascii="Arial" w:eastAsia="Arial" w:hAnsi="Arial" w:cs="Arial"/>
                <w:lang w:val="ru-RU"/>
              </w:rPr>
              <w:t xml:space="preserve"> выполнения программ по ВИЧ</w:t>
            </w:r>
            <w:r>
              <w:rPr>
                <w:rFonts w:ascii="Arial" w:eastAsia="Arial" w:hAnsi="Arial" w:cs="Arial"/>
                <w:lang w:val="ru-RU"/>
              </w:rPr>
              <w:t xml:space="preserve"> и ТБ (75 человек за 3 года). Представители</w:t>
            </w:r>
            <w:r w:rsidRPr="00D74BE9">
              <w:rPr>
                <w:rFonts w:ascii="Arial" w:eastAsia="Arial" w:hAnsi="Arial" w:cs="Arial"/>
                <w:lang w:val="ru-RU"/>
              </w:rPr>
              <w:t xml:space="preserve"> НПО </w:t>
            </w:r>
            <w:r>
              <w:rPr>
                <w:rFonts w:ascii="Arial" w:eastAsia="Arial" w:hAnsi="Arial" w:cs="Arial"/>
                <w:lang w:val="ru-RU"/>
              </w:rPr>
              <w:t xml:space="preserve">и сообществ будут также обучены по разработанному модулю в рамках собственных мероприятий, в том числе, </w:t>
            </w:r>
            <w:r w:rsidRPr="00D74BE9">
              <w:rPr>
                <w:rFonts w:ascii="Arial" w:eastAsia="Arial" w:hAnsi="Arial" w:cs="Arial"/>
                <w:lang w:val="ru-RU"/>
              </w:rPr>
              <w:t>по принципу «равный равному»</w:t>
            </w:r>
            <w:r>
              <w:rPr>
                <w:rFonts w:ascii="Arial" w:eastAsia="Arial" w:hAnsi="Arial" w:cs="Arial"/>
                <w:lang w:val="ru-RU"/>
              </w:rPr>
              <w:t xml:space="preserve">. Это обучение </w:t>
            </w:r>
            <w:r>
              <w:rPr>
                <w:rFonts w:ascii="Arial" w:eastAsia="Arial" w:hAnsi="Arial" w:cs="Arial"/>
                <w:lang w:val="ru-RU"/>
              </w:rPr>
              <w:lastRenderedPageBreak/>
              <w:t>включит</w:t>
            </w:r>
            <w:r w:rsidRPr="00D74BE9">
              <w:rPr>
                <w:rFonts w:ascii="Arial" w:eastAsia="Arial" w:hAnsi="Arial" w:cs="Arial"/>
                <w:lang w:val="ru-RU"/>
              </w:rPr>
              <w:t xml:space="preserve"> вопрос</w:t>
            </w:r>
            <w:r>
              <w:rPr>
                <w:rFonts w:ascii="Arial" w:eastAsia="Arial" w:hAnsi="Arial" w:cs="Arial"/>
                <w:lang w:val="ru-RU"/>
              </w:rPr>
              <w:t>ы</w:t>
            </w:r>
            <w:r w:rsidRPr="00D74BE9">
              <w:rPr>
                <w:rFonts w:ascii="Arial" w:eastAsia="Arial" w:hAnsi="Arial" w:cs="Arial"/>
                <w:lang w:val="ru-RU"/>
              </w:rPr>
              <w:t xml:space="preserve"> планирования, реализации, мониторинга и оценки программ по ВИЧ</w:t>
            </w:r>
            <w:r>
              <w:rPr>
                <w:rFonts w:ascii="Arial" w:eastAsia="Arial" w:hAnsi="Arial" w:cs="Arial"/>
                <w:lang w:val="ru-RU"/>
              </w:rPr>
              <w:t xml:space="preserve"> и ТБ;</w:t>
            </w:r>
            <w:r w:rsidRPr="00D74BE9">
              <w:rPr>
                <w:rFonts w:ascii="Arial" w:eastAsia="Arial" w:hAnsi="Arial" w:cs="Arial"/>
                <w:lang w:val="ru-RU"/>
              </w:rPr>
              <w:t xml:space="preserve"> адвокации и участия в принятии решений на уровне </w:t>
            </w:r>
            <w:r>
              <w:rPr>
                <w:rFonts w:ascii="Arial" w:eastAsia="Arial" w:hAnsi="Arial" w:cs="Arial"/>
                <w:lang w:val="ru-RU"/>
              </w:rPr>
              <w:t>страновых и областных координационных комитетов</w:t>
            </w:r>
            <w:r w:rsidRPr="00D74BE9">
              <w:rPr>
                <w:rFonts w:ascii="Arial" w:eastAsia="Arial" w:hAnsi="Arial" w:cs="Arial"/>
                <w:lang w:val="ru-RU"/>
              </w:rPr>
              <w:t>, общественных</w:t>
            </w:r>
            <w:r>
              <w:rPr>
                <w:rFonts w:ascii="Arial" w:eastAsia="Arial" w:hAnsi="Arial" w:cs="Arial"/>
                <w:lang w:val="ru-RU"/>
              </w:rPr>
              <w:t xml:space="preserve"> /попечительских советов</w:t>
            </w:r>
            <w:r w:rsidRPr="00D74BE9">
              <w:rPr>
                <w:rFonts w:ascii="Arial" w:eastAsia="Arial" w:hAnsi="Arial" w:cs="Arial"/>
                <w:lang w:val="ru-RU"/>
              </w:rPr>
              <w:t xml:space="preserve"> профильных министерств и ведомств.</w:t>
            </w:r>
          </w:p>
          <w:p w14:paraId="0FEBCE9F" w14:textId="77777777" w:rsidR="005A67CC"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sidRPr="00792CA7">
              <w:rPr>
                <w:rFonts w:ascii="Arial" w:eastAsia="Arial" w:hAnsi="Arial" w:cs="Arial"/>
                <w:lang w:val="ru-RU"/>
              </w:rPr>
              <w:t xml:space="preserve">Будут </w:t>
            </w:r>
            <w:r w:rsidRPr="006D397D">
              <w:rPr>
                <w:rFonts w:ascii="Arial" w:eastAsia="Arial" w:hAnsi="Arial" w:cs="Arial"/>
                <w:lang w:val="ru-RU"/>
              </w:rPr>
              <w:t>организованы форумы людей, живущих с ВИЧ и с ТБ, ключевых групп и национальны</w:t>
            </w:r>
            <w:r>
              <w:rPr>
                <w:rFonts w:ascii="Arial" w:eastAsia="Arial" w:hAnsi="Arial" w:cs="Arial"/>
                <w:lang w:val="ru-RU"/>
              </w:rPr>
              <w:t>е</w:t>
            </w:r>
            <w:r w:rsidRPr="006D397D">
              <w:rPr>
                <w:rFonts w:ascii="Arial" w:eastAsia="Arial" w:hAnsi="Arial" w:cs="Arial"/>
                <w:lang w:val="ru-RU"/>
              </w:rPr>
              <w:t xml:space="preserve"> форум</w:t>
            </w:r>
            <w:r>
              <w:rPr>
                <w:rFonts w:ascii="Arial" w:eastAsia="Arial" w:hAnsi="Arial" w:cs="Arial"/>
                <w:lang w:val="ru-RU"/>
              </w:rPr>
              <w:t>ы</w:t>
            </w:r>
            <w:r w:rsidRPr="00792CA7">
              <w:rPr>
                <w:rFonts w:ascii="Arial" w:eastAsia="Arial" w:hAnsi="Arial" w:cs="Arial"/>
                <w:lang w:val="ru-RU"/>
              </w:rPr>
              <w:t xml:space="preserve"> НПО (ЛУН, СР, МСМ и ТГ) с целью обзора прогресса реализации программ по ВИЧ, анализа возможностей и препятствий для участия в страновых координационных механизмах в 2024 и 2026 гг., а</w:t>
            </w:r>
            <w:r>
              <w:rPr>
                <w:rFonts w:ascii="Arial" w:eastAsia="Arial" w:hAnsi="Arial" w:cs="Arial"/>
                <w:lang w:val="ru-RU"/>
              </w:rPr>
              <w:t>нализа хода исполнения межсектор</w:t>
            </w:r>
            <w:r w:rsidRPr="00792CA7">
              <w:rPr>
                <w:rFonts w:ascii="Arial" w:eastAsia="Arial" w:hAnsi="Arial" w:cs="Arial"/>
                <w:lang w:val="ru-RU"/>
              </w:rPr>
              <w:t>ального плана по устранению правовых барьеров.</w:t>
            </w:r>
          </w:p>
          <w:p w14:paraId="64626720" w14:textId="77777777" w:rsidR="005A67CC" w:rsidRPr="00D74BE9"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lang w:val="ru-RU"/>
              </w:rPr>
            </w:pPr>
            <w:r w:rsidRPr="00D74BE9">
              <w:rPr>
                <w:rFonts w:ascii="Arial" w:eastAsia="Arial" w:hAnsi="Arial" w:cs="Arial"/>
                <w:b/>
                <w:lang w:val="ru-RU"/>
              </w:rPr>
              <w:t>Обеспечение недискриминации при оказании медицинской помощи</w:t>
            </w:r>
          </w:p>
          <w:p w14:paraId="2E1B2DC3" w14:textId="658B1D78" w:rsidR="005A67CC" w:rsidRPr="00AD3CAA"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sidRPr="009D6B2A">
              <w:rPr>
                <w:rFonts w:ascii="Arial" w:eastAsia="Arial" w:hAnsi="Arial" w:cs="Arial"/>
                <w:lang w:val="ru-RU"/>
              </w:rPr>
              <w:t>Будет проведен анализ обучающих программ медицинских вузов и последипломного обучения на предмет содержания этики и консультирования в отношении прав пациентов с ВИЧ и ТБ.</w:t>
            </w:r>
            <w:r>
              <w:rPr>
                <w:rFonts w:ascii="Arial" w:eastAsia="Arial" w:hAnsi="Arial" w:cs="Arial"/>
                <w:lang w:val="ru-RU"/>
              </w:rPr>
              <w:t xml:space="preserve"> Медицинские работники получат обучение по правам человека в системе последипломного образования с использованием ранее разработанного модуля, а также в ходе других обучающих программ по ВИЧ и ТБ. На этих мероприятиях будет проводиться экспресс-оценка уровня знаний и отношения к клиентам медицинских специалистов с акцентом на специалистов первичного уровня здравоохранения. Будут проводиться регулярные встречи </w:t>
            </w:r>
            <w:r w:rsidRPr="00D74BE9">
              <w:rPr>
                <w:rFonts w:ascii="Arial" w:eastAsia="Arial" w:hAnsi="Arial" w:cs="Arial"/>
                <w:lang w:val="ru-RU"/>
              </w:rPr>
              <w:t xml:space="preserve">медицинских работников и представителей сообществ </w:t>
            </w:r>
            <w:r>
              <w:rPr>
                <w:rFonts w:ascii="Arial" w:eastAsia="Arial" w:hAnsi="Arial" w:cs="Arial"/>
                <w:lang w:val="ru-RU"/>
              </w:rPr>
              <w:t>для обсуждения ситуации и раз</w:t>
            </w:r>
            <w:r w:rsidRPr="00D74BE9">
              <w:rPr>
                <w:rFonts w:ascii="Arial" w:eastAsia="Arial" w:hAnsi="Arial" w:cs="Arial"/>
                <w:lang w:val="ru-RU"/>
              </w:rPr>
              <w:t>работке механизмов снижения стигмы и дискриминации</w:t>
            </w:r>
            <w:r>
              <w:rPr>
                <w:rFonts w:ascii="Arial" w:eastAsia="Arial" w:hAnsi="Arial" w:cs="Arial"/>
                <w:lang w:val="ru-RU"/>
              </w:rPr>
              <w:t xml:space="preserve"> при оказании помощи в связи с ВИЧ и ТБ. Будет проведено обучение </w:t>
            </w:r>
            <w:r w:rsidRPr="009D6B2A">
              <w:rPr>
                <w:rFonts w:ascii="Arial" w:eastAsia="Arial" w:hAnsi="Arial" w:cs="Arial"/>
                <w:lang w:val="ru-RU"/>
              </w:rPr>
              <w:t>для 75 медицинских работников по вопросам медицинской этики, прав человека, преодоления стигмы и дискриминации при оказании медицинских услуг по ВИЧ и ТБ. В проведении мероприятий на местах будут вовлечены местные организации сообществ и параюристы.</w:t>
            </w:r>
            <w:r>
              <w:rPr>
                <w:rFonts w:ascii="Arial" w:eastAsia="Arial" w:hAnsi="Arial" w:cs="Arial"/>
                <w:lang w:val="ru-RU"/>
              </w:rPr>
              <w:t xml:space="preserve"> </w:t>
            </w:r>
          </w:p>
          <w:p w14:paraId="63B76456" w14:textId="77777777" w:rsidR="005A67CC" w:rsidRPr="00D74BE9"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lang w:val="ru-RU"/>
              </w:rPr>
            </w:pPr>
            <w:r w:rsidRPr="00D74BE9">
              <w:rPr>
                <w:rFonts w:ascii="Arial" w:eastAsia="Arial" w:hAnsi="Arial" w:cs="Arial"/>
                <w:b/>
                <w:lang w:val="ru-RU"/>
              </w:rPr>
              <w:t xml:space="preserve">Расширение доступа к </w:t>
            </w:r>
            <w:r>
              <w:rPr>
                <w:rFonts w:ascii="Arial" w:eastAsia="Arial" w:hAnsi="Arial" w:cs="Arial"/>
                <w:b/>
                <w:lang w:val="ru-RU"/>
              </w:rPr>
              <w:t>правосудию</w:t>
            </w:r>
          </w:p>
          <w:p w14:paraId="0D91108F" w14:textId="0A638B0A" w:rsidR="005A67CC" w:rsidRPr="0023526B"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Pr>
                <w:rFonts w:ascii="Arial" w:eastAsia="Arial" w:hAnsi="Arial" w:cs="Arial"/>
                <w:lang w:val="ru-RU"/>
              </w:rPr>
              <w:t xml:space="preserve">Будет продолжено </w:t>
            </w:r>
            <w:r w:rsidRPr="00D74BE9">
              <w:rPr>
                <w:rFonts w:ascii="Arial" w:eastAsia="Arial" w:hAnsi="Arial" w:cs="Arial"/>
                <w:lang w:val="ru-RU"/>
              </w:rPr>
              <w:t>документирование всех случаев нарушения прав, проявлени</w:t>
            </w:r>
            <w:r>
              <w:rPr>
                <w:rFonts w:ascii="Arial" w:eastAsia="Arial" w:hAnsi="Arial" w:cs="Arial"/>
                <w:lang w:val="ru-RU"/>
              </w:rPr>
              <w:t>й</w:t>
            </w:r>
            <w:r w:rsidRPr="00D74BE9">
              <w:rPr>
                <w:rFonts w:ascii="Arial" w:eastAsia="Arial" w:hAnsi="Arial" w:cs="Arial"/>
                <w:lang w:val="ru-RU"/>
              </w:rPr>
              <w:t xml:space="preserve"> стигмы и дискриминации, отказа в предоставлении услуг для </w:t>
            </w:r>
            <w:r>
              <w:rPr>
                <w:rFonts w:ascii="Arial" w:eastAsia="Arial" w:hAnsi="Arial" w:cs="Arial"/>
                <w:lang w:val="ru-RU"/>
              </w:rPr>
              <w:t>людей, живущих с ВИЧ и с ТБ, а также</w:t>
            </w:r>
            <w:r w:rsidRPr="00D74BE9">
              <w:rPr>
                <w:rFonts w:ascii="Arial" w:eastAsia="Arial" w:hAnsi="Arial" w:cs="Arial"/>
                <w:lang w:val="ru-RU"/>
              </w:rPr>
              <w:t xml:space="preserve"> КГН с использованием электронных платформ </w:t>
            </w:r>
            <w:r w:rsidRPr="00E03188">
              <w:rPr>
                <w:rFonts w:ascii="Arial" w:eastAsia="Arial" w:hAnsi="Arial" w:cs="Arial"/>
                <w:lang w:val="ru-RU"/>
              </w:rPr>
              <w:t>REAct</w:t>
            </w:r>
            <w:r w:rsidRPr="00D74BE9">
              <w:rPr>
                <w:rFonts w:ascii="Arial" w:eastAsia="Arial" w:hAnsi="Arial" w:cs="Arial"/>
                <w:lang w:val="ru-RU"/>
              </w:rPr>
              <w:t xml:space="preserve">, </w:t>
            </w:r>
            <w:r w:rsidRPr="00E03188">
              <w:rPr>
                <w:rFonts w:ascii="Arial" w:eastAsia="Arial" w:hAnsi="Arial" w:cs="Arial"/>
                <w:lang w:val="ru-RU"/>
              </w:rPr>
              <w:t>pereboi</w:t>
            </w:r>
            <w:r w:rsidRPr="00D74BE9">
              <w:rPr>
                <w:rFonts w:ascii="Arial" w:eastAsia="Arial" w:hAnsi="Arial" w:cs="Arial"/>
                <w:lang w:val="ru-RU"/>
              </w:rPr>
              <w:t>.</w:t>
            </w:r>
            <w:r w:rsidRPr="00E03188">
              <w:rPr>
                <w:rFonts w:ascii="Arial" w:eastAsia="Arial" w:hAnsi="Arial" w:cs="Arial"/>
                <w:lang w:val="ru-RU"/>
              </w:rPr>
              <w:t>kg</w:t>
            </w:r>
            <w:r>
              <w:rPr>
                <w:rFonts w:ascii="Arial" w:eastAsia="Arial" w:hAnsi="Arial" w:cs="Arial"/>
                <w:lang w:val="ru-RU"/>
              </w:rPr>
              <w:t xml:space="preserve">, </w:t>
            </w:r>
            <w:r w:rsidRPr="00E03188">
              <w:rPr>
                <w:rFonts w:ascii="Arial" w:eastAsia="Arial" w:hAnsi="Arial" w:cs="Arial"/>
                <w:lang w:val="ru-RU"/>
              </w:rPr>
              <w:t>One</w:t>
            </w:r>
            <w:r w:rsidR="00480C4E">
              <w:rPr>
                <w:rFonts w:ascii="Arial" w:eastAsia="Arial" w:hAnsi="Arial" w:cs="Arial"/>
              </w:rPr>
              <w:t>I</w:t>
            </w:r>
            <w:r w:rsidRPr="00E03188">
              <w:rPr>
                <w:rFonts w:ascii="Arial" w:eastAsia="Arial" w:hAnsi="Arial" w:cs="Arial"/>
                <w:lang w:val="ru-RU"/>
              </w:rPr>
              <w:t>mpact</w:t>
            </w:r>
            <w:r w:rsidRPr="00D74BE9">
              <w:rPr>
                <w:rFonts w:ascii="Arial" w:eastAsia="Arial" w:hAnsi="Arial" w:cs="Arial"/>
                <w:lang w:val="ru-RU"/>
              </w:rPr>
              <w:t xml:space="preserve"> и др.</w:t>
            </w:r>
            <w:r>
              <w:rPr>
                <w:rFonts w:ascii="Arial" w:eastAsia="Arial" w:hAnsi="Arial" w:cs="Arial"/>
                <w:lang w:val="ru-RU"/>
              </w:rPr>
              <w:t xml:space="preserve"> Данная работа будет продолжена по модели параюридической помощи</w:t>
            </w:r>
            <w:r w:rsidRPr="009D6B2A">
              <w:rPr>
                <w:rFonts w:ascii="Arial" w:eastAsia="Arial" w:hAnsi="Arial" w:cs="Arial"/>
                <w:lang w:val="ru-RU"/>
              </w:rPr>
              <w:t>. Ранее вовлечённые профессиональные организации передадут эту модель в управление местных организаций сообществ. Расширятся полномочия параюристов, которые будут базироваться в сервисных организациях и координироваться руководителями НПО. В их функции дополнительно будет включено обучение сотрудников организаций, адвокация защиты прав КГН. Менторы в течение первого года передадут свои функции руководителям сетей и сервисных организаций.</w:t>
            </w:r>
            <w:r w:rsidRPr="001B0298">
              <w:rPr>
                <w:rFonts w:ascii="Arial" w:eastAsia="Arial" w:hAnsi="Arial" w:cs="Arial"/>
                <w:highlight w:val="cyan"/>
                <w:lang w:val="ru-RU"/>
              </w:rPr>
              <w:t xml:space="preserve"> </w:t>
            </w:r>
            <w:r w:rsidRPr="0023526B">
              <w:rPr>
                <w:rFonts w:ascii="Arial" w:eastAsia="Arial" w:hAnsi="Arial" w:cs="Arial"/>
                <w:lang w:val="ru-RU"/>
              </w:rPr>
              <w:t xml:space="preserve">Профессиональная </w:t>
            </w:r>
            <w:r w:rsidR="00480C4E" w:rsidRPr="0023526B">
              <w:rPr>
                <w:rFonts w:ascii="Arial" w:eastAsia="Arial" w:hAnsi="Arial" w:cs="Arial"/>
                <w:lang w:val="ru-RU"/>
              </w:rPr>
              <w:t>помощь адвоката</w:t>
            </w:r>
            <w:r w:rsidRPr="0023526B">
              <w:rPr>
                <w:rFonts w:ascii="Arial" w:eastAsia="Arial" w:hAnsi="Arial" w:cs="Arial"/>
                <w:lang w:val="ru-RU"/>
              </w:rPr>
              <w:t xml:space="preserve"> для представителей сообществ ключевых групп будет осуществлена привлеченным адвокатом на базе гарантированной юридической помощи со стороны государства (ГГЮП). Потенциал адвокатов ГГЮП будет наращиваться по мере их вовлечения в обучающие и адвокационные мероприятия. Консультант по правам человека, который будет работать 60 дней в год, проведет обучение и поддержку всех НПО, работающих в сфере ВИЧ и ТБ: 50 человек будут обучены на национальных тренингах и не менее 90% сотрудников НПО на рабочем месте. </w:t>
            </w:r>
          </w:p>
          <w:p w14:paraId="11350536" w14:textId="69774A6B" w:rsidR="005A67CC" w:rsidRPr="00D74BE9"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Pr>
                <w:rFonts w:ascii="Arial" w:eastAsia="Arial" w:hAnsi="Arial" w:cs="Arial"/>
                <w:lang w:val="ru-RU"/>
              </w:rPr>
              <w:t>Будет оказана консультационно-правовая</w:t>
            </w:r>
            <w:r w:rsidRPr="00D74BE9">
              <w:rPr>
                <w:rFonts w:ascii="Arial" w:eastAsia="Arial" w:hAnsi="Arial" w:cs="Arial"/>
                <w:lang w:val="ru-RU"/>
              </w:rPr>
              <w:t xml:space="preserve"> помощь и защит</w:t>
            </w:r>
            <w:r>
              <w:rPr>
                <w:rFonts w:ascii="Arial" w:eastAsia="Arial" w:hAnsi="Arial" w:cs="Arial"/>
                <w:lang w:val="ru-RU"/>
              </w:rPr>
              <w:t>а</w:t>
            </w:r>
            <w:r w:rsidRPr="00D74BE9">
              <w:rPr>
                <w:rFonts w:ascii="Arial" w:eastAsia="Arial" w:hAnsi="Arial" w:cs="Arial"/>
                <w:lang w:val="ru-RU"/>
              </w:rPr>
              <w:t xml:space="preserve"> в правоохранительных органах, местах заключения, судах ЛЖВ</w:t>
            </w:r>
            <w:r>
              <w:rPr>
                <w:rFonts w:ascii="Arial" w:eastAsia="Arial" w:hAnsi="Arial" w:cs="Arial"/>
                <w:lang w:val="ru-RU"/>
              </w:rPr>
              <w:t>, людей, живущих с ТБ,</w:t>
            </w:r>
            <w:r w:rsidRPr="00D74BE9">
              <w:rPr>
                <w:rFonts w:ascii="Arial" w:eastAsia="Arial" w:hAnsi="Arial" w:cs="Arial"/>
                <w:lang w:val="ru-RU"/>
              </w:rPr>
              <w:t xml:space="preserve"> и КГН, сталкивающи</w:t>
            </w:r>
            <w:r>
              <w:rPr>
                <w:rFonts w:ascii="Arial" w:eastAsia="Arial" w:hAnsi="Arial" w:cs="Arial"/>
                <w:lang w:val="ru-RU"/>
              </w:rPr>
              <w:t>хс</w:t>
            </w:r>
            <w:r w:rsidRPr="00D74BE9">
              <w:rPr>
                <w:rFonts w:ascii="Arial" w:eastAsia="Arial" w:hAnsi="Arial" w:cs="Arial"/>
                <w:lang w:val="ru-RU"/>
              </w:rPr>
              <w:t xml:space="preserve">я со стигмой и дискриминацией, а также пострадавшим от гендерного и </w:t>
            </w:r>
            <w:r w:rsidRPr="00D74BE9">
              <w:rPr>
                <w:rFonts w:ascii="Arial" w:eastAsia="Arial" w:hAnsi="Arial" w:cs="Arial"/>
                <w:lang w:val="ru-RU"/>
              </w:rPr>
              <w:lastRenderedPageBreak/>
              <w:t>семейного насилия</w:t>
            </w:r>
            <w:r>
              <w:rPr>
                <w:rFonts w:ascii="Arial" w:eastAsia="Arial" w:hAnsi="Arial" w:cs="Arial"/>
                <w:lang w:val="ru-RU"/>
              </w:rPr>
              <w:t>. Для этого будут использованы</w:t>
            </w:r>
            <w:r w:rsidRPr="00D74BE9">
              <w:rPr>
                <w:rFonts w:ascii="Arial" w:eastAsia="Arial" w:hAnsi="Arial" w:cs="Arial"/>
                <w:lang w:val="ru-RU"/>
              </w:rPr>
              <w:t xml:space="preserve"> предусмотренные законодательством КР средства защиты, включая </w:t>
            </w:r>
            <w:r w:rsidRPr="0023526B">
              <w:rPr>
                <w:rFonts w:ascii="Arial" w:eastAsia="Arial" w:hAnsi="Arial" w:cs="Arial"/>
                <w:lang w:val="ru-RU"/>
              </w:rPr>
              <w:t>услуги адвокатов; 21 параюриста/ специалиста по правам и 2 менторов. Юристы из реестра ГГЮП окажут помощь ключевым группам</w:t>
            </w:r>
            <w:r w:rsidR="0023526B" w:rsidRPr="0023526B">
              <w:rPr>
                <w:rFonts w:ascii="Arial" w:eastAsia="Arial" w:hAnsi="Arial" w:cs="Arial"/>
                <w:lang w:val="ru-RU"/>
              </w:rPr>
              <w:t>,</w:t>
            </w:r>
            <w:r w:rsidRPr="0023526B">
              <w:rPr>
                <w:rFonts w:ascii="Arial" w:eastAsia="Arial" w:hAnsi="Arial" w:cs="Arial"/>
                <w:lang w:val="ru-RU"/>
              </w:rPr>
              <w:t xml:space="preserve"> включая</w:t>
            </w:r>
            <w:r w:rsidRPr="0023526B">
              <w:rPr>
                <w:lang w:val="ru-RU"/>
              </w:rPr>
              <w:t xml:space="preserve"> </w:t>
            </w:r>
            <w:r w:rsidRPr="0023526B">
              <w:rPr>
                <w:rFonts w:ascii="Arial" w:eastAsia="Arial" w:hAnsi="Arial" w:cs="Arial"/>
                <w:lang w:val="ru-RU"/>
              </w:rPr>
              <w:t>в местах</w:t>
            </w:r>
            <w:r w:rsidRPr="000920DF">
              <w:rPr>
                <w:rFonts w:ascii="Arial" w:eastAsia="Arial" w:hAnsi="Arial" w:cs="Arial"/>
                <w:lang w:val="ru-RU"/>
              </w:rPr>
              <w:t xml:space="preserve"> лишения свободы </w:t>
            </w:r>
            <w:r>
              <w:rPr>
                <w:rFonts w:ascii="Arial" w:eastAsia="Arial" w:hAnsi="Arial" w:cs="Arial"/>
                <w:lang w:val="ru-RU"/>
              </w:rPr>
              <w:t>ЛЖВ, людям, живущим с ТБ, и КГН, которые не имеют физического доступа к услугам адвоката</w:t>
            </w:r>
            <w:r w:rsidRPr="00D74BE9">
              <w:rPr>
                <w:rFonts w:ascii="Arial" w:eastAsia="Arial" w:hAnsi="Arial" w:cs="Arial"/>
                <w:lang w:val="ru-RU"/>
              </w:rPr>
              <w:t>.</w:t>
            </w:r>
            <w:r>
              <w:rPr>
                <w:rFonts w:ascii="Arial" w:eastAsia="Arial" w:hAnsi="Arial" w:cs="Arial"/>
                <w:lang w:val="ru-RU"/>
              </w:rPr>
              <w:t xml:space="preserve"> Кроме этого, параюристы</w:t>
            </w:r>
            <w:r w:rsidRPr="00D74BE9">
              <w:rPr>
                <w:rFonts w:ascii="Arial" w:eastAsia="Arial" w:hAnsi="Arial" w:cs="Arial"/>
                <w:lang w:val="ru-RU"/>
              </w:rPr>
              <w:t xml:space="preserve"> </w:t>
            </w:r>
            <w:r>
              <w:rPr>
                <w:rFonts w:ascii="Arial" w:eastAsia="Arial" w:hAnsi="Arial" w:cs="Arial"/>
                <w:lang w:val="ru-RU"/>
              </w:rPr>
              <w:t xml:space="preserve">окажут </w:t>
            </w:r>
            <w:r w:rsidRPr="00D74BE9">
              <w:rPr>
                <w:rFonts w:ascii="Arial" w:eastAsia="Arial" w:hAnsi="Arial" w:cs="Arial"/>
                <w:lang w:val="ru-RU"/>
              </w:rPr>
              <w:t xml:space="preserve">помощь </w:t>
            </w:r>
            <w:r>
              <w:rPr>
                <w:rFonts w:ascii="Arial" w:eastAsia="Arial" w:hAnsi="Arial" w:cs="Arial"/>
                <w:lang w:val="ru-RU"/>
              </w:rPr>
              <w:t>клиентам программ по ВИЧ и ТБ</w:t>
            </w:r>
            <w:r w:rsidRPr="00D74BE9">
              <w:rPr>
                <w:rFonts w:ascii="Arial" w:eastAsia="Arial" w:hAnsi="Arial" w:cs="Arial"/>
                <w:lang w:val="ru-RU"/>
              </w:rPr>
              <w:t xml:space="preserve"> по восстановлению документов для официального документирования личности (паспорт; свидетельство о рождении и др.)</w:t>
            </w:r>
            <w:r>
              <w:rPr>
                <w:rFonts w:ascii="Arial" w:eastAsia="Arial" w:hAnsi="Arial" w:cs="Arial"/>
                <w:lang w:val="ru-RU"/>
              </w:rPr>
              <w:t>; проведут информирование по правам, окажут поддержку и сопровождение клиентов при необходимости. 450 клиентов получат необходимую поддержку в их паспортизации, получении необходимых личных документов.</w:t>
            </w:r>
          </w:p>
          <w:p w14:paraId="3A159221" w14:textId="38375A91" w:rsidR="005A67CC"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Pr>
                <w:rFonts w:ascii="Arial" w:eastAsia="Arial" w:hAnsi="Arial" w:cs="Arial"/>
                <w:lang w:val="ru-RU"/>
              </w:rPr>
              <w:t xml:space="preserve">Будут разработаны </w:t>
            </w:r>
            <w:r w:rsidRPr="00D74BE9">
              <w:rPr>
                <w:rFonts w:ascii="Arial" w:eastAsia="Arial" w:hAnsi="Arial" w:cs="Arial"/>
                <w:lang w:val="ru-RU"/>
              </w:rPr>
              <w:t>предложени</w:t>
            </w:r>
            <w:r>
              <w:rPr>
                <w:rFonts w:ascii="Arial" w:eastAsia="Arial" w:hAnsi="Arial" w:cs="Arial"/>
                <w:lang w:val="ru-RU"/>
              </w:rPr>
              <w:t>я</w:t>
            </w:r>
            <w:r w:rsidRPr="00D74BE9">
              <w:rPr>
                <w:rFonts w:ascii="Arial" w:eastAsia="Arial" w:hAnsi="Arial" w:cs="Arial"/>
                <w:lang w:val="ru-RU"/>
              </w:rPr>
              <w:t xml:space="preserve"> для разработки проекта НПА/межведомственного документа</w:t>
            </w:r>
            <w:r>
              <w:rPr>
                <w:rFonts w:ascii="Arial" w:eastAsia="Arial" w:hAnsi="Arial" w:cs="Arial"/>
                <w:lang w:val="ru-RU"/>
              </w:rPr>
              <w:t xml:space="preserve"> по решению </w:t>
            </w:r>
            <w:r w:rsidRPr="00D74BE9">
              <w:rPr>
                <w:rFonts w:ascii="Arial" w:eastAsia="Arial" w:hAnsi="Arial" w:cs="Arial"/>
                <w:lang w:val="ru-RU"/>
              </w:rPr>
              <w:t>проблем с документированием</w:t>
            </w:r>
            <w:r>
              <w:rPr>
                <w:rFonts w:ascii="Arial" w:eastAsia="Arial" w:hAnsi="Arial" w:cs="Arial"/>
                <w:lang w:val="ru-RU"/>
              </w:rPr>
              <w:t xml:space="preserve">, а также по </w:t>
            </w:r>
            <w:r w:rsidRPr="00D74BE9">
              <w:rPr>
                <w:rFonts w:ascii="Arial" w:eastAsia="Arial" w:hAnsi="Arial" w:cs="Arial"/>
                <w:lang w:val="ru-RU"/>
              </w:rPr>
              <w:t>механизм</w:t>
            </w:r>
            <w:r>
              <w:rPr>
                <w:rFonts w:ascii="Arial" w:eastAsia="Arial" w:hAnsi="Arial" w:cs="Arial"/>
                <w:lang w:val="ru-RU"/>
              </w:rPr>
              <w:t>у</w:t>
            </w:r>
            <w:r w:rsidRPr="00D74BE9">
              <w:rPr>
                <w:rFonts w:ascii="Arial" w:eastAsia="Arial" w:hAnsi="Arial" w:cs="Arial"/>
                <w:lang w:val="ru-RU"/>
              </w:rPr>
              <w:t xml:space="preserve"> </w:t>
            </w:r>
            <w:r>
              <w:rPr>
                <w:rFonts w:ascii="Arial" w:eastAsia="Arial" w:hAnsi="Arial" w:cs="Arial"/>
                <w:lang w:val="ru-RU"/>
              </w:rPr>
              <w:t xml:space="preserve">официальной </w:t>
            </w:r>
            <w:r w:rsidRPr="00D74BE9">
              <w:rPr>
                <w:rFonts w:ascii="Arial" w:eastAsia="Arial" w:hAnsi="Arial" w:cs="Arial"/>
                <w:lang w:val="ru-RU"/>
              </w:rPr>
              <w:t>сертификации</w:t>
            </w:r>
            <w:r>
              <w:rPr>
                <w:rFonts w:ascii="Arial" w:eastAsia="Arial" w:hAnsi="Arial" w:cs="Arial"/>
                <w:lang w:val="ru-RU"/>
              </w:rPr>
              <w:t>/обучения</w:t>
            </w:r>
            <w:r w:rsidRPr="00D74BE9">
              <w:rPr>
                <w:rFonts w:ascii="Arial" w:eastAsia="Arial" w:hAnsi="Arial" w:cs="Arial"/>
                <w:lang w:val="ru-RU"/>
              </w:rPr>
              <w:t xml:space="preserve"> параюристов</w:t>
            </w:r>
            <w:r>
              <w:rPr>
                <w:rFonts w:ascii="Arial" w:eastAsia="Arial" w:hAnsi="Arial" w:cs="Arial"/>
                <w:lang w:val="ru-RU"/>
              </w:rPr>
              <w:t xml:space="preserve">. </w:t>
            </w:r>
            <w:r>
              <w:rPr>
                <w:lang w:val="ru-RU"/>
              </w:rPr>
              <w:t>Параюристы и специалисты, работающие с ЛУН, будут обучены по работе в соцсетях по ю</w:t>
            </w:r>
            <w:r w:rsidRPr="00024919">
              <w:rPr>
                <w:rFonts w:ascii="Arial" w:eastAsia="Arial" w:hAnsi="Arial" w:cs="Arial"/>
                <w:lang w:val="ru-RU"/>
              </w:rPr>
              <w:t>ридической помощи</w:t>
            </w:r>
            <w:r>
              <w:rPr>
                <w:lang w:val="ru-RU"/>
              </w:rPr>
              <w:t xml:space="preserve"> ЛУН НПВ.</w:t>
            </w:r>
          </w:p>
          <w:p w14:paraId="6893C797" w14:textId="58C8813A" w:rsidR="005A67CC"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Pr>
                <w:rFonts w:ascii="Arial" w:eastAsia="Arial" w:hAnsi="Arial" w:cs="Arial"/>
                <w:lang w:val="ru-RU"/>
              </w:rPr>
              <w:t xml:space="preserve">Две сети сообществ будут оказывать всестороннюю помощь клиентам программ по ВИЧ и ТБ, включая мобилизацию сил сообществ, направленных на создание благоприятной правовой среды для реализации программ по ВИЧ и ТБ. Они </w:t>
            </w:r>
            <w:r w:rsidR="007E6536">
              <w:rPr>
                <w:rFonts w:ascii="Arial" w:eastAsia="Arial" w:hAnsi="Arial" w:cs="Arial"/>
                <w:lang w:val="ru-RU"/>
              </w:rPr>
              <w:t>будут проводить</w:t>
            </w:r>
            <w:r w:rsidRPr="00EF63F1">
              <w:rPr>
                <w:rFonts w:ascii="Arial" w:eastAsia="Arial" w:hAnsi="Arial" w:cs="Arial"/>
                <w:lang w:val="ru-RU"/>
              </w:rPr>
              <w:t xml:space="preserve"> адвокационны</w:t>
            </w:r>
            <w:r>
              <w:rPr>
                <w:rFonts w:ascii="Arial" w:eastAsia="Arial" w:hAnsi="Arial" w:cs="Arial"/>
                <w:lang w:val="ru-RU"/>
              </w:rPr>
              <w:t>е мероприятия</w:t>
            </w:r>
            <w:r w:rsidRPr="00EF63F1">
              <w:rPr>
                <w:rFonts w:ascii="Arial" w:eastAsia="Arial" w:hAnsi="Arial" w:cs="Arial"/>
                <w:lang w:val="ru-RU"/>
              </w:rPr>
              <w:t>, разработк</w:t>
            </w:r>
            <w:r>
              <w:rPr>
                <w:rFonts w:ascii="Arial" w:eastAsia="Arial" w:hAnsi="Arial" w:cs="Arial"/>
                <w:lang w:val="ru-RU"/>
              </w:rPr>
              <w:t>у</w:t>
            </w:r>
            <w:r w:rsidRPr="00EF63F1">
              <w:rPr>
                <w:rFonts w:ascii="Arial" w:eastAsia="Arial" w:hAnsi="Arial" w:cs="Arial"/>
                <w:lang w:val="ru-RU"/>
              </w:rPr>
              <w:t xml:space="preserve"> унифицированных подходов для НПО, координаци</w:t>
            </w:r>
            <w:r>
              <w:rPr>
                <w:rFonts w:ascii="Arial" w:eastAsia="Arial" w:hAnsi="Arial" w:cs="Arial"/>
                <w:lang w:val="ru-RU"/>
              </w:rPr>
              <w:t>ю</w:t>
            </w:r>
            <w:r w:rsidRPr="00EF63F1">
              <w:rPr>
                <w:rFonts w:ascii="Arial" w:eastAsia="Arial" w:hAnsi="Arial" w:cs="Arial"/>
                <w:lang w:val="ru-RU"/>
              </w:rPr>
              <w:t xml:space="preserve"> общих для НПО мероприятий.</w:t>
            </w:r>
          </w:p>
          <w:p w14:paraId="085CD043" w14:textId="77777777" w:rsidR="005A67CC" w:rsidRPr="00D74BE9"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p>
          <w:p w14:paraId="6BAE5D19" w14:textId="1E2F9741" w:rsidR="005A67CC" w:rsidRPr="00480C4E"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lang w:val="ru-RU"/>
              </w:rPr>
            </w:pPr>
            <w:r w:rsidRPr="00D74BE9">
              <w:rPr>
                <w:rFonts w:ascii="Arial" w:eastAsia="Arial" w:hAnsi="Arial" w:cs="Arial"/>
                <w:b/>
                <w:lang w:val="ru-RU"/>
              </w:rPr>
              <w:t xml:space="preserve">Обеспечение </w:t>
            </w:r>
            <w:r>
              <w:rPr>
                <w:rFonts w:ascii="Arial" w:eastAsia="Arial" w:hAnsi="Arial" w:cs="Arial"/>
                <w:b/>
                <w:lang w:val="ru-RU"/>
              </w:rPr>
              <w:t xml:space="preserve">благоприятной правовой среды и </w:t>
            </w:r>
            <w:r w:rsidRPr="00D74BE9">
              <w:rPr>
                <w:rFonts w:ascii="Arial" w:eastAsia="Arial" w:hAnsi="Arial" w:cs="Arial"/>
                <w:b/>
                <w:lang w:val="ru-RU"/>
              </w:rPr>
              <w:t>правоприменительн</w:t>
            </w:r>
            <w:r>
              <w:rPr>
                <w:rFonts w:ascii="Arial" w:eastAsia="Arial" w:hAnsi="Arial" w:cs="Arial"/>
                <w:b/>
                <w:lang w:val="ru-RU"/>
              </w:rPr>
              <w:t>ой</w:t>
            </w:r>
            <w:r w:rsidRPr="00D74BE9">
              <w:rPr>
                <w:rFonts w:ascii="Arial" w:eastAsia="Arial" w:hAnsi="Arial" w:cs="Arial"/>
                <w:b/>
                <w:lang w:val="ru-RU"/>
              </w:rPr>
              <w:t xml:space="preserve"> практик</w:t>
            </w:r>
            <w:r w:rsidR="00480C4E">
              <w:rPr>
                <w:rFonts w:ascii="Arial" w:eastAsia="Arial" w:hAnsi="Arial" w:cs="Arial"/>
                <w:b/>
                <w:lang w:val="ru-RU"/>
              </w:rPr>
              <w:t>и</w:t>
            </w:r>
          </w:p>
          <w:p w14:paraId="1B368238" w14:textId="77777777" w:rsidR="005A67CC"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sidRPr="00480C4E">
              <w:rPr>
                <w:rFonts w:ascii="Arial" w:eastAsia="Arial" w:hAnsi="Arial" w:cs="Arial"/>
                <w:lang w:val="ru-RU"/>
              </w:rPr>
              <w:t>П</w:t>
            </w:r>
            <w:r w:rsidRPr="00D74BE9">
              <w:rPr>
                <w:rFonts w:ascii="Arial" w:eastAsia="Arial" w:hAnsi="Arial" w:cs="Arial"/>
                <w:lang w:val="ru-RU"/>
              </w:rPr>
              <w:t>равовы</w:t>
            </w:r>
            <w:r>
              <w:rPr>
                <w:rFonts w:ascii="Arial" w:eastAsia="Arial" w:hAnsi="Arial" w:cs="Arial"/>
                <w:lang w:val="ru-RU"/>
              </w:rPr>
              <w:t>е</w:t>
            </w:r>
            <w:r w:rsidRPr="00D74BE9">
              <w:rPr>
                <w:rFonts w:ascii="Arial" w:eastAsia="Arial" w:hAnsi="Arial" w:cs="Arial"/>
                <w:lang w:val="ru-RU"/>
              </w:rPr>
              <w:t xml:space="preserve"> вопрос</w:t>
            </w:r>
            <w:r>
              <w:rPr>
                <w:rFonts w:ascii="Arial" w:eastAsia="Arial" w:hAnsi="Arial" w:cs="Arial"/>
                <w:lang w:val="ru-RU"/>
              </w:rPr>
              <w:t>ы</w:t>
            </w:r>
            <w:r w:rsidRPr="00D74BE9">
              <w:rPr>
                <w:rFonts w:ascii="Arial" w:eastAsia="Arial" w:hAnsi="Arial" w:cs="Arial"/>
                <w:lang w:val="ru-RU"/>
              </w:rPr>
              <w:t xml:space="preserve"> по ВИЧ и ТБ </w:t>
            </w:r>
            <w:r>
              <w:rPr>
                <w:rFonts w:ascii="Arial" w:eastAsia="Arial" w:hAnsi="Arial" w:cs="Arial"/>
                <w:lang w:val="ru-RU"/>
              </w:rPr>
              <w:t xml:space="preserve">останутся частью </w:t>
            </w:r>
            <w:r w:rsidRPr="00D74BE9">
              <w:rPr>
                <w:rFonts w:ascii="Arial" w:eastAsia="Arial" w:hAnsi="Arial" w:cs="Arial"/>
                <w:lang w:val="ru-RU"/>
              </w:rPr>
              <w:t>систем</w:t>
            </w:r>
            <w:r>
              <w:rPr>
                <w:rFonts w:ascii="Arial" w:eastAsia="Arial" w:hAnsi="Arial" w:cs="Arial"/>
                <w:lang w:val="ru-RU"/>
              </w:rPr>
              <w:t>ы</w:t>
            </w:r>
            <w:r w:rsidRPr="00D74BE9">
              <w:rPr>
                <w:rFonts w:ascii="Arial" w:eastAsia="Arial" w:hAnsi="Arial" w:cs="Arial"/>
                <w:lang w:val="ru-RU"/>
              </w:rPr>
              <w:t xml:space="preserve"> профессиональной подготовки сотрудников</w:t>
            </w:r>
            <w:r>
              <w:rPr>
                <w:rFonts w:ascii="Arial" w:eastAsia="Arial" w:hAnsi="Arial" w:cs="Arial"/>
                <w:lang w:val="ru-RU"/>
              </w:rPr>
              <w:t xml:space="preserve"> ОВД, СИН МЮ</w:t>
            </w:r>
            <w:r w:rsidRPr="00D74BE9">
              <w:rPr>
                <w:rFonts w:ascii="Arial" w:eastAsia="Arial" w:hAnsi="Arial" w:cs="Arial"/>
                <w:lang w:val="ru-RU"/>
              </w:rPr>
              <w:t xml:space="preserve"> для проведения обучающих мероприятий</w:t>
            </w:r>
            <w:r>
              <w:rPr>
                <w:rFonts w:ascii="Arial" w:eastAsia="Arial" w:hAnsi="Arial" w:cs="Arial"/>
                <w:lang w:val="ru-RU"/>
              </w:rPr>
              <w:t xml:space="preserve">. Помимо этого, будут проведены обучающие тренинги </w:t>
            </w:r>
            <w:r w:rsidRPr="00D74BE9">
              <w:rPr>
                <w:rFonts w:ascii="Arial" w:eastAsia="Arial" w:hAnsi="Arial" w:cs="Arial"/>
                <w:lang w:val="ru-RU"/>
              </w:rPr>
              <w:t xml:space="preserve">для личного состава ОВД, </w:t>
            </w:r>
            <w:r>
              <w:rPr>
                <w:rFonts w:ascii="Arial" w:eastAsia="Arial" w:hAnsi="Arial" w:cs="Arial"/>
                <w:lang w:val="ru-RU"/>
              </w:rPr>
              <w:t xml:space="preserve">СИН </w:t>
            </w:r>
            <w:r w:rsidRPr="00D74BE9">
              <w:rPr>
                <w:rFonts w:ascii="Arial" w:eastAsia="Arial" w:hAnsi="Arial" w:cs="Arial"/>
                <w:lang w:val="ru-RU"/>
              </w:rPr>
              <w:t>МЮ</w:t>
            </w:r>
            <w:r>
              <w:rPr>
                <w:rFonts w:ascii="Arial" w:eastAsia="Arial" w:hAnsi="Arial" w:cs="Arial"/>
                <w:lang w:val="ru-RU"/>
              </w:rPr>
              <w:t xml:space="preserve">, МЗ (2 тренинга – 50 чел.).  </w:t>
            </w:r>
            <w:r w:rsidRPr="00F65B0D">
              <w:rPr>
                <w:rFonts w:ascii="Arial" w:eastAsia="Arial" w:hAnsi="Arial" w:cs="Arial"/>
                <w:lang w:val="ru-RU"/>
              </w:rPr>
              <w:t xml:space="preserve">Будет разработано руководство и проведено обучение специалистов и психологов органов пробации, задействованных в подготовке пробационных докладов по особым потребностям ключевых групп населения, ЛЖВ и больных ТБ. Будут обучены также сотрудники тюрем, адвокаты и юристы ГГЮП. Всего будет обучено 50 специалистов пробации на двух тренингах.  </w:t>
            </w:r>
          </w:p>
          <w:p w14:paraId="2D78B1CA" w14:textId="77777777" w:rsidR="005A67CC"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sidRPr="009D6B2A">
              <w:rPr>
                <w:rFonts w:ascii="Arial" w:eastAsia="Arial" w:hAnsi="Arial" w:cs="Arial"/>
                <w:lang w:val="ru-RU"/>
              </w:rPr>
              <w:t>На местах будут</w:t>
            </w:r>
            <w:r>
              <w:rPr>
                <w:rFonts w:ascii="Arial" w:eastAsia="Arial" w:hAnsi="Arial" w:cs="Arial"/>
                <w:lang w:val="ru-RU"/>
              </w:rPr>
              <w:t xml:space="preserve"> о</w:t>
            </w:r>
            <w:r w:rsidRPr="00D74BE9">
              <w:rPr>
                <w:rFonts w:ascii="Arial" w:eastAsia="Arial" w:hAnsi="Arial" w:cs="Arial"/>
                <w:lang w:val="ru-RU"/>
              </w:rPr>
              <w:t>бучен</w:t>
            </w:r>
            <w:r>
              <w:rPr>
                <w:rFonts w:ascii="Arial" w:eastAsia="Arial" w:hAnsi="Arial" w:cs="Arial"/>
                <w:lang w:val="ru-RU"/>
              </w:rPr>
              <w:t xml:space="preserve">ы </w:t>
            </w:r>
            <w:r w:rsidRPr="00D74BE9">
              <w:rPr>
                <w:rFonts w:ascii="Arial" w:eastAsia="Arial" w:hAnsi="Arial" w:cs="Arial"/>
                <w:lang w:val="ru-RU"/>
              </w:rPr>
              <w:t>адвокат</w:t>
            </w:r>
            <w:r>
              <w:rPr>
                <w:rFonts w:ascii="Arial" w:eastAsia="Arial" w:hAnsi="Arial" w:cs="Arial"/>
                <w:lang w:val="ru-RU"/>
              </w:rPr>
              <w:t>ы</w:t>
            </w:r>
            <w:r w:rsidRPr="00D74BE9">
              <w:rPr>
                <w:rFonts w:ascii="Arial" w:eastAsia="Arial" w:hAnsi="Arial" w:cs="Arial"/>
                <w:lang w:val="ru-RU"/>
              </w:rPr>
              <w:t>, в том числе вовлеченны</w:t>
            </w:r>
            <w:r>
              <w:rPr>
                <w:rFonts w:ascii="Arial" w:eastAsia="Arial" w:hAnsi="Arial" w:cs="Arial"/>
                <w:lang w:val="ru-RU"/>
              </w:rPr>
              <w:t>е</w:t>
            </w:r>
            <w:r w:rsidRPr="00D74BE9">
              <w:rPr>
                <w:rFonts w:ascii="Arial" w:eastAsia="Arial" w:hAnsi="Arial" w:cs="Arial"/>
                <w:lang w:val="ru-RU"/>
              </w:rPr>
              <w:t xml:space="preserve"> в оказание ГГЮП, по правовым вопросам ВИЧ</w:t>
            </w:r>
            <w:r>
              <w:rPr>
                <w:rFonts w:ascii="Arial" w:eastAsia="Arial" w:hAnsi="Arial" w:cs="Arial"/>
                <w:lang w:val="ru-RU"/>
              </w:rPr>
              <w:t xml:space="preserve"> и ТБ с целью повышения приверженности к профилактическим программам по ВИЧ и ТБ</w:t>
            </w:r>
            <w:r w:rsidRPr="00D74BE9">
              <w:rPr>
                <w:rFonts w:ascii="Arial" w:eastAsia="Arial" w:hAnsi="Arial" w:cs="Arial"/>
                <w:lang w:val="ru-RU"/>
              </w:rPr>
              <w:t>.</w:t>
            </w:r>
            <w:r w:rsidRPr="00480C4E">
              <w:rPr>
                <w:rFonts w:ascii="Arial" w:eastAsia="Arial" w:hAnsi="Arial" w:cs="Arial"/>
                <w:lang w:val="ru-RU"/>
              </w:rPr>
              <w:t xml:space="preserve"> </w:t>
            </w:r>
            <w:r>
              <w:rPr>
                <w:rFonts w:ascii="Arial" w:eastAsia="Arial" w:hAnsi="Arial" w:cs="Arial"/>
                <w:lang w:val="ru-RU"/>
              </w:rPr>
              <w:t xml:space="preserve">Будет проведен анализ </w:t>
            </w:r>
            <w:r w:rsidRPr="00F65B0D">
              <w:rPr>
                <w:rFonts w:ascii="Arial" w:eastAsia="Arial" w:hAnsi="Arial" w:cs="Arial"/>
                <w:lang w:val="ru-RU"/>
              </w:rPr>
              <w:t>и внес</w:t>
            </w:r>
            <w:r>
              <w:rPr>
                <w:rFonts w:ascii="Arial" w:eastAsia="Arial" w:hAnsi="Arial" w:cs="Arial"/>
                <w:lang w:val="ru-RU"/>
              </w:rPr>
              <w:t>ены</w:t>
            </w:r>
            <w:r w:rsidRPr="00F65B0D">
              <w:rPr>
                <w:rFonts w:ascii="Arial" w:eastAsia="Arial" w:hAnsi="Arial" w:cs="Arial"/>
                <w:lang w:val="ru-RU"/>
              </w:rPr>
              <w:t xml:space="preserve"> дополнения в механизмы ГГЮП для их адаптации к особенностям и потребностям КГН для преодоления стигматизации и дискриминации, связанных с ВИЧ и ТБ.</w:t>
            </w:r>
            <w:r w:rsidRPr="00480C4E">
              <w:rPr>
                <w:rFonts w:ascii="Arial" w:eastAsia="Arial" w:hAnsi="Arial" w:cs="Arial"/>
                <w:lang w:val="ru-RU"/>
              </w:rPr>
              <w:t xml:space="preserve"> </w:t>
            </w:r>
            <w:r w:rsidRPr="00F65B0D">
              <w:rPr>
                <w:rFonts w:ascii="Arial" w:eastAsia="Arial" w:hAnsi="Arial" w:cs="Arial"/>
                <w:lang w:val="ru-RU"/>
              </w:rPr>
              <w:t>Не менее 70% адвокатов ГГЮП будут обучены по особым потребностям защиты прав клиентов программ по ВИЧ и ТБ</w:t>
            </w:r>
            <w:r>
              <w:rPr>
                <w:rFonts w:ascii="Arial" w:eastAsia="Arial" w:hAnsi="Arial" w:cs="Arial"/>
                <w:lang w:val="ru-RU"/>
              </w:rPr>
              <w:t xml:space="preserve">. </w:t>
            </w:r>
          </w:p>
          <w:p w14:paraId="3C036CD0" w14:textId="2B6C7A12" w:rsidR="005A67CC"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sidRPr="0023526B">
              <w:rPr>
                <w:rFonts w:ascii="Arial" w:hAnsi="Arial" w:cs="Arial"/>
                <w:lang w:val="ru-RU"/>
              </w:rPr>
              <w:t>На базе утвержденного с</w:t>
            </w:r>
            <w:r w:rsidRPr="0023526B">
              <w:rPr>
                <w:rFonts w:ascii="Arial" w:eastAsia="Arial" w:hAnsi="Arial" w:cs="Arial"/>
                <w:lang w:val="ru-RU"/>
              </w:rPr>
              <w:t>пециального курса, связанного с ВИЧ, ТБ и смежными проблемами на базе Академии МВД будут разработаны краткосрочные курсы обучения для специалистов среднего и</w:t>
            </w:r>
            <w:r w:rsidRPr="00567378">
              <w:rPr>
                <w:rFonts w:ascii="Arial" w:eastAsia="Arial" w:hAnsi="Arial" w:cs="Arial"/>
                <w:lang w:val="ru-RU"/>
              </w:rPr>
              <w:t xml:space="preserve"> младшего состава правоохранительных органов</w:t>
            </w:r>
            <w:r>
              <w:rPr>
                <w:rFonts w:ascii="Arial" w:eastAsia="Arial" w:hAnsi="Arial" w:cs="Arial"/>
                <w:lang w:val="ru-RU"/>
              </w:rPr>
              <w:t>. Они</w:t>
            </w:r>
            <w:r w:rsidRPr="00567378">
              <w:rPr>
                <w:rFonts w:ascii="Arial" w:eastAsia="Arial" w:hAnsi="Arial" w:cs="Arial"/>
                <w:lang w:val="ru-RU"/>
              </w:rPr>
              <w:t xml:space="preserve"> включа</w:t>
            </w:r>
            <w:r>
              <w:rPr>
                <w:rFonts w:ascii="Arial" w:eastAsia="Arial" w:hAnsi="Arial" w:cs="Arial"/>
                <w:lang w:val="ru-RU"/>
              </w:rPr>
              <w:t>т</w:t>
            </w:r>
            <w:r w:rsidRPr="00567378">
              <w:rPr>
                <w:rFonts w:ascii="Arial" w:eastAsia="Arial" w:hAnsi="Arial" w:cs="Arial"/>
                <w:lang w:val="ru-RU"/>
              </w:rPr>
              <w:t xml:space="preserve"> правовые аспекты ВИЧ-инфекции, вопросы преодоления стигматизации и по отношению к ЛЖВ</w:t>
            </w:r>
            <w:r>
              <w:rPr>
                <w:rFonts w:ascii="Arial" w:eastAsia="Arial" w:hAnsi="Arial" w:cs="Arial"/>
                <w:lang w:val="ru-RU"/>
              </w:rPr>
              <w:t xml:space="preserve">, </w:t>
            </w:r>
            <w:r w:rsidRPr="00567378">
              <w:rPr>
                <w:rFonts w:ascii="Arial" w:eastAsia="Arial" w:hAnsi="Arial" w:cs="Arial"/>
                <w:lang w:val="ru-RU"/>
              </w:rPr>
              <w:t>КГН</w:t>
            </w:r>
            <w:r>
              <w:rPr>
                <w:rFonts w:ascii="Arial" w:eastAsia="Arial" w:hAnsi="Arial" w:cs="Arial"/>
                <w:lang w:val="ru-RU"/>
              </w:rPr>
              <w:t xml:space="preserve"> и людей, живущих с ТБ. Не менее 200 курсантов Академии МВД будут проходить обучение ежегодно с вовлечением представителей </w:t>
            </w:r>
            <w:r>
              <w:rPr>
                <w:rFonts w:ascii="Arial" w:eastAsia="Arial" w:hAnsi="Arial" w:cs="Arial"/>
                <w:lang w:val="ru-RU"/>
              </w:rPr>
              <w:lastRenderedPageBreak/>
              <w:t xml:space="preserve">сообщества для проведения мониторинга и мониторинга его проведения. Поддержка данных курсов будет </w:t>
            </w:r>
            <w:r w:rsidR="00480C4E">
              <w:rPr>
                <w:rFonts w:ascii="Arial" w:eastAsia="Arial" w:hAnsi="Arial" w:cs="Arial"/>
                <w:lang w:val="ru-RU"/>
              </w:rPr>
              <w:t>способствовать эффективности</w:t>
            </w:r>
            <w:r>
              <w:rPr>
                <w:rFonts w:ascii="Arial" w:eastAsia="Arial" w:hAnsi="Arial" w:cs="Arial"/>
                <w:lang w:val="ru-RU"/>
              </w:rPr>
              <w:t xml:space="preserve"> проводимых программ.</w:t>
            </w:r>
          </w:p>
          <w:p w14:paraId="6A723FE7" w14:textId="7E418FE2" w:rsidR="005A67CC"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Pr>
                <w:rFonts w:ascii="Arial" w:eastAsia="Arial" w:hAnsi="Arial" w:cs="Arial"/>
                <w:lang w:val="ru-RU"/>
              </w:rPr>
              <w:t xml:space="preserve">Будет налажено регулярное взаимодействие с органами внутренних дел. Оно будет включать ежегодные рабочие встречи в трех регионах страны; ежегодные обучающие семинары для специалистов наркоконтроля, а также семинары и круглые столы, </w:t>
            </w:r>
            <w:r w:rsidR="00480C4E">
              <w:rPr>
                <w:rFonts w:ascii="Arial" w:eastAsia="Arial" w:hAnsi="Arial" w:cs="Arial"/>
                <w:lang w:val="ru-RU"/>
              </w:rPr>
              <w:t>организованные</w:t>
            </w:r>
            <w:r>
              <w:rPr>
                <w:rFonts w:ascii="Arial" w:eastAsia="Arial" w:hAnsi="Arial" w:cs="Arial"/>
                <w:lang w:val="ru-RU"/>
              </w:rPr>
              <w:t xml:space="preserve"> сообществом во всех 8 регионах страны. </w:t>
            </w:r>
          </w:p>
          <w:p w14:paraId="3C0A60AD" w14:textId="77777777" w:rsidR="005A67CC" w:rsidRPr="00567378"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lang w:val="ru-RU"/>
              </w:rPr>
            </w:pPr>
          </w:p>
          <w:p w14:paraId="752BABEE" w14:textId="77777777" w:rsidR="005A67CC" w:rsidRPr="00D74BE9"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lang w:val="ru-RU"/>
              </w:rPr>
            </w:pPr>
            <w:r w:rsidRPr="00E03188">
              <w:rPr>
                <w:rFonts w:ascii="Arial" w:eastAsia="Arial" w:hAnsi="Arial" w:cs="Arial"/>
                <w:b/>
                <w:lang w:val="ru-RU"/>
              </w:rPr>
              <w:t>Снижение связанной с ВИЧ гендерной дискриминации, вредных гендерных норм и насилия в отношении женщин и девочек во всем их многообразии</w:t>
            </w:r>
          </w:p>
          <w:p w14:paraId="276FB68F" w14:textId="77777777" w:rsidR="005A67CC"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sidRPr="00577E58">
              <w:rPr>
                <w:rFonts w:ascii="Arial" w:eastAsia="Arial" w:hAnsi="Arial" w:cs="Arial"/>
                <w:lang w:val="ru-RU"/>
              </w:rPr>
              <w:t>Имеющиеся факты стигматизации и дискриминации лиц, живущих с ВИЧ ТБ, ключевых групп населения</w:t>
            </w:r>
            <w:r>
              <w:rPr>
                <w:rFonts w:ascii="Arial" w:eastAsia="Arial" w:hAnsi="Arial" w:cs="Arial"/>
                <w:lang w:val="ru-RU"/>
              </w:rPr>
              <w:t xml:space="preserve">, гендерной дискриминации и насилия </w:t>
            </w:r>
            <w:r w:rsidRPr="00577E58">
              <w:rPr>
                <w:rFonts w:ascii="Arial" w:eastAsia="Arial" w:hAnsi="Arial" w:cs="Arial"/>
                <w:lang w:val="ru-RU"/>
              </w:rPr>
              <w:t>будут включены в альтернативные отчеты по реализации обязательств страны по прав</w:t>
            </w:r>
            <w:r>
              <w:rPr>
                <w:rFonts w:ascii="Arial" w:eastAsia="Arial" w:hAnsi="Arial" w:cs="Arial"/>
                <w:lang w:val="ru-RU"/>
              </w:rPr>
              <w:t>ам</w:t>
            </w:r>
            <w:r w:rsidRPr="00577E58">
              <w:rPr>
                <w:rFonts w:ascii="Arial" w:eastAsia="Arial" w:hAnsi="Arial" w:cs="Arial"/>
                <w:lang w:val="ru-RU"/>
              </w:rPr>
              <w:t xml:space="preserve"> человека в рамках договорных органов (CEDAW). Рекомендации международных комитетов будут включены в государственные планы и стратегии, а также обеспечен мониторинг их исполнения. </w:t>
            </w:r>
          </w:p>
          <w:p w14:paraId="03BB5169" w14:textId="77777777" w:rsidR="005A67CC"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Pr>
                <w:rFonts w:ascii="Arial" w:eastAsia="Arial" w:hAnsi="Arial" w:cs="Arial"/>
                <w:lang w:val="ru-RU"/>
              </w:rPr>
              <w:t xml:space="preserve">В 2025 год будет проведена оценка </w:t>
            </w:r>
            <w:r w:rsidRPr="00D74BE9">
              <w:rPr>
                <w:rFonts w:ascii="Arial" w:eastAsia="Arial" w:hAnsi="Arial" w:cs="Arial"/>
                <w:lang w:val="ru-RU"/>
              </w:rPr>
              <w:t>уровн</w:t>
            </w:r>
            <w:r>
              <w:rPr>
                <w:rFonts w:ascii="Arial" w:eastAsia="Arial" w:hAnsi="Arial" w:cs="Arial"/>
                <w:lang w:val="ru-RU"/>
              </w:rPr>
              <w:t>я</w:t>
            </w:r>
            <w:r w:rsidRPr="00D74BE9">
              <w:rPr>
                <w:rFonts w:ascii="Arial" w:eastAsia="Arial" w:hAnsi="Arial" w:cs="Arial"/>
                <w:lang w:val="ru-RU"/>
              </w:rPr>
              <w:t xml:space="preserve"> гендерного насилия и гендерного неравенства по отношению к </w:t>
            </w:r>
            <w:r>
              <w:rPr>
                <w:rFonts w:ascii="Arial" w:eastAsia="Arial" w:hAnsi="Arial" w:cs="Arial"/>
                <w:lang w:val="ru-RU"/>
              </w:rPr>
              <w:t>представителям людей живущих с ВИЧ и с ТБ, а также КГН, а также влияния гендерного неравенства</w:t>
            </w:r>
            <w:r w:rsidRPr="00D74BE9">
              <w:rPr>
                <w:rFonts w:ascii="Arial" w:eastAsia="Arial" w:hAnsi="Arial" w:cs="Arial"/>
                <w:lang w:val="ru-RU"/>
              </w:rPr>
              <w:t xml:space="preserve"> на доступ к программам профилактики и лечения ВИЧ</w:t>
            </w:r>
            <w:r>
              <w:rPr>
                <w:rFonts w:ascii="Arial" w:eastAsia="Arial" w:hAnsi="Arial" w:cs="Arial"/>
                <w:lang w:val="ru-RU"/>
              </w:rPr>
              <w:t xml:space="preserve"> и ТБ.</w:t>
            </w:r>
          </w:p>
          <w:p w14:paraId="442EEB3B" w14:textId="21F3156C" w:rsidR="005A67CC" w:rsidRPr="00D74BE9"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Pr>
                <w:rFonts w:ascii="Arial" w:eastAsia="Arial" w:hAnsi="Arial" w:cs="Arial"/>
                <w:lang w:val="ru-RU"/>
              </w:rPr>
              <w:t xml:space="preserve">Будет обеспечена гендерная экспертиза разрабатываемых в стране нормативных правовых актов, связанных с ВИЧ и ТБ, а также гендерная экспертиза программ для ЛУН. </w:t>
            </w:r>
            <w:r>
              <w:rPr>
                <w:lang w:val="ru-RU"/>
              </w:rPr>
              <w:t>Будет р</w:t>
            </w:r>
            <w:r w:rsidRPr="00612308">
              <w:rPr>
                <w:rFonts w:ascii="Arial" w:eastAsia="Arial" w:hAnsi="Arial" w:cs="Arial"/>
                <w:lang w:val="ru-RU"/>
              </w:rPr>
              <w:t>азработа</w:t>
            </w:r>
            <w:r>
              <w:rPr>
                <w:rFonts w:ascii="Arial" w:eastAsia="Arial" w:hAnsi="Arial" w:cs="Arial"/>
                <w:lang w:val="ru-RU"/>
              </w:rPr>
              <w:t>но</w:t>
            </w:r>
            <w:r w:rsidRPr="00612308">
              <w:rPr>
                <w:rFonts w:ascii="Arial" w:eastAsia="Arial" w:hAnsi="Arial" w:cs="Arial"/>
                <w:lang w:val="ru-RU"/>
              </w:rPr>
              <w:t xml:space="preserve"> руководство по проведению гендерного планирования/мониторинга и оценки гендерной чувствительности программ по ВИЧ и ТБ</w:t>
            </w:r>
            <w:r>
              <w:rPr>
                <w:rFonts w:ascii="Arial" w:eastAsia="Arial" w:hAnsi="Arial" w:cs="Arial"/>
                <w:lang w:val="ru-RU"/>
              </w:rPr>
              <w:t xml:space="preserve"> и проведено обучение представителей сообществ по его использованию.</w:t>
            </w:r>
          </w:p>
          <w:p w14:paraId="57031837" w14:textId="77777777" w:rsidR="005A67CC" w:rsidRPr="00D74BE9"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Pr>
                <w:rFonts w:ascii="Arial" w:eastAsia="Arial" w:hAnsi="Arial" w:cs="Arial"/>
                <w:lang w:val="ru-RU"/>
              </w:rPr>
              <w:t>В</w:t>
            </w:r>
            <w:r w:rsidRPr="00D74BE9">
              <w:rPr>
                <w:rFonts w:ascii="Arial" w:eastAsia="Arial" w:hAnsi="Arial" w:cs="Arial"/>
                <w:lang w:val="ru-RU"/>
              </w:rPr>
              <w:t xml:space="preserve"> структуре </w:t>
            </w:r>
            <w:r>
              <w:rPr>
                <w:rFonts w:ascii="Arial" w:eastAsia="Arial" w:hAnsi="Arial" w:cs="Arial"/>
                <w:lang w:val="ru-RU"/>
              </w:rPr>
              <w:t>Комитета КСОЗ по ВИЧ и ТБ будет включена</w:t>
            </w:r>
            <w:r w:rsidRPr="00D74BE9">
              <w:rPr>
                <w:rFonts w:ascii="Arial" w:eastAsia="Arial" w:hAnsi="Arial" w:cs="Arial"/>
                <w:lang w:val="ru-RU"/>
              </w:rPr>
              <w:t xml:space="preserve"> </w:t>
            </w:r>
            <w:r>
              <w:rPr>
                <w:rFonts w:ascii="Arial" w:eastAsia="Arial" w:hAnsi="Arial" w:cs="Arial"/>
                <w:lang w:val="ru-RU"/>
              </w:rPr>
              <w:t>тематическая группа</w:t>
            </w:r>
            <w:r w:rsidRPr="00D74BE9">
              <w:rPr>
                <w:rFonts w:ascii="Arial" w:eastAsia="Arial" w:hAnsi="Arial" w:cs="Arial"/>
                <w:lang w:val="ru-RU"/>
              </w:rPr>
              <w:t xml:space="preserve"> по правам </w:t>
            </w:r>
            <w:r>
              <w:rPr>
                <w:rFonts w:ascii="Arial" w:eastAsia="Arial" w:hAnsi="Arial" w:cs="Arial"/>
                <w:lang w:val="ru-RU"/>
              </w:rPr>
              <w:t xml:space="preserve">человеку </w:t>
            </w:r>
            <w:r w:rsidRPr="00D74BE9">
              <w:rPr>
                <w:rFonts w:ascii="Arial" w:eastAsia="Arial" w:hAnsi="Arial" w:cs="Arial"/>
                <w:lang w:val="ru-RU"/>
              </w:rPr>
              <w:t>и гендеру с привлечением эксперта в данной области</w:t>
            </w:r>
            <w:r>
              <w:rPr>
                <w:rFonts w:ascii="Arial" w:eastAsia="Arial" w:hAnsi="Arial" w:cs="Arial"/>
                <w:lang w:val="ru-RU"/>
              </w:rPr>
              <w:t xml:space="preserve"> для проведения гендерной экспертизы разрабатываемых нормативных правовых актов; </w:t>
            </w:r>
            <w:r w:rsidRPr="009D6B2A">
              <w:rPr>
                <w:rFonts w:ascii="Arial" w:eastAsia="Arial" w:hAnsi="Arial" w:cs="Arial"/>
                <w:lang w:val="ru-RU"/>
              </w:rPr>
              <w:t>стратегий,</w:t>
            </w:r>
            <w:r>
              <w:rPr>
                <w:rFonts w:ascii="Arial" w:eastAsia="Arial" w:hAnsi="Arial" w:cs="Arial"/>
                <w:lang w:val="ru-RU"/>
              </w:rPr>
              <w:t xml:space="preserve"> заявок на финансирование для ГФ и других международных институтов. </w:t>
            </w:r>
          </w:p>
          <w:p w14:paraId="38DC8B41" w14:textId="77777777" w:rsidR="000F0EBB"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Pr>
                <w:rFonts w:ascii="Arial" w:eastAsia="Arial" w:hAnsi="Arial" w:cs="Arial"/>
                <w:lang w:val="ru-RU"/>
              </w:rPr>
              <w:t>Будет п</w:t>
            </w:r>
            <w:r w:rsidRPr="00D74BE9">
              <w:rPr>
                <w:rFonts w:ascii="Arial" w:eastAsia="Arial" w:hAnsi="Arial" w:cs="Arial"/>
                <w:lang w:val="ru-RU"/>
              </w:rPr>
              <w:t>оддерж</w:t>
            </w:r>
            <w:r>
              <w:rPr>
                <w:rFonts w:ascii="Arial" w:eastAsia="Arial" w:hAnsi="Arial" w:cs="Arial"/>
                <w:lang w:val="ru-RU"/>
              </w:rPr>
              <w:t>ана</w:t>
            </w:r>
            <w:r w:rsidRPr="00D74BE9">
              <w:rPr>
                <w:rFonts w:ascii="Arial" w:eastAsia="Arial" w:hAnsi="Arial" w:cs="Arial"/>
                <w:lang w:val="ru-RU"/>
              </w:rPr>
              <w:t xml:space="preserve"> работ</w:t>
            </w:r>
            <w:r>
              <w:rPr>
                <w:rFonts w:ascii="Arial" w:eastAsia="Arial" w:hAnsi="Arial" w:cs="Arial"/>
                <w:lang w:val="ru-RU"/>
              </w:rPr>
              <w:t>а</w:t>
            </w:r>
            <w:r w:rsidRPr="00D74BE9">
              <w:rPr>
                <w:rFonts w:ascii="Arial" w:eastAsia="Arial" w:hAnsi="Arial" w:cs="Arial"/>
                <w:lang w:val="ru-RU"/>
              </w:rPr>
              <w:t xml:space="preserve"> </w:t>
            </w:r>
            <w:r>
              <w:rPr>
                <w:rFonts w:ascii="Arial" w:eastAsia="Arial" w:hAnsi="Arial" w:cs="Arial"/>
                <w:lang w:val="ru-RU"/>
              </w:rPr>
              <w:t>одного</w:t>
            </w:r>
            <w:r w:rsidRPr="00D74BE9">
              <w:rPr>
                <w:rFonts w:ascii="Arial" w:eastAsia="Arial" w:hAnsi="Arial" w:cs="Arial"/>
                <w:lang w:val="ru-RU"/>
              </w:rPr>
              <w:t xml:space="preserve"> </w:t>
            </w:r>
            <w:r w:rsidRPr="006D397D">
              <w:rPr>
                <w:rFonts w:ascii="Arial" w:eastAsia="Arial" w:hAnsi="Arial" w:cs="Arial"/>
                <w:lang w:val="ru-RU"/>
              </w:rPr>
              <w:t>кризисного центра для женщин из числа ЛЖВ и КГН</w:t>
            </w:r>
            <w:r w:rsidRPr="00D74BE9">
              <w:rPr>
                <w:rFonts w:ascii="Arial" w:eastAsia="Arial" w:hAnsi="Arial" w:cs="Arial"/>
                <w:lang w:val="ru-RU"/>
              </w:rPr>
              <w:t>, которые находятся в трудной жизненной ситуации либо являются жертвами насилия.</w:t>
            </w:r>
            <w:r>
              <w:rPr>
                <w:rFonts w:ascii="Arial" w:eastAsia="Arial" w:hAnsi="Arial" w:cs="Arial"/>
                <w:lang w:val="ru-RU"/>
              </w:rPr>
              <w:t xml:space="preserve"> </w:t>
            </w:r>
            <w:r w:rsidRPr="00C71EEE">
              <w:rPr>
                <w:rFonts w:ascii="Arial" w:eastAsia="Arial" w:hAnsi="Arial" w:cs="Arial"/>
                <w:lang w:val="ru-RU"/>
              </w:rPr>
              <w:t xml:space="preserve">Он рассчитан на пребывание 10 человек </w:t>
            </w:r>
            <w:r w:rsidR="000F0EBB">
              <w:rPr>
                <w:rFonts w:ascii="Arial" w:eastAsia="Arial" w:hAnsi="Arial" w:cs="Arial"/>
                <w:lang w:val="ru-RU"/>
              </w:rPr>
              <w:t>ежемесячно</w:t>
            </w:r>
            <w:r w:rsidRPr="00C71EEE">
              <w:rPr>
                <w:rFonts w:ascii="Arial" w:eastAsia="Arial" w:hAnsi="Arial" w:cs="Arial"/>
                <w:lang w:val="ru-RU"/>
              </w:rPr>
              <w:t>. Центр предоставляют услуги временного проживания, бытовые услуги, тестирование на ВИЧ, обучение, социальное сопровождение, психологическую поддержку.</w:t>
            </w:r>
          </w:p>
          <w:p w14:paraId="3B2ECEE5" w14:textId="04373D06" w:rsidR="001C2192" w:rsidRPr="00E03188" w:rsidRDefault="007B62A2"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Pr>
                <w:rFonts w:ascii="Arial" w:eastAsia="Arial" w:hAnsi="Arial" w:cs="Arial"/>
                <w:lang w:val="ru-RU"/>
              </w:rPr>
              <w:t>Будет поддержана работа двух сетей неправительственных организаций для проведения адвокационных мероприятий, разработки унифицированных подходов для НПО, координации общих для НПО мероприятий.</w:t>
            </w:r>
          </w:p>
        </w:tc>
      </w:tr>
      <w:tr w:rsidR="007C0483" w:rsidRPr="00A26916" w14:paraId="2725A073" w14:textId="77777777" w:rsidTr="007F4EBC">
        <w:tc>
          <w:tcPr>
            <w:cnfStyle w:val="001000000000" w:firstRow="0" w:lastRow="0" w:firstColumn="1" w:lastColumn="0" w:oddVBand="0" w:evenVBand="0" w:oddHBand="0" w:evenHBand="0" w:firstRowFirstColumn="0" w:firstRowLastColumn="0" w:lastRowFirstColumn="0" w:lastRowLastColumn="0"/>
            <w:tcW w:w="2138" w:type="dxa"/>
          </w:tcPr>
          <w:p w14:paraId="34BB9252" w14:textId="77777777" w:rsidR="007C0483" w:rsidRPr="008B08A2" w:rsidRDefault="007C0483" w:rsidP="007F4EBC">
            <w:pPr>
              <w:pStyle w:val="a1"/>
              <w:rPr>
                <w:lang w:val="ru-RU"/>
              </w:rPr>
            </w:pPr>
            <w:r>
              <w:rPr>
                <w:lang w:val="ru-RU"/>
              </w:rPr>
              <w:lastRenderedPageBreak/>
              <w:t>Население</w:t>
            </w:r>
            <w:r w:rsidRPr="008B08A2">
              <w:rPr>
                <w:lang w:val="ru-RU"/>
              </w:rPr>
              <w:t xml:space="preserve">, </w:t>
            </w:r>
            <w:r>
              <w:rPr>
                <w:lang w:val="ru-RU"/>
              </w:rPr>
              <w:t>территории</w:t>
            </w:r>
            <w:r w:rsidRPr="008B08A2">
              <w:rPr>
                <w:lang w:val="ru-RU"/>
              </w:rPr>
              <w:t xml:space="preserve"> </w:t>
            </w:r>
            <w:r>
              <w:rPr>
                <w:lang w:val="ru-RU"/>
              </w:rPr>
              <w:lastRenderedPageBreak/>
              <w:t>и</w:t>
            </w:r>
            <w:r w:rsidRPr="008B08A2">
              <w:rPr>
                <w:lang w:val="ru-RU"/>
              </w:rPr>
              <w:t>/</w:t>
            </w:r>
            <w:r>
              <w:rPr>
                <w:lang w:val="ru-RU"/>
              </w:rPr>
              <w:t>или</w:t>
            </w:r>
            <w:r w:rsidRPr="008B08A2">
              <w:rPr>
                <w:lang w:val="ru-RU"/>
              </w:rPr>
              <w:t xml:space="preserve"> </w:t>
            </w:r>
            <w:r>
              <w:rPr>
                <w:lang w:val="ru-RU"/>
              </w:rPr>
              <w:t>барьеры</w:t>
            </w:r>
            <w:r w:rsidRPr="008B08A2">
              <w:rPr>
                <w:lang w:val="ru-RU"/>
              </w:rPr>
              <w:t xml:space="preserve">, </w:t>
            </w:r>
            <w:r>
              <w:rPr>
                <w:lang w:val="ru-RU"/>
              </w:rPr>
              <w:t>на</w:t>
            </w:r>
            <w:r w:rsidRPr="008B08A2">
              <w:rPr>
                <w:lang w:val="ru-RU"/>
              </w:rPr>
              <w:t xml:space="preserve"> </w:t>
            </w:r>
            <w:r>
              <w:rPr>
                <w:lang w:val="ru-RU"/>
              </w:rPr>
              <w:t>которые направлена деятельность</w:t>
            </w:r>
          </w:p>
        </w:tc>
        <w:tc>
          <w:tcPr>
            <w:tcW w:w="13025" w:type="dxa"/>
          </w:tcPr>
          <w:p w14:paraId="62E9E56B" w14:textId="77777777" w:rsidR="004C21A1" w:rsidRPr="0082716A" w:rsidRDefault="004C21A1" w:rsidP="004C21A1">
            <w:pPr>
              <w:spacing w:line="264"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ru-RU"/>
              </w:rPr>
            </w:pPr>
            <w:r>
              <w:rPr>
                <w:rFonts w:ascii="Arial" w:eastAsia="Arial" w:hAnsi="Arial" w:cs="Arial"/>
                <w:szCs w:val="20"/>
                <w:lang w:val="ru-RU"/>
              </w:rPr>
              <w:lastRenderedPageBreak/>
              <w:t>Население</w:t>
            </w:r>
            <w:r w:rsidRPr="0082716A">
              <w:rPr>
                <w:rFonts w:ascii="Arial" w:eastAsia="Arial" w:hAnsi="Arial" w:cs="Arial"/>
                <w:szCs w:val="20"/>
                <w:lang w:val="ru-RU"/>
              </w:rPr>
              <w:t xml:space="preserve">: люди, живущие с ВИЧ и туберкулезом; ключевые группы населения, их близкое окружение, включая женщин, представителей ключевых групп, сотрудники государственных органов,  </w:t>
            </w:r>
          </w:p>
          <w:p w14:paraId="421317FB" w14:textId="77777777" w:rsidR="004C21A1" w:rsidRPr="0082716A" w:rsidRDefault="004C21A1" w:rsidP="004C21A1">
            <w:pPr>
              <w:spacing w:line="264"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ru-RU"/>
              </w:rPr>
            </w:pPr>
            <w:r w:rsidRPr="0082716A">
              <w:rPr>
                <w:rFonts w:ascii="Arial" w:eastAsia="Arial" w:hAnsi="Arial" w:cs="Arial"/>
                <w:szCs w:val="20"/>
                <w:lang w:val="ru-RU"/>
              </w:rPr>
              <w:lastRenderedPageBreak/>
              <w:t>Территория: Кыргызская Республика.</w:t>
            </w:r>
          </w:p>
          <w:p w14:paraId="718BD76A" w14:textId="77777777" w:rsidR="004C21A1" w:rsidRPr="003775D1" w:rsidRDefault="004C21A1" w:rsidP="004C21A1">
            <w:pPr>
              <w:spacing w:line="264"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ru-RU"/>
              </w:rPr>
            </w:pPr>
            <w:r w:rsidRPr="00D74BE9">
              <w:rPr>
                <w:rFonts w:ascii="Arial" w:eastAsia="Arial" w:hAnsi="Arial" w:cs="Arial"/>
                <w:szCs w:val="20"/>
                <w:lang w:val="ru-RU"/>
              </w:rPr>
              <w:t xml:space="preserve">Сохраняющаяся экономическая </w:t>
            </w:r>
            <w:r w:rsidRPr="0082716A">
              <w:rPr>
                <w:rFonts w:ascii="Arial" w:eastAsia="Arial" w:hAnsi="Arial" w:cs="Arial"/>
                <w:szCs w:val="20"/>
                <w:lang w:val="ru-RU"/>
              </w:rPr>
              <w:t xml:space="preserve">нестабильность, продолжающееся развитие государственного устройства, сопровождающееся политическими разногласиями, приводит к политической турбулентности, </w:t>
            </w:r>
            <w:r>
              <w:rPr>
                <w:rFonts w:ascii="Arial" w:eastAsia="Arial" w:hAnsi="Arial" w:cs="Arial"/>
                <w:szCs w:val="20"/>
                <w:lang w:val="ru-RU"/>
              </w:rPr>
              <w:t xml:space="preserve">к </w:t>
            </w:r>
            <w:r w:rsidRPr="0082716A">
              <w:rPr>
                <w:rFonts w:ascii="Arial" w:eastAsia="Arial" w:hAnsi="Arial" w:cs="Arial"/>
                <w:szCs w:val="20"/>
                <w:lang w:val="ru-RU"/>
              </w:rPr>
              <w:t>давлени</w:t>
            </w:r>
            <w:r>
              <w:rPr>
                <w:rFonts w:ascii="Arial" w:eastAsia="Arial" w:hAnsi="Arial" w:cs="Arial"/>
                <w:szCs w:val="20"/>
                <w:lang w:val="ru-RU"/>
              </w:rPr>
              <w:t>ю</w:t>
            </w:r>
            <w:r w:rsidRPr="0082716A">
              <w:rPr>
                <w:rFonts w:ascii="Arial" w:eastAsia="Arial" w:hAnsi="Arial" w:cs="Arial"/>
                <w:szCs w:val="20"/>
                <w:lang w:val="ru-RU"/>
              </w:rPr>
              <w:t xml:space="preserve"> на организации гражданского сектора и независимые СМИ</w:t>
            </w:r>
            <w:r>
              <w:rPr>
                <w:rFonts w:ascii="Arial" w:eastAsia="Arial" w:hAnsi="Arial" w:cs="Arial"/>
                <w:szCs w:val="20"/>
                <w:lang w:val="ru-RU"/>
              </w:rPr>
              <w:t>;</w:t>
            </w:r>
            <w:r w:rsidRPr="0082716A">
              <w:rPr>
                <w:lang w:val="ru-RU"/>
              </w:rPr>
              <w:t xml:space="preserve"> </w:t>
            </w:r>
            <w:r w:rsidRPr="0082716A">
              <w:rPr>
                <w:rFonts w:ascii="Arial" w:eastAsia="Arial" w:hAnsi="Arial" w:cs="Arial"/>
                <w:szCs w:val="20"/>
                <w:lang w:val="ru-RU"/>
              </w:rPr>
              <w:t>политическ</w:t>
            </w:r>
            <w:r>
              <w:rPr>
                <w:rFonts w:ascii="Arial" w:eastAsia="Arial" w:hAnsi="Arial" w:cs="Arial"/>
                <w:szCs w:val="20"/>
                <w:lang w:val="ru-RU"/>
              </w:rPr>
              <w:t>ой</w:t>
            </w:r>
            <w:r w:rsidRPr="0082716A">
              <w:rPr>
                <w:rFonts w:ascii="Arial" w:eastAsia="Arial" w:hAnsi="Arial" w:cs="Arial"/>
                <w:szCs w:val="20"/>
                <w:lang w:val="ru-RU"/>
              </w:rPr>
              <w:t xml:space="preserve"> нестабильност</w:t>
            </w:r>
            <w:r>
              <w:rPr>
                <w:rFonts w:ascii="Arial" w:eastAsia="Arial" w:hAnsi="Arial" w:cs="Arial"/>
                <w:szCs w:val="20"/>
                <w:lang w:val="ru-RU"/>
              </w:rPr>
              <w:t>и</w:t>
            </w:r>
            <w:r w:rsidRPr="0082716A">
              <w:rPr>
                <w:rFonts w:ascii="Arial" w:eastAsia="Arial" w:hAnsi="Arial" w:cs="Arial"/>
                <w:szCs w:val="20"/>
                <w:lang w:val="ru-RU"/>
              </w:rPr>
              <w:t xml:space="preserve"> в стране (смена власти, структурные преобразования в Правительстве, широкомасштабные протесты, массовые задержания гражданских активистов и т. д.). Новый состав парламента включает людей, ранее не вовлеченных в политическую деятельность, которые инициируют законопроекты, которые являются дискриминационными по отношению к ключевым группам и гражданскому обществу в целом</w:t>
            </w:r>
            <w:r>
              <w:rPr>
                <w:rFonts w:ascii="Arial" w:eastAsia="Arial" w:hAnsi="Arial" w:cs="Arial"/>
                <w:szCs w:val="20"/>
                <w:lang w:val="ru-RU"/>
              </w:rPr>
              <w:t xml:space="preserve">. Так, в настоящее время проводится </w:t>
            </w:r>
            <w:r w:rsidRPr="0082716A">
              <w:rPr>
                <w:rFonts w:ascii="Arial" w:eastAsia="Arial" w:hAnsi="Arial" w:cs="Arial"/>
                <w:szCs w:val="20"/>
                <w:lang w:val="ru-RU"/>
              </w:rPr>
              <w:t>продвижение приняти</w:t>
            </w:r>
            <w:r>
              <w:rPr>
                <w:rFonts w:ascii="Arial" w:eastAsia="Arial" w:hAnsi="Arial" w:cs="Arial"/>
                <w:szCs w:val="20"/>
                <w:lang w:val="ru-RU"/>
              </w:rPr>
              <w:t>я</w:t>
            </w:r>
            <w:r w:rsidRPr="0082716A">
              <w:rPr>
                <w:rFonts w:ascii="Arial" w:eastAsia="Arial" w:hAnsi="Arial" w:cs="Arial"/>
                <w:szCs w:val="20"/>
                <w:lang w:val="ru-RU"/>
              </w:rPr>
              <w:t xml:space="preserve"> дискриминационных законов по отношению НПО (Закон об иностранных агентах, требование о перерегистрации, дополнительная отчетность НПО и т.д.).</w:t>
            </w:r>
            <w:r w:rsidRPr="00D74BE9">
              <w:rPr>
                <w:rFonts w:ascii="Arial" w:eastAsia="Arial" w:hAnsi="Arial" w:cs="Arial"/>
                <w:szCs w:val="20"/>
                <w:lang w:val="ru-RU"/>
              </w:rPr>
              <w:t xml:space="preserve">  Это </w:t>
            </w:r>
            <w:r>
              <w:rPr>
                <w:rFonts w:ascii="Arial" w:eastAsia="Arial" w:hAnsi="Arial" w:cs="Arial"/>
                <w:szCs w:val="20"/>
                <w:lang w:val="ru-RU"/>
              </w:rPr>
              <w:t xml:space="preserve">приводит к утрате ранее достигнутых успехов по обеспечению прав ключевого населения (например, отмена коррекции биологического пола); </w:t>
            </w:r>
            <w:r w:rsidRPr="00D74BE9">
              <w:rPr>
                <w:rFonts w:ascii="Arial" w:eastAsia="Arial" w:hAnsi="Arial" w:cs="Arial"/>
                <w:szCs w:val="20"/>
                <w:lang w:val="ru-RU"/>
              </w:rPr>
              <w:t>требует организации работы по информированию лиц, принимающих решения</w:t>
            </w:r>
            <w:r>
              <w:rPr>
                <w:rFonts w:ascii="Arial" w:eastAsia="Arial" w:hAnsi="Arial" w:cs="Arial"/>
                <w:szCs w:val="20"/>
                <w:lang w:val="ru-RU"/>
              </w:rPr>
              <w:t>;</w:t>
            </w:r>
            <w:r w:rsidRPr="00D74BE9">
              <w:rPr>
                <w:rFonts w:ascii="Arial" w:eastAsia="Arial" w:hAnsi="Arial" w:cs="Arial"/>
                <w:szCs w:val="20"/>
                <w:lang w:val="ru-RU"/>
              </w:rPr>
              <w:t xml:space="preserve"> включение </w:t>
            </w:r>
            <w:r w:rsidRPr="003775D1">
              <w:rPr>
                <w:rFonts w:ascii="Arial" w:eastAsia="Arial" w:hAnsi="Arial" w:cs="Arial"/>
                <w:szCs w:val="20"/>
                <w:lang w:val="ru-RU"/>
              </w:rPr>
              <w:t xml:space="preserve">института омбудсмена в обеспечении прав ключевых лиц на доступ к программам профилактики и лечения. </w:t>
            </w:r>
          </w:p>
          <w:p w14:paraId="1CD3F88B" w14:textId="77777777" w:rsidR="004C21A1" w:rsidRDefault="004C21A1" w:rsidP="004C21A1">
            <w:pPr>
              <w:spacing w:line="264"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ru-RU"/>
              </w:rPr>
            </w:pPr>
            <w:r>
              <w:rPr>
                <w:rFonts w:ascii="Arial" w:eastAsia="Arial" w:hAnsi="Arial" w:cs="Arial"/>
                <w:szCs w:val="20"/>
                <w:lang w:val="ru-RU"/>
              </w:rPr>
              <w:t>Происходит ухудшение взаимодействия</w:t>
            </w:r>
            <w:r w:rsidRPr="003775D1">
              <w:rPr>
                <w:rFonts w:ascii="Arial" w:eastAsia="Arial" w:hAnsi="Arial" w:cs="Arial"/>
                <w:szCs w:val="20"/>
                <w:lang w:val="ru-RU"/>
              </w:rPr>
              <w:t xml:space="preserve"> правоохранительных органов с НПО, использование политики </w:t>
            </w:r>
            <w:r>
              <w:rPr>
                <w:rFonts w:ascii="Arial" w:eastAsia="Arial" w:hAnsi="Arial" w:cs="Arial"/>
                <w:szCs w:val="20"/>
                <w:lang w:val="ru-RU"/>
              </w:rPr>
              <w:t xml:space="preserve">их </w:t>
            </w:r>
            <w:r w:rsidRPr="003775D1">
              <w:rPr>
                <w:rFonts w:ascii="Arial" w:eastAsia="Arial" w:hAnsi="Arial" w:cs="Arial"/>
                <w:szCs w:val="20"/>
                <w:lang w:val="ru-RU"/>
              </w:rPr>
              <w:t>«закрытости»</w:t>
            </w:r>
            <w:r>
              <w:rPr>
                <w:rFonts w:ascii="Arial" w:eastAsia="Arial" w:hAnsi="Arial" w:cs="Arial"/>
                <w:szCs w:val="20"/>
                <w:lang w:val="ru-RU"/>
              </w:rPr>
              <w:t>. Так, п</w:t>
            </w:r>
            <w:r w:rsidRPr="003775D1">
              <w:rPr>
                <w:rFonts w:ascii="Arial" w:eastAsia="Arial" w:hAnsi="Arial" w:cs="Arial"/>
                <w:szCs w:val="20"/>
                <w:lang w:val="ru-RU"/>
              </w:rPr>
              <w:t>родолжающееся давление на ключевые группы населения со стороны правоохранительных органов не позволяет достичь индикаторов проекта ГФ</w:t>
            </w:r>
            <w:r>
              <w:rPr>
                <w:rFonts w:ascii="Arial" w:eastAsia="Arial" w:hAnsi="Arial" w:cs="Arial"/>
                <w:szCs w:val="20"/>
                <w:lang w:val="ru-RU"/>
              </w:rPr>
              <w:t xml:space="preserve">, например, по </w:t>
            </w:r>
            <w:r w:rsidRPr="003775D1">
              <w:rPr>
                <w:rFonts w:ascii="Arial" w:eastAsia="Arial" w:hAnsi="Arial" w:cs="Arial"/>
                <w:szCs w:val="20"/>
                <w:lang w:val="ru-RU"/>
              </w:rPr>
              <w:t xml:space="preserve">работе с СР. </w:t>
            </w:r>
          </w:p>
          <w:p w14:paraId="0AF2A9DE" w14:textId="77777777" w:rsidR="004C21A1" w:rsidRPr="003775D1" w:rsidRDefault="004C21A1" w:rsidP="004C21A1">
            <w:pPr>
              <w:spacing w:line="264"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ru-RU"/>
              </w:rPr>
            </w:pPr>
            <w:r w:rsidRPr="003775D1">
              <w:rPr>
                <w:rFonts w:ascii="Arial" w:eastAsia="Arial" w:hAnsi="Arial" w:cs="Arial"/>
                <w:szCs w:val="20"/>
                <w:lang w:val="ru-RU"/>
              </w:rPr>
              <w:t>Стигматизация в обществе</w:t>
            </w:r>
            <w:r>
              <w:rPr>
                <w:rFonts w:ascii="Arial" w:eastAsia="Arial" w:hAnsi="Arial" w:cs="Arial"/>
                <w:szCs w:val="20"/>
                <w:lang w:val="ru-RU"/>
              </w:rPr>
              <w:t xml:space="preserve">, в семье </w:t>
            </w:r>
            <w:r w:rsidRPr="003775D1">
              <w:rPr>
                <w:rFonts w:ascii="Arial" w:eastAsia="Arial" w:hAnsi="Arial" w:cs="Arial"/>
                <w:szCs w:val="20"/>
                <w:lang w:val="ru-RU"/>
              </w:rPr>
              <w:t xml:space="preserve">и в организациях здравоохранения приводит к потере ЛЖВ после установления ВИЧ-статуса, а также </w:t>
            </w:r>
            <w:r>
              <w:rPr>
                <w:rFonts w:ascii="Arial" w:eastAsia="Arial" w:hAnsi="Arial" w:cs="Arial"/>
                <w:szCs w:val="20"/>
                <w:lang w:val="ru-RU"/>
              </w:rPr>
              <w:t>к отказу от участия в</w:t>
            </w:r>
            <w:r w:rsidRPr="003775D1">
              <w:rPr>
                <w:rFonts w:ascii="Arial" w:eastAsia="Arial" w:hAnsi="Arial" w:cs="Arial"/>
                <w:szCs w:val="20"/>
                <w:lang w:val="ru-RU"/>
              </w:rPr>
              <w:t xml:space="preserve"> ПТМ.</w:t>
            </w:r>
            <w:r>
              <w:rPr>
                <w:rFonts w:ascii="Arial" w:eastAsia="Arial" w:hAnsi="Arial" w:cs="Arial"/>
                <w:szCs w:val="20"/>
                <w:lang w:val="ru-RU"/>
              </w:rPr>
              <w:t xml:space="preserve"> </w:t>
            </w:r>
          </w:p>
          <w:p w14:paraId="1A6B540F" w14:textId="77777777" w:rsidR="004C21A1" w:rsidRPr="003775D1" w:rsidRDefault="004C21A1" w:rsidP="004C21A1">
            <w:pPr>
              <w:spacing w:line="264"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FF0000"/>
                <w:szCs w:val="20"/>
                <w:lang w:val="ru-RU"/>
              </w:rPr>
            </w:pPr>
            <w:r w:rsidRPr="003775D1">
              <w:rPr>
                <w:rFonts w:ascii="Arial" w:eastAsia="Arial" w:hAnsi="Arial" w:cs="Arial"/>
                <w:szCs w:val="20"/>
                <w:lang w:val="ru-RU"/>
              </w:rPr>
              <w:t>Ограниченный доступ к бенефициарам (например, потребители новых ПАВ или СР, оказыва</w:t>
            </w:r>
            <w:r>
              <w:rPr>
                <w:rFonts w:ascii="Arial" w:eastAsia="Arial" w:hAnsi="Arial" w:cs="Arial"/>
                <w:szCs w:val="20"/>
                <w:lang w:val="ru-RU"/>
              </w:rPr>
              <w:t>ющие услуги через онлайн каналы</w:t>
            </w:r>
            <w:r w:rsidRPr="003775D1">
              <w:rPr>
                <w:rFonts w:ascii="Arial" w:eastAsia="Arial" w:hAnsi="Arial" w:cs="Arial"/>
                <w:szCs w:val="20"/>
                <w:lang w:val="ru-RU"/>
              </w:rPr>
              <w:t>)</w:t>
            </w:r>
            <w:r>
              <w:rPr>
                <w:rFonts w:ascii="Arial" w:eastAsia="Arial" w:hAnsi="Arial" w:cs="Arial"/>
                <w:szCs w:val="20"/>
                <w:lang w:val="ru-RU"/>
              </w:rPr>
              <w:t>, снижает эффективность профилактических программ в целом по стране.</w:t>
            </w:r>
          </w:p>
          <w:p w14:paraId="228495F3" w14:textId="562CC4E7" w:rsidR="004C21A1" w:rsidRPr="00D440AE" w:rsidRDefault="004C21A1" w:rsidP="004C21A1">
            <w:pPr>
              <w:spacing w:line="264"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highlight w:val="green"/>
                <w:lang w:val="ru-RU"/>
              </w:rPr>
            </w:pPr>
            <w:r w:rsidRPr="002001B8">
              <w:rPr>
                <w:rFonts w:ascii="Arial" w:eastAsia="Arial" w:hAnsi="Arial" w:cs="Arial"/>
                <w:szCs w:val="20"/>
                <w:lang w:val="ru-RU"/>
              </w:rPr>
              <w:t xml:space="preserve">Вопросы нарушения прав, </w:t>
            </w:r>
            <w:r>
              <w:rPr>
                <w:rFonts w:ascii="Arial" w:eastAsia="Arial" w:hAnsi="Arial" w:cs="Arial"/>
                <w:szCs w:val="20"/>
                <w:lang w:val="ru-RU"/>
              </w:rPr>
              <w:t xml:space="preserve">представленные клиентами программ и задокументированные </w:t>
            </w:r>
            <w:r w:rsidRPr="002001B8">
              <w:rPr>
                <w:rFonts w:ascii="Arial" w:eastAsia="Arial" w:hAnsi="Arial" w:cs="Arial"/>
                <w:szCs w:val="20"/>
                <w:lang w:val="ru-RU"/>
              </w:rPr>
              <w:t>гражданским сектором</w:t>
            </w:r>
            <w:r>
              <w:rPr>
                <w:rFonts w:ascii="Arial" w:eastAsia="Arial" w:hAnsi="Arial" w:cs="Arial"/>
                <w:szCs w:val="20"/>
                <w:lang w:val="ru-RU"/>
              </w:rPr>
              <w:t xml:space="preserve">, в том числе, включенные в отчеты международным комитетам, не получают должного внимания со стороны государственных структур, не реализуются на практике. Наибольшие проблемы встречают представители ключевых групп со стороны правоохранительных органов. Действия института омбудсмена остаются недостаточными, не систематическими, что практически </w:t>
            </w:r>
            <w:r w:rsidRPr="003775D1">
              <w:rPr>
                <w:rFonts w:ascii="Arial" w:eastAsia="Arial" w:hAnsi="Arial" w:cs="Arial"/>
                <w:szCs w:val="20"/>
                <w:lang w:val="ru-RU"/>
              </w:rPr>
              <w:t>не влия</w:t>
            </w:r>
            <w:r>
              <w:rPr>
                <w:rFonts w:ascii="Arial" w:eastAsia="Arial" w:hAnsi="Arial" w:cs="Arial"/>
                <w:szCs w:val="20"/>
                <w:lang w:val="ru-RU"/>
              </w:rPr>
              <w:t>е</w:t>
            </w:r>
            <w:r w:rsidRPr="003775D1">
              <w:rPr>
                <w:rFonts w:ascii="Arial" w:eastAsia="Arial" w:hAnsi="Arial" w:cs="Arial"/>
                <w:szCs w:val="20"/>
                <w:lang w:val="ru-RU"/>
              </w:rPr>
              <w:t xml:space="preserve">т на защиту </w:t>
            </w:r>
            <w:r>
              <w:rPr>
                <w:rFonts w:ascii="Arial" w:eastAsia="Arial" w:hAnsi="Arial" w:cs="Arial"/>
                <w:szCs w:val="20"/>
                <w:lang w:val="ru-RU"/>
              </w:rPr>
              <w:t>от стигматизации и дискриминации ключевых групп</w:t>
            </w:r>
            <w:r w:rsidRPr="003775D1">
              <w:rPr>
                <w:rFonts w:ascii="Arial" w:eastAsia="Arial" w:hAnsi="Arial" w:cs="Arial"/>
                <w:szCs w:val="20"/>
                <w:lang w:val="ru-RU"/>
              </w:rPr>
              <w:t xml:space="preserve">. Ограничены ресурсы для поддержки систем документирования, таких как платформы </w:t>
            </w:r>
            <w:r w:rsidR="000F0EBB">
              <w:rPr>
                <w:rFonts w:ascii="Arial" w:eastAsia="Arial" w:hAnsi="Arial" w:cs="Arial"/>
                <w:szCs w:val="20"/>
              </w:rPr>
              <w:t>REAct</w:t>
            </w:r>
            <w:r w:rsidR="000F0EBB" w:rsidRPr="003775D1">
              <w:rPr>
                <w:rFonts w:ascii="Arial" w:eastAsia="Arial" w:hAnsi="Arial" w:cs="Arial"/>
                <w:szCs w:val="20"/>
                <w:lang w:val="ru-RU"/>
              </w:rPr>
              <w:t xml:space="preserve"> </w:t>
            </w:r>
            <w:r w:rsidRPr="003775D1">
              <w:rPr>
                <w:rFonts w:ascii="Arial" w:eastAsia="Arial" w:hAnsi="Arial" w:cs="Arial"/>
                <w:szCs w:val="20"/>
                <w:lang w:val="ru-RU"/>
              </w:rPr>
              <w:t>и других.</w:t>
            </w:r>
          </w:p>
          <w:p w14:paraId="53793E3A" w14:textId="07BB6EF3" w:rsidR="004C21A1" w:rsidRDefault="004C21A1" w:rsidP="004C21A1">
            <w:pPr>
              <w:spacing w:line="264"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ru-RU"/>
              </w:rPr>
            </w:pPr>
            <w:r w:rsidRPr="00D74BE9">
              <w:rPr>
                <w:rFonts w:ascii="Arial" w:eastAsia="Arial" w:hAnsi="Arial" w:cs="Arial"/>
                <w:szCs w:val="20"/>
                <w:lang w:val="ru-RU"/>
              </w:rPr>
              <w:t>Принятие новых законов по здравоохранению требует обно</w:t>
            </w:r>
            <w:r>
              <w:rPr>
                <w:rFonts w:ascii="Arial" w:eastAsia="Arial" w:hAnsi="Arial" w:cs="Arial"/>
                <w:szCs w:val="20"/>
                <w:lang w:val="ru-RU"/>
              </w:rPr>
              <w:t xml:space="preserve">вления всех подзаконных актов, которое </w:t>
            </w:r>
            <w:r w:rsidR="000F0EBB">
              <w:rPr>
                <w:rFonts w:ascii="Arial" w:eastAsia="Arial" w:hAnsi="Arial" w:cs="Arial"/>
                <w:szCs w:val="20"/>
                <w:lang w:val="ru-RU"/>
              </w:rPr>
              <w:t xml:space="preserve">предусматривает </w:t>
            </w:r>
            <w:r w:rsidR="000F0EBB" w:rsidRPr="00D74BE9">
              <w:rPr>
                <w:rFonts w:ascii="Arial" w:eastAsia="Arial" w:hAnsi="Arial" w:cs="Arial"/>
                <w:szCs w:val="20"/>
                <w:lang w:val="ru-RU"/>
              </w:rPr>
              <w:t>значительные</w:t>
            </w:r>
            <w:r w:rsidRPr="00D74BE9">
              <w:rPr>
                <w:rFonts w:ascii="Arial" w:eastAsia="Arial" w:hAnsi="Arial" w:cs="Arial"/>
                <w:szCs w:val="20"/>
                <w:lang w:val="ru-RU"/>
              </w:rPr>
              <w:t xml:space="preserve"> усили</w:t>
            </w:r>
            <w:r>
              <w:rPr>
                <w:rFonts w:ascii="Arial" w:eastAsia="Arial" w:hAnsi="Arial" w:cs="Arial"/>
                <w:szCs w:val="20"/>
                <w:lang w:val="ru-RU"/>
              </w:rPr>
              <w:t>я</w:t>
            </w:r>
            <w:r w:rsidRPr="00D74BE9">
              <w:rPr>
                <w:rFonts w:ascii="Arial" w:eastAsia="Arial" w:hAnsi="Arial" w:cs="Arial"/>
                <w:szCs w:val="20"/>
                <w:lang w:val="ru-RU"/>
              </w:rPr>
              <w:t xml:space="preserve"> заинтересованных государственных организаций и НПО </w:t>
            </w:r>
            <w:r>
              <w:rPr>
                <w:rFonts w:ascii="Arial" w:eastAsia="Arial" w:hAnsi="Arial" w:cs="Arial"/>
                <w:szCs w:val="20"/>
                <w:lang w:val="ru-RU"/>
              </w:rPr>
              <w:t>для</w:t>
            </w:r>
            <w:r w:rsidRPr="00D74BE9">
              <w:rPr>
                <w:rFonts w:ascii="Arial" w:eastAsia="Arial" w:hAnsi="Arial" w:cs="Arial"/>
                <w:szCs w:val="20"/>
                <w:lang w:val="ru-RU"/>
              </w:rPr>
              <w:t xml:space="preserve"> обеспечени</w:t>
            </w:r>
            <w:r>
              <w:rPr>
                <w:rFonts w:ascii="Arial" w:eastAsia="Arial" w:hAnsi="Arial" w:cs="Arial"/>
                <w:szCs w:val="20"/>
                <w:lang w:val="ru-RU"/>
              </w:rPr>
              <w:t>я</w:t>
            </w:r>
            <w:r w:rsidRPr="00D74BE9">
              <w:rPr>
                <w:rFonts w:ascii="Arial" w:eastAsia="Arial" w:hAnsi="Arial" w:cs="Arial"/>
                <w:szCs w:val="20"/>
                <w:lang w:val="ru-RU"/>
              </w:rPr>
              <w:t xml:space="preserve"> и расширени</w:t>
            </w:r>
            <w:r>
              <w:rPr>
                <w:rFonts w:ascii="Arial" w:eastAsia="Arial" w:hAnsi="Arial" w:cs="Arial"/>
                <w:szCs w:val="20"/>
                <w:lang w:val="ru-RU"/>
              </w:rPr>
              <w:t>я</w:t>
            </w:r>
            <w:r w:rsidRPr="00D74BE9">
              <w:rPr>
                <w:rFonts w:ascii="Arial" w:eastAsia="Arial" w:hAnsi="Arial" w:cs="Arial"/>
                <w:szCs w:val="20"/>
                <w:lang w:val="ru-RU"/>
              </w:rPr>
              <w:t xml:space="preserve"> универсального доступа к услугам здравоохранения, социальной защит</w:t>
            </w:r>
            <w:r>
              <w:rPr>
                <w:rFonts w:ascii="Arial" w:eastAsia="Arial" w:hAnsi="Arial" w:cs="Arial"/>
                <w:szCs w:val="20"/>
                <w:lang w:val="ru-RU"/>
              </w:rPr>
              <w:t>ы;</w:t>
            </w:r>
            <w:r w:rsidRPr="00D74BE9">
              <w:rPr>
                <w:rFonts w:ascii="Arial" w:eastAsia="Arial" w:hAnsi="Arial" w:cs="Arial"/>
                <w:szCs w:val="20"/>
                <w:lang w:val="ru-RU"/>
              </w:rPr>
              <w:t xml:space="preserve"> устранения правовых барьеров. </w:t>
            </w:r>
          </w:p>
          <w:p w14:paraId="6D5524B0" w14:textId="77777777" w:rsidR="004C21A1" w:rsidRDefault="004C21A1" w:rsidP="004C21A1">
            <w:pPr>
              <w:spacing w:line="264"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ru-RU"/>
              </w:rPr>
            </w:pPr>
            <w:r>
              <w:rPr>
                <w:rFonts w:ascii="Arial" w:eastAsia="Arial" w:hAnsi="Arial" w:cs="Arial"/>
                <w:szCs w:val="20"/>
                <w:lang w:val="ru-RU"/>
              </w:rPr>
              <w:lastRenderedPageBreak/>
              <w:t>Принятое в</w:t>
            </w:r>
            <w:r w:rsidRPr="00D74BE9">
              <w:rPr>
                <w:rFonts w:ascii="Arial" w:eastAsia="Arial" w:hAnsi="Arial" w:cs="Arial"/>
                <w:szCs w:val="20"/>
                <w:lang w:val="ru-RU"/>
              </w:rPr>
              <w:t xml:space="preserve"> 2021 году соглашение ЕврАзЭС по унификации законодательства о закупках лекарственных средств стран Евразийского экономического союза, членом которого является Кыргызстан</w:t>
            </w:r>
            <w:r>
              <w:rPr>
                <w:rFonts w:ascii="Arial" w:eastAsia="Arial" w:hAnsi="Arial" w:cs="Arial"/>
                <w:szCs w:val="20"/>
                <w:lang w:val="ru-RU"/>
              </w:rPr>
              <w:t>,</w:t>
            </w:r>
            <w:r w:rsidRPr="00D74BE9">
              <w:rPr>
                <w:rFonts w:ascii="Arial" w:eastAsia="Arial" w:hAnsi="Arial" w:cs="Arial"/>
                <w:szCs w:val="20"/>
                <w:lang w:val="ru-RU"/>
              </w:rPr>
              <w:t xml:space="preserve"> создает угрозу нарушения сложившихся механизмов закупок, проводимых в стране</w:t>
            </w:r>
            <w:r>
              <w:rPr>
                <w:rFonts w:ascii="Arial" w:eastAsia="Arial" w:hAnsi="Arial" w:cs="Arial"/>
                <w:szCs w:val="20"/>
                <w:lang w:val="ru-RU"/>
              </w:rPr>
              <w:t xml:space="preserve">. </w:t>
            </w:r>
          </w:p>
          <w:p w14:paraId="766D6A2C" w14:textId="3F69846B" w:rsidR="004C21A1" w:rsidRPr="00996537" w:rsidRDefault="004C21A1" w:rsidP="004C21A1">
            <w:pPr>
              <w:tabs>
                <w:tab w:val="left" w:pos="676"/>
              </w:tabs>
              <w:spacing w:line="264"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highlight w:val="green"/>
                <w:lang w:val="ru-RU"/>
              </w:rPr>
            </w:pPr>
            <w:r w:rsidRPr="00D74BE9">
              <w:rPr>
                <w:rFonts w:ascii="Arial" w:eastAsia="Arial" w:hAnsi="Arial" w:cs="Arial"/>
                <w:szCs w:val="20"/>
                <w:lang w:val="ru-RU"/>
              </w:rPr>
              <w:t>Институты пробации, ГГЮП, параюристов являются новыми для Кы</w:t>
            </w:r>
            <w:r>
              <w:rPr>
                <w:rFonts w:ascii="Arial" w:eastAsia="Arial" w:hAnsi="Arial" w:cs="Arial"/>
                <w:szCs w:val="20"/>
                <w:lang w:val="ru-RU"/>
              </w:rPr>
              <w:t xml:space="preserve">ргызской Республики и требуют разработки механизмов </w:t>
            </w:r>
            <w:r w:rsidR="000F0EBB" w:rsidRPr="007E6536">
              <w:rPr>
                <w:rFonts w:ascii="Arial" w:eastAsia="Arial" w:hAnsi="Arial" w:cs="Arial"/>
                <w:szCs w:val="20"/>
                <w:lang w:val="ru-RU"/>
              </w:rPr>
              <w:t>дл</w:t>
            </w:r>
            <w:r w:rsidR="000F0EBB">
              <w:rPr>
                <w:rFonts w:ascii="Arial" w:eastAsia="Arial" w:hAnsi="Arial" w:cs="Arial"/>
                <w:szCs w:val="20"/>
                <w:lang w:val="ru-RU"/>
              </w:rPr>
              <w:t>я</w:t>
            </w:r>
            <w:r w:rsidRPr="00D74BE9">
              <w:rPr>
                <w:rFonts w:ascii="Arial" w:eastAsia="Arial" w:hAnsi="Arial" w:cs="Arial"/>
                <w:szCs w:val="20"/>
                <w:lang w:val="ru-RU"/>
              </w:rPr>
              <w:t xml:space="preserve"> их успешно</w:t>
            </w:r>
            <w:r w:rsidR="000F0EBB">
              <w:rPr>
                <w:rFonts w:ascii="Arial" w:eastAsia="Arial" w:hAnsi="Arial" w:cs="Arial"/>
                <w:szCs w:val="20"/>
                <w:lang w:val="ru-RU"/>
              </w:rPr>
              <w:t>го</w:t>
            </w:r>
            <w:r w:rsidRPr="00D74BE9">
              <w:rPr>
                <w:rFonts w:ascii="Arial" w:eastAsia="Arial" w:hAnsi="Arial" w:cs="Arial"/>
                <w:szCs w:val="20"/>
                <w:lang w:val="ru-RU"/>
              </w:rPr>
              <w:t xml:space="preserve"> функционировани</w:t>
            </w:r>
            <w:r w:rsidR="000F0EBB">
              <w:rPr>
                <w:rFonts w:ascii="Arial" w:eastAsia="Arial" w:hAnsi="Arial" w:cs="Arial"/>
                <w:szCs w:val="20"/>
                <w:lang w:val="ru-RU"/>
              </w:rPr>
              <w:t>я</w:t>
            </w:r>
            <w:r w:rsidRPr="00D74BE9">
              <w:rPr>
                <w:rFonts w:ascii="Arial" w:eastAsia="Arial" w:hAnsi="Arial" w:cs="Arial"/>
                <w:szCs w:val="20"/>
                <w:lang w:val="ru-RU"/>
              </w:rPr>
              <w:t xml:space="preserve">. </w:t>
            </w:r>
            <w:r>
              <w:rPr>
                <w:rFonts w:ascii="Arial" w:eastAsia="Arial" w:hAnsi="Arial" w:cs="Arial"/>
                <w:szCs w:val="20"/>
                <w:lang w:val="ru-RU"/>
              </w:rPr>
              <w:t>Так, важно узаконивание (сертификация) параюристов, что обеспечит их реальный доступ в пункты оказания помощ</w:t>
            </w:r>
            <w:r w:rsidR="000F0EBB">
              <w:rPr>
                <w:rFonts w:ascii="Arial" w:eastAsia="Arial" w:hAnsi="Arial" w:cs="Arial"/>
                <w:szCs w:val="20"/>
                <w:lang w:val="ru-RU"/>
              </w:rPr>
              <w:t>и</w:t>
            </w:r>
            <w:r>
              <w:rPr>
                <w:rFonts w:ascii="Arial" w:eastAsia="Arial" w:hAnsi="Arial" w:cs="Arial"/>
                <w:szCs w:val="20"/>
                <w:lang w:val="ru-RU"/>
              </w:rPr>
              <w:t xml:space="preserve"> (правоохранительные органы, в </w:t>
            </w:r>
            <w:r w:rsidRPr="003775D1">
              <w:rPr>
                <w:rFonts w:ascii="Arial" w:eastAsia="Arial" w:hAnsi="Arial" w:cs="Arial"/>
                <w:szCs w:val="20"/>
                <w:lang w:val="ru-RU"/>
              </w:rPr>
              <w:t>тюрьмы).</w:t>
            </w:r>
          </w:p>
          <w:p w14:paraId="2CE6A3C6" w14:textId="5E8F0C19" w:rsidR="007C0483" w:rsidRPr="008B08A2" w:rsidRDefault="004C21A1" w:rsidP="004C21A1">
            <w:pPr>
              <w:tabs>
                <w:tab w:val="left" w:pos="676"/>
              </w:tabs>
              <w:spacing w:line="264" w:lineRule="auto"/>
              <w:jc w:val="both"/>
              <w:cnfStyle w:val="000000000000" w:firstRow="0" w:lastRow="0" w:firstColumn="0" w:lastColumn="0" w:oddVBand="0" w:evenVBand="0" w:oddHBand="0" w:evenHBand="0" w:firstRowFirstColumn="0" w:firstRowLastColumn="0" w:lastRowFirstColumn="0" w:lastRowLastColumn="0"/>
              <w:rPr>
                <w:szCs w:val="20"/>
                <w:lang w:val="ru-RU"/>
              </w:rPr>
            </w:pPr>
            <w:r w:rsidRPr="00D74BE9">
              <w:rPr>
                <w:rFonts w:ascii="Arial" w:eastAsia="Arial" w:hAnsi="Arial" w:cs="Arial"/>
                <w:szCs w:val="20"/>
                <w:lang w:val="ru-RU"/>
              </w:rPr>
              <w:t>Проведенная оценка прогресса в преодолении правовых барьеров в КР в 2022 году показала наличие ряда отставаний и подготовила рекомендации по их устранению.</w:t>
            </w:r>
          </w:p>
        </w:tc>
      </w:tr>
      <w:tr w:rsidR="007C0483" w:rsidRPr="00A26916" w14:paraId="091466CE" w14:textId="77777777" w:rsidTr="007F4E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6989141F" w14:textId="77777777" w:rsidR="007C0483" w:rsidRDefault="007C0483" w:rsidP="007F4EBC">
            <w:pPr>
              <w:pStyle w:val="a1"/>
            </w:pPr>
            <w:r>
              <w:rPr>
                <w:lang w:val="ru-RU"/>
              </w:rPr>
              <w:lastRenderedPageBreak/>
              <w:t>Запрашиваемая сумма</w:t>
            </w:r>
          </w:p>
        </w:tc>
        <w:tc>
          <w:tcPr>
            <w:tcW w:w="13025" w:type="dxa"/>
          </w:tcPr>
          <w:p w14:paraId="4AD5D9E1" w14:textId="421AD200" w:rsidR="007C0483" w:rsidRPr="00147351" w:rsidRDefault="00147351" w:rsidP="004C21A1">
            <w:pPr>
              <w:tabs>
                <w:tab w:val="left" w:pos="676"/>
              </w:tabs>
              <w:spacing w:line="264" w:lineRule="auto"/>
              <w:jc w:val="both"/>
              <w:cnfStyle w:val="000000100000" w:firstRow="0" w:lastRow="0" w:firstColumn="0" w:lastColumn="0" w:oddVBand="0" w:evenVBand="0" w:oddHBand="1" w:evenHBand="0" w:firstRowFirstColumn="0" w:firstRowLastColumn="0" w:lastRowFirstColumn="0" w:lastRowLastColumn="0"/>
              <w:rPr>
                <w:szCs w:val="20"/>
                <w:lang w:val="ru-RU"/>
              </w:rPr>
            </w:pPr>
            <w:r>
              <w:rPr>
                <w:rFonts w:ascii="Arial" w:eastAsia="Arial" w:hAnsi="Arial" w:cs="Arial"/>
                <w:szCs w:val="20"/>
                <w:lang w:val="ru-RU"/>
              </w:rPr>
              <w:t>500</w:t>
            </w:r>
            <w:r w:rsidR="007E6536">
              <w:rPr>
                <w:rFonts w:ascii="Arial" w:eastAsia="Arial" w:hAnsi="Arial" w:cs="Arial"/>
                <w:szCs w:val="20"/>
                <w:lang w:val="ru-RU"/>
              </w:rPr>
              <w:t>,</w:t>
            </w:r>
            <w:r>
              <w:rPr>
                <w:rFonts w:ascii="Arial" w:eastAsia="Arial" w:hAnsi="Arial" w:cs="Arial"/>
                <w:szCs w:val="20"/>
                <w:lang w:val="ru-RU"/>
              </w:rPr>
              <w:t>000 долларов США, выделенных на реализацию каталитического финансирования и 1</w:t>
            </w:r>
            <w:r w:rsidR="007E6536">
              <w:rPr>
                <w:rFonts w:ascii="Arial" w:eastAsia="Arial" w:hAnsi="Arial" w:cs="Arial"/>
                <w:szCs w:val="20"/>
                <w:lang w:val="ru-RU"/>
              </w:rPr>
              <w:t>,</w:t>
            </w:r>
            <w:r>
              <w:rPr>
                <w:rFonts w:ascii="Arial" w:eastAsia="Arial" w:hAnsi="Arial" w:cs="Arial"/>
                <w:szCs w:val="20"/>
                <w:lang w:val="ru-RU"/>
              </w:rPr>
              <w:t>000</w:t>
            </w:r>
            <w:r w:rsidR="007E6536">
              <w:rPr>
                <w:rFonts w:ascii="Arial" w:eastAsia="Arial" w:hAnsi="Arial" w:cs="Arial"/>
                <w:szCs w:val="20"/>
                <w:lang w:val="ru-RU"/>
              </w:rPr>
              <w:t>,</w:t>
            </w:r>
            <w:r>
              <w:rPr>
                <w:rFonts w:ascii="Arial" w:eastAsia="Arial" w:hAnsi="Arial" w:cs="Arial"/>
                <w:szCs w:val="20"/>
                <w:lang w:val="ru-RU"/>
              </w:rPr>
              <w:t>000 в рамках гранта по ВИЧ и по ТБ</w:t>
            </w:r>
          </w:p>
        </w:tc>
      </w:tr>
      <w:tr w:rsidR="007C0483" w:rsidRPr="00A26916" w14:paraId="7997CD19" w14:textId="77777777" w:rsidTr="007F4EBC">
        <w:tc>
          <w:tcPr>
            <w:cnfStyle w:val="001000000000" w:firstRow="0" w:lastRow="0" w:firstColumn="1" w:lastColumn="0" w:oddVBand="0" w:evenVBand="0" w:oddHBand="0" w:evenHBand="0" w:firstRowFirstColumn="0" w:firstRowLastColumn="0" w:lastRowFirstColumn="0" w:lastRowLastColumn="0"/>
            <w:tcW w:w="2138" w:type="dxa"/>
          </w:tcPr>
          <w:p w14:paraId="6EB8AD0C" w14:textId="77777777" w:rsidR="007C0483" w:rsidRDefault="007C0483" w:rsidP="007F4EBC">
            <w:pPr>
              <w:pStyle w:val="a1"/>
            </w:pPr>
            <w:r>
              <w:rPr>
                <w:lang w:val="ru-RU"/>
              </w:rPr>
              <w:t>Ожидаемый результат</w:t>
            </w:r>
          </w:p>
        </w:tc>
        <w:tc>
          <w:tcPr>
            <w:tcW w:w="13025" w:type="dxa"/>
          </w:tcPr>
          <w:p w14:paraId="3DD398C0" w14:textId="089A1047" w:rsidR="007C0483" w:rsidRPr="00147351" w:rsidRDefault="00147351" w:rsidP="004C21A1">
            <w:pPr>
              <w:tabs>
                <w:tab w:val="left" w:pos="676"/>
              </w:tabs>
              <w:spacing w:line="264" w:lineRule="auto"/>
              <w:jc w:val="both"/>
              <w:cnfStyle w:val="000000000000" w:firstRow="0" w:lastRow="0" w:firstColumn="0" w:lastColumn="0" w:oddVBand="0" w:evenVBand="0" w:oddHBand="0" w:evenHBand="0" w:firstRowFirstColumn="0" w:firstRowLastColumn="0" w:lastRowFirstColumn="0" w:lastRowLastColumn="0"/>
              <w:rPr>
                <w:szCs w:val="20"/>
                <w:lang w:val="ru-RU"/>
              </w:rPr>
            </w:pPr>
            <w:r>
              <w:rPr>
                <w:rFonts w:ascii="Arial" w:eastAsia="Arial" w:hAnsi="Arial" w:cs="Arial"/>
                <w:szCs w:val="20"/>
                <w:lang w:val="ru-RU"/>
              </w:rPr>
              <w:t xml:space="preserve">Снижение уровня стигмы и дискриминации при оказании услуг, связанных с ВИЧ и ТБ, что создаст условия для доступа к группам и, </w:t>
            </w:r>
            <w:r w:rsidR="007E6536">
              <w:rPr>
                <w:rFonts w:ascii="Arial" w:eastAsia="Arial" w:hAnsi="Arial" w:cs="Arial"/>
                <w:szCs w:val="20"/>
                <w:lang w:val="ru-RU"/>
              </w:rPr>
              <w:t>обеспечит охват</w:t>
            </w:r>
            <w:r>
              <w:rPr>
                <w:rFonts w:ascii="Arial" w:eastAsia="Arial" w:hAnsi="Arial" w:cs="Arial"/>
                <w:szCs w:val="20"/>
                <w:lang w:val="ru-RU"/>
              </w:rPr>
              <w:t xml:space="preserve"> услугами 90% от оценочного числа ключевого </w:t>
            </w:r>
            <w:r w:rsidR="007E6536">
              <w:rPr>
                <w:rFonts w:ascii="Arial" w:eastAsia="Arial" w:hAnsi="Arial" w:cs="Arial"/>
                <w:szCs w:val="20"/>
                <w:lang w:val="ru-RU"/>
              </w:rPr>
              <w:t>населения; достижение</w:t>
            </w:r>
            <w:r>
              <w:rPr>
                <w:rFonts w:ascii="Arial" w:eastAsia="Arial" w:hAnsi="Arial" w:cs="Arial"/>
                <w:szCs w:val="20"/>
                <w:lang w:val="ru-RU"/>
              </w:rPr>
              <w:t xml:space="preserve"> результатов гранта ГФ по компонентам по ВИЧ и ТБ.</w:t>
            </w:r>
          </w:p>
        </w:tc>
      </w:tr>
    </w:tbl>
    <w:p w14:paraId="1569B686" w14:textId="74DF9D59" w:rsidR="009F051F" w:rsidRDefault="009F051F" w:rsidP="007E2465">
      <w:pPr>
        <w:pStyle w:val="a1"/>
        <w:rPr>
          <w:i/>
          <w:iCs/>
          <w:lang w:val="ru-RU"/>
        </w:rPr>
      </w:pPr>
    </w:p>
    <w:p w14:paraId="41A44BFA" w14:textId="77777777" w:rsidR="009F051F" w:rsidRDefault="009F051F">
      <w:pPr>
        <w:spacing w:after="200"/>
        <w:rPr>
          <w:i/>
          <w:iCs/>
          <w:sz w:val="24"/>
          <w:lang w:val="ru-RU"/>
        </w:rPr>
      </w:pPr>
      <w:r>
        <w:rPr>
          <w:i/>
          <w:iCs/>
          <w:lang w:val="ru-RU"/>
        </w:rPr>
        <w:br w:type="page"/>
      </w:r>
    </w:p>
    <w:tbl>
      <w:tblPr>
        <w:tblStyle w:val="110"/>
        <w:tblpPr w:leftFromText="181" w:rightFromText="181" w:vertAnchor="page" w:horzAnchor="margin" w:tblpY="1162"/>
        <w:tblW w:w="15163" w:type="dxa"/>
        <w:tblLook w:val="04A0" w:firstRow="1" w:lastRow="0" w:firstColumn="1" w:lastColumn="0" w:noHBand="0" w:noVBand="1"/>
      </w:tblPr>
      <w:tblGrid>
        <w:gridCol w:w="2138"/>
        <w:gridCol w:w="13025"/>
      </w:tblGrid>
      <w:tr w:rsidR="009F051F" w:rsidRPr="00A26916" w14:paraId="2DE5707A" w14:textId="77777777" w:rsidTr="00595E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5E9D0F28" w14:textId="0D009474" w:rsidR="009F051F" w:rsidRPr="00A8243B" w:rsidRDefault="009F051F" w:rsidP="00595E29">
            <w:pPr>
              <w:pStyle w:val="a1"/>
              <w:rPr>
                <w:lang w:val="en-US"/>
              </w:rPr>
            </w:pPr>
            <w:r w:rsidRPr="000F0EBB">
              <w:rPr>
                <w:lang w:val="ru-RU"/>
              </w:rPr>
              <w:lastRenderedPageBreak/>
              <w:t xml:space="preserve">Модуль № </w:t>
            </w:r>
            <w:r w:rsidR="00540290" w:rsidRPr="000F0EBB">
              <w:rPr>
                <w:lang w:val="ru-RU"/>
              </w:rPr>
              <w:t>13</w:t>
            </w:r>
          </w:p>
        </w:tc>
        <w:tc>
          <w:tcPr>
            <w:tcW w:w="13025" w:type="dxa"/>
          </w:tcPr>
          <w:p w14:paraId="4A5B5C01" w14:textId="77777777" w:rsidR="009F051F" w:rsidRPr="00566322" w:rsidRDefault="009F051F" w:rsidP="00595E29">
            <w:pPr>
              <w:jc w:val="both"/>
              <w:cnfStyle w:val="100000000000" w:firstRow="1" w:lastRow="0" w:firstColumn="0" w:lastColumn="0" w:oddVBand="0" w:evenVBand="0" w:oddHBand="0" w:evenHBand="0" w:firstRowFirstColumn="0" w:firstRowLastColumn="0" w:lastRowFirstColumn="0" w:lastRowLastColumn="0"/>
              <w:rPr>
                <w:sz w:val="24"/>
                <w:szCs w:val="24"/>
                <w:lang w:val="ru-RU"/>
              </w:rPr>
            </w:pPr>
            <w:r w:rsidRPr="00D42126">
              <w:rPr>
                <w:sz w:val="24"/>
                <w:szCs w:val="24"/>
                <w:lang w:val="ru-RU"/>
              </w:rPr>
              <w:t>Лекарственно-устойчивый (ЛУ)-ТБ</w:t>
            </w:r>
            <w:r>
              <w:rPr>
                <w:sz w:val="24"/>
                <w:szCs w:val="24"/>
                <w:lang w:val="ru-RU"/>
              </w:rPr>
              <w:t xml:space="preserve">: </w:t>
            </w:r>
            <w:r w:rsidRPr="00D42126">
              <w:rPr>
                <w:sz w:val="24"/>
                <w:szCs w:val="24"/>
                <w:lang w:val="ru-RU"/>
              </w:rPr>
              <w:t>Диагностика, лечение и</w:t>
            </w:r>
            <w:r>
              <w:rPr>
                <w:sz w:val="24"/>
                <w:szCs w:val="24"/>
                <w:lang w:val="ru-RU"/>
              </w:rPr>
              <w:t xml:space="preserve"> уход</w:t>
            </w:r>
          </w:p>
        </w:tc>
      </w:tr>
      <w:tr w:rsidR="009F051F" w:rsidRPr="00A26916" w14:paraId="2ABD32FF" w14:textId="77777777" w:rsidTr="00595E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5618B131" w14:textId="6BD99A69" w:rsidR="009F051F" w:rsidRDefault="009F051F" w:rsidP="00595E29">
            <w:pPr>
              <w:pStyle w:val="a1"/>
            </w:pPr>
            <w:r>
              <w:rPr>
                <w:lang w:val="ru-RU"/>
              </w:rPr>
              <w:t>Вмешательства</w:t>
            </w:r>
          </w:p>
        </w:tc>
        <w:tc>
          <w:tcPr>
            <w:tcW w:w="13025" w:type="dxa"/>
          </w:tcPr>
          <w:p w14:paraId="7B4A16CE" w14:textId="77777777" w:rsidR="000A67C7" w:rsidRPr="0023526B" w:rsidRDefault="000A67C7" w:rsidP="000A67C7">
            <w:pPr>
              <w:spacing w:line="240" w:lineRule="atLeast"/>
              <w:jc w:val="both"/>
              <w:cnfStyle w:val="000000100000" w:firstRow="0" w:lastRow="0" w:firstColumn="0" w:lastColumn="0" w:oddVBand="0" w:evenVBand="0" w:oddHBand="1" w:evenHBand="0" w:firstRowFirstColumn="0" w:firstRowLastColumn="0" w:lastRowFirstColumn="0" w:lastRowLastColumn="0"/>
              <w:rPr>
                <w:rFonts w:cstheme="minorHAnsi"/>
                <w:b/>
                <w:bCs/>
                <w:lang w:val="ru-RU"/>
              </w:rPr>
            </w:pPr>
            <w:r w:rsidRPr="0023526B">
              <w:rPr>
                <w:rFonts w:cstheme="minorHAnsi"/>
                <w:b/>
                <w:bCs/>
                <w:lang w:val="ru-RU"/>
              </w:rPr>
              <w:t>Для улучшения показателей каскада лечения ЛУ-ТБ в рамках данной заявки предлагаются:</w:t>
            </w:r>
          </w:p>
          <w:p w14:paraId="66A418D3" w14:textId="3F02F7C7" w:rsidR="000A67C7" w:rsidRPr="0023526B" w:rsidRDefault="000A67C7" w:rsidP="00191D41">
            <w:pPr>
              <w:shd w:val="clear" w:color="auto" w:fill="D5DBFD" w:themeFill="accent2" w:themeFillTint="33"/>
              <w:jc w:val="both"/>
              <w:cnfStyle w:val="000000100000" w:firstRow="0" w:lastRow="0" w:firstColumn="0" w:lastColumn="0" w:oddVBand="0" w:evenVBand="0" w:oddHBand="1" w:evenHBand="0" w:firstRowFirstColumn="0" w:firstRowLastColumn="0" w:lastRowFirstColumn="0" w:lastRowLastColumn="0"/>
              <w:rPr>
                <w:rFonts w:cstheme="minorHAnsi"/>
                <w:b/>
                <w:bCs/>
                <w:lang w:val="ru-RU"/>
              </w:rPr>
            </w:pPr>
            <w:r w:rsidRPr="0023526B">
              <w:rPr>
                <w:rFonts w:cstheme="minorHAnsi"/>
                <w:b/>
                <w:bCs/>
                <w:lang w:val="ru-RU"/>
              </w:rPr>
              <w:t>Мероприятия, связанные с ранним выявлением людей с лекарственно-устойчивым ТБ (ЛУ-ТБ,</w:t>
            </w:r>
            <w:r w:rsidR="00191D41" w:rsidRPr="0023526B">
              <w:rPr>
                <w:rFonts w:cstheme="minorHAnsi"/>
                <w:b/>
                <w:bCs/>
                <w:lang w:val="ru-RU"/>
              </w:rPr>
              <w:t xml:space="preserve"> включая РР, МЛУ, пре/ШЛУ-ТБ). </w:t>
            </w:r>
          </w:p>
          <w:p w14:paraId="40595249" w14:textId="77777777"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rFonts w:cstheme="minorHAnsi"/>
                <w:bCs/>
                <w:lang w:val="ru-RU"/>
              </w:rPr>
            </w:pPr>
            <w:r w:rsidRPr="0023526B">
              <w:rPr>
                <w:rFonts w:cstheme="minorHAnsi"/>
                <w:bCs/>
                <w:lang w:val="ru-RU"/>
              </w:rPr>
              <w:t xml:space="preserve">Усугубление проявления неравенства в распределении социальных детерминант (бедность, спад экономического развития, трудовая миграция, слабая информированность населения и др.) явилось причиной низкой мотивации пациентов проходить обследование, низкой приверженности к лечению и высокого процента отрывов от лечения. </w:t>
            </w:r>
          </w:p>
          <w:p w14:paraId="3DB6891F" w14:textId="071300E2"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rFonts w:cstheme="minorHAnsi"/>
                <w:lang w:val="ru-RU"/>
              </w:rPr>
            </w:pPr>
            <w:r w:rsidRPr="0023526B">
              <w:rPr>
                <w:rFonts w:cstheme="minorHAnsi"/>
                <w:lang w:val="ru-RU"/>
              </w:rPr>
              <w:t>В стране в 2021 году по воздействию пандемии на выявление ТБ, проведенный анализ ситуации по ТБ за 2019-2020 гг. (малый научный грант ВОЗ), демонстрировал значительное до 40% снижение выявления в Иссык-Кульской области, до 26-28% в Ошской и Чуйской областях. В последних областях также имеется нехватка кадров на уровне ПМСП (в 2-х районах отсутствуют врач-фтизиатр) и с преимущественной локализаций мигрантов, зачастую не имеющих определенные места жительства. Это</w:t>
            </w:r>
            <w:r w:rsidRPr="0023526B">
              <w:rPr>
                <w:rFonts w:cstheme="minorHAnsi"/>
                <w:b/>
                <w:lang w:val="ru-RU"/>
              </w:rPr>
              <w:t xml:space="preserve"> </w:t>
            </w:r>
            <w:r w:rsidRPr="0023526B">
              <w:rPr>
                <w:rFonts w:cstheme="minorHAnsi"/>
                <w:lang w:val="ru-RU"/>
              </w:rPr>
              <w:t>явилось основанием</w:t>
            </w:r>
            <w:r w:rsidRPr="0023526B">
              <w:rPr>
                <w:rFonts w:cstheme="minorHAnsi"/>
                <w:b/>
                <w:lang w:val="ru-RU"/>
              </w:rPr>
              <w:t xml:space="preserve"> </w:t>
            </w:r>
            <w:r w:rsidRPr="0023526B">
              <w:rPr>
                <w:rFonts w:cstheme="minorHAnsi"/>
                <w:lang w:val="ru-RU"/>
              </w:rPr>
              <w:t>выбора 3-х регионов с неблагополучной ситуацией по ТБ</w:t>
            </w:r>
            <w:r w:rsidRPr="0023526B">
              <w:rPr>
                <w:rFonts w:cstheme="minorHAnsi"/>
                <w:b/>
                <w:lang w:val="ru-RU"/>
              </w:rPr>
              <w:t xml:space="preserve"> для проведения активного выявления ТБ</w:t>
            </w:r>
            <w:r w:rsidRPr="0023526B">
              <w:rPr>
                <w:rFonts w:cstheme="minorHAnsi"/>
                <w:bCs/>
                <w:lang w:val="ru-RU"/>
              </w:rPr>
              <w:t xml:space="preserve"> среди контактных лиц, а также людей в кризисных центрах, приютах, ЛЖВ, бездомных и мигрантов</w:t>
            </w:r>
            <w:r w:rsidR="00191D41" w:rsidRPr="0023526B">
              <w:rPr>
                <w:rFonts w:cstheme="minorHAnsi"/>
                <w:bCs/>
                <w:lang w:val="ru-RU"/>
              </w:rPr>
              <w:t xml:space="preserve"> и</w:t>
            </w:r>
            <w:r w:rsidRPr="0023526B">
              <w:rPr>
                <w:rFonts w:cstheme="minorHAnsi"/>
                <w:bCs/>
                <w:lang w:val="ru-RU"/>
              </w:rPr>
              <w:t xml:space="preserve"> будут привлечены НПО в трех регионах (Ош, Иссык-Куль и восточная часть Чуйской области), </w:t>
            </w:r>
            <w:r w:rsidRPr="0023526B">
              <w:rPr>
                <w:rFonts w:cstheme="minorHAnsi"/>
                <w:lang w:val="ru-RU"/>
              </w:rPr>
              <w:t xml:space="preserve">включая </w:t>
            </w:r>
            <w:r w:rsidRPr="0023526B">
              <w:rPr>
                <w:rFonts w:cstheme="minorHAnsi"/>
                <w:b/>
                <w:bCs/>
                <w:i/>
                <w:iCs/>
                <w:lang w:val="ru-RU"/>
              </w:rPr>
              <w:t>кейс-менеджмент.</w:t>
            </w:r>
            <w:r w:rsidRPr="0023526B">
              <w:rPr>
                <w:rFonts w:cstheme="minorHAnsi"/>
                <w:lang w:val="ru-RU"/>
              </w:rPr>
              <w:t xml:space="preserve"> </w:t>
            </w:r>
          </w:p>
          <w:p w14:paraId="1EB7327F" w14:textId="77777777"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rFonts w:cstheme="minorHAnsi"/>
                <w:bCs/>
                <w:lang w:val="ru-RU"/>
              </w:rPr>
            </w:pPr>
            <w:r w:rsidRPr="0023526B">
              <w:rPr>
                <w:rFonts w:cstheme="minorHAnsi"/>
                <w:bCs/>
                <w:lang w:val="ru-RU"/>
              </w:rPr>
              <w:t xml:space="preserve">Учитывая недостаточное участие НПО в аутрич-скрининге и скрининге на туберкулез необходимо </w:t>
            </w:r>
            <w:r w:rsidRPr="0023526B">
              <w:rPr>
                <w:rFonts w:cstheme="minorHAnsi"/>
                <w:b/>
                <w:lang w:val="ru-RU"/>
              </w:rPr>
              <w:t>обучение скринингу для НПО/кейс-менеджерам, а также ВИЧ сервисных организаций</w:t>
            </w:r>
            <w:r w:rsidRPr="0023526B">
              <w:rPr>
                <w:rFonts w:cstheme="minorHAnsi"/>
                <w:bCs/>
                <w:lang w:val="ru-RU"/>
              </w:rPr>
              <w:t xml:space="preserve">, вовлеченных на ТБ услуги по ТБ, сопровождение кейс-менеджеров/НПО, для расследования контактов ТБ, с определением индикатора обнаружения ТБ среди обследованных. </w:t>
            </w:r>
          </w:p>
          <w:p w14:paraId="7518E981" w14:textId="77777777"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rFonts w:cstheme="minorHAnsi"/>
                <w:bCs/>
                <w:lang w:val="ru-RU"/>
              </w:rPr>
            </w:pPr>
            <w:r w:rsidRPr="0023526B">
              <w:rPr>
                <w:rFonts w:cstheme="minorHAnsi"/>
                <w:lang w:val="ru-RU"/>
              </w:rPr>
              <w:t xml:space="preserve">Правильно качественно собранные </w:t>
            </w:r>
            <w:r w:rsidRPr="0023526B">
              <w:rPr>
                <w:rFonts w:cstheme="minorHAnsi"/>
                <w:bCs/>
                <w:lang w:val="ru-RU"/>
              </w:rPr>
              <w:t xml:space="preserve">патологические образцы является основой получения достоверного результата. На уровне ПМСП долгое время не проводились тренинги по данному вопросу. С учетом значительного расширения мероприятий по активному выявлению ТБ, </w:t>
            </w:r>
            <w:r w:rsidRPr="0023526B">
              <w:rPr>
                <w:rFonts w:cstheme="minorHAnsi"/>
                <w:b/>
                <w:lang w:val="ru-RU"/>
              </w:rPr>
              <w:t xml:space="preserve">проведение каскадных тренингов для специалистов лабораторной службы ПМСП, включая СИН по сбору </w:t>
            </w:r>
            <w:r w:rsidRPr="0023526B">
              <w:rPr>
                <w:rFonts w:cstheme="minorHAnsi"/>
                <w:lang w:val="ru-RU"/>
              </w:rPr>
              <w:t>улучшит навыки медицинского персонала</w:t>
            </w:r>
            <w:r w:rsidRPr="0023526B">
              <w:rPr>
                <w:rFonts w:cstheme="minorHAnsi"/>
                <w:bCs/>
                <w:lang w:val="ru-RU"/>
              </w:rPr>
              <w:t>.</w:t>
            </w:r>
          </w:p>
          <w:p w14:paraId="57C302FB" w14:textId="227CCE5D"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rFonts w:cstheme="minorHAnsi"/>
                <w:bCs/>
                <w:lang w:val="ru-RU"/>
              </w:rPr>
            </w:pPr>
            <w:r w:rsidRPr="0023526B">
              <w:rPr>
                <w:rFonts w:cstheme="minorHAnsi"/>
                <w:bCs/>
                <w:lang w:val="ru-RU"/>
              </w:rPr>
              <w:t xml:space="preserve">Профилактическое лечение в стране не осуществляется должным образом, так как организации здравоохранения не ведут учет лиц, получивших и завершивших профилактическое лечение, еще не внедрены эффективные краткосрочные режимы профилактического лечения туберкулеза (ПЛТ). Из-за слабого вовлечения других министерств, ведомств и органов местного самоуправления (ОМСУ) по выполнению обязательств, предусмотренных законом КР «Об общественном здравоохранении» (№248, от 24.07.2009 г.) работа по профилактике, выявлению, диагностике, лечению и социальному сопровождению больных туберкулезом проводится не на должном уровне. НТП разработано КР/КП по туберкулезной инфекции (2023 г.), где предусмотрены новые краткосрочные режимы ПЛТ. Министерство здравоохранения внедрит новые режимы ПЛТ для определенных категорий населения. Также предусматриваются меры по обеспечению поддержки и сопровождения во время приема препаратов ПЛТ и успешного его завершения, эффективного взаимодействия различных структур системы здравоохранения по учету лиц, взятых на профилактическое лечение, и мониторинг. </w:t>
            </w:r>
            <w:r w:rsidR="005B166B" w:rsidRPr="005B166B">
              <w:rPr>
                <w:lang w:val="ru-RU"/>
              </w:rPr>
              <w:t xml:space="preserve"> </w:t>
            </w:r>
            <w:r w:rsidR="005B166B" w:rsidRPr="005B166B">
              <w:rPr>
                <w:rFonts w:cstheme="minorHAnsi"/>
                <w:bCs/>
                <w:lang w:val="ru-RU"/>
              </w:rPr>
              <w:t xml:space="preserve">Имеется регистрация необходимых </w:t>
            </w:r>
            <w:r w:rsidR="005B166B" w:rsidRPr="005B166B">
              <w:rPr>
                <w:rFonts w:cstheme="minorHAnsi"/>
                <w:bCs/>
                <w:lang w:val="ru-RU"/>
              </w:rPr>
              <w:lastRenderedPageBreak/>
              <w:t>препаратов для профилактического лечения (HR), разработаны механизмы их закупки за счет средств республиканского бюджета, кроме рифапентина, который планируется зарегистрировать в 2023 году в комб</w:t>
            </w:r>
            <w:r w:rsidR="005B166B">
              <w:rPr>
                <w:rFonts w:cstheme="minorHAnsi"/>
                <w:bCs/>
                <w:lang w:val="ru-RU"/>
              </w:rPr>
              <w:t>инированной  форме (300/300мг)</w:t>
            </w:r>
            <w:r w:rsidRPr="0023526B">
              <w:rPr>
                <w:rFonts w:eastAsia="Tahoma" w:cstheme="minorHAnsi"/>
                <w:bCs/>
                <w:color w:val="000000" w:themeColor="text1"/>
                <w:lang w:val="ky-KG"/>
              </w:rPr>
              <w:t xml:space="preserve">. </w:t>
            </w:r>
            <w:r w:rsidRPr="0023526B">
              <w:rPr>
                <w:rFonts w:cstheme="minorHAnsi"/>
                <w:lang w:val="ru-RU"/>
              </w:rPr>
              <w:t>Планируется</w:t>
            </w:r>
            <w:r w:rsidRPr="0023526B">
              <w:rPr>
                <w:rFonts w:cstheme="minorHAnsi"/>
                <w:b/>
                <w:lang w:val="ru-RU"/>
              </w:rPr>
              <w:t xml:space="preserve"> обеспечить ПЛТ лиц из очагов контакта по туберкулезу.</w:t>
            </w:r>
            <w:r w:rsidRPr="0023526B">
              <w:rPr>
                <w:rFonts w:cstheme="minorHAnsi"/>
                <w:bCs/>
                <w:lang w:val="ru-RU"/>
              </w:rPr>
              <w:t xml:space="preserve"> За счет средств ГФ будет закуплен рифапентин для лечения 150, 300 и 400 контактных из расчета 900, 1</w:t>
            </w:r>
            <w:r w:rsidR="008F7521" w:rsidRPr="0023526B">
              <w:rPr>
                <w:rFonts w:cstheme="minorHAnsi"/>
                <w:bCs/>
                <w:lang w:val="ru-RU"/>
              </w:rPr>
              <w:t>,</w:t>
            </w:r>
            <w:r w:rsidRPr="0023526B">
              <w:rPr>
                <w:rFonts w:cstheme="minorHAnsi"/>
                <w:bCs/>
                <w:lang w:val="ru-RU"/>
              </w:rPr>
              <w:t>200 и 1</w:t>
            </w:r>
            <w:r w:rsidR="008F7521" w:rsidRPr="0023526B">
              <w:rPr>
                <w:rFonts w:cstheme="minorHAnsi"/>
                <w:bCs/>
                <w:lang w:val="ru-RU"/>
              </w:rPr>
              <w:t>,</w:t>
            </w:r>
            <w:r w:rsidRPr="0023526B">
              <w:rPr>
                <w:rFonts w:cstheme="minorHAnsi"/>
                <w:bCs/>
                <w:lang w:val="ru-RU"/>
              </w:rPr>
              <w:t>500 (включая детей) в 2024–2026 гг., соответственно.</w:t>
            </w:r>
          </w:p>
          <w:p w14:paraId="6F56409B" w14:textId="2A1D1906"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rFonts w:cstheme="minorHAnsi"/>
                <w:bCs/>
                <w:lang w:val="ru-RU"/>
              </w:rPr>
            </w:pPr>
            <w:r w:rsidRPr="0023526B">
              <w:rPr>
                <w:rFonts w:cstheme="minorHAnsi"/>
                <w:bCs/>
                <w:lang w:val="ru-RU"/>
              </w:rPr>
              <w:t>Важной особенностью в КР является низкая мотивация людей к получению ПЛТ. До 2023 года в КР вопросы ведения случаев с ТБИ касались только детского населения. По отчетным данным НЦФ за 2020-2021 годы из 14</w:t>
            </w:r>
            <w:r w:rsidR="00836E4F" w:rsidRPr="0023526B">
              <w:rPr>
                <w:rFonts w:cstheme="minorHAnsi"/>
                <w:bCs/>
                <w:lang w:val="ru-RU"/>
              </w:rPr>
              <w:t>,</w:t>
            </w:r>
            <w:r w:rsidRPr="0023526B">
              <w:rPr>
                <w:rFonts w:cstheme="minorHAnsi"/>
                <w:bCs/>
                <w:lang w:val="ru-RU"/>
              </w:rPr>
              <w:t xml:space="preserve">000 контактных лиц получили профилактическое лечение только 301-307 детей. Поэтому в 1-й год реализации проекта планируется исследование </w:t>
            </w:r>
            <w:r w:rsidRPr="0023526B">
              <w:rPr>
                <w:rFonts w:cstheme="minorHAnsi"/>
                <w:b/>
                <w:bCs/>
                <w:lang w:val="ru-RU"/>
              </w:rPr>
              <w:t>KAP для выявления основных поведенческих барьеров, препятствующих расширению</w:t>
            </w:r>
            <w:r w:rsidRPr="0023526B">
              <w:rPr>
                <w:rFonts w:cstheme="minorHAnsi"/>
                <w:bCs/>
                <w:lang w:val="ru-RU"/>
              </w:rPr>
              <w:t xml:space="preserve"> применения ПЛТ.</w:t>
            </w:r>
          </w:p>
          <w:p w14:paraId="5AF969F3" w14:textId="77777777"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rFonts w:cstheme="minorHAnsi"/>
                <w:bCs/>
                <w:lang w:val="ru-RU"/>
              </w:rPr>
            </w:pPr>
            <w:r w:rsidRPr="0023526B">
              <w:rPr>
                <w:rFonts w:cstheme="minorHAnsi"/>
                <w:bCs/>
                <w:lang w:val="ru-RU"/>
              </w:rPr>
              <w:t>Расширение доступа к современным лабораторным и инструментальным исследованиям и обеспечение качества диагностики является важным приоритетом Национальной Программы ТБ-</w:t>
            </w:r>
            <w:r w:rsidRPr="0023526B">
              <w:rPr>
                <w:rFonts w:cstheme="minorHAnsi"/>
                <w:bCs/>
              </w:rPr>
              <w:t>VI</w:t>
            </w:r>
            <w:r w:rsidRPr="0023526B">
              <w:rPr>
                <w:rFonts w:cstheme="minorHAnsi"/>
                <w:bCs/>
                <w:lang w:val="ru-RU"/>
              </w:rPr>
              <w:t xml:space="preserve">. </w:t>
            </w:r>
          </w:p>
          <w:p w14:paraId="2D6281FE" w14:textId="62F6579D"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rFonts w:cstheme="minorHAnsi"/>
                <w:bCs/>
                <w:lang w:val="ru-RU"/>
              </w:rPr>
            </w:pPr>
            <w:r w:rsidRPr="0023526B">
              <w:rPr>
                <w:rFonts w:cstheme="minorHAnsi"/>
                <w:bCs/>
                <w:lang w:val="ru-RU"/>
              </w:rPr>
              <w:t xml:space="preserve">В стране впервые были закуплены 11 </w:t>
            </w:r>
            <w:r w:rsidRPr="0023526B">
              <w:rPr>
                <w:rFonts w:cstheme="minorHAnsi"/>
                <w:bCs/>
              </w:rPr>
              <w:t>Xpert</w:t>
            </w:r>
            <w:r w:rsidRPr="0023526B">
              <w:rPr>
                <w:rFonts w:cstheme="minorHAnsi"/>
                <w:bCs/>
                <w:lang w:val="ru-RU"/>
              </w:rPr>
              <w:t xml:space="preserve"> платформ в 2008-2011 годах, затем несколько других. В целом по стране имеются 25 платформ (среди них 2-х модульных платформ 8, а остальные – 4-х модульные). Всего 84 модулей. В 2023 году </w:t>
            </w:r>
            <w:r w:rsidRPr="0023526B">
              <w:rPr>
                <w:rFonts w:cstheme="minorHAnsi"/>
                <w:bCs/>
              </w:rPr>
              <w:t>USAID</w:t>
            </w:r>
            <w:r w:rsidRPr="0023526B">
              <w:rPr>
                <w:rFonts w:cstheme="minorHAnsi"/>
                <w:bCs/>
                <w:lang w:val="ru-RU"/>
              </w:rPr>
              <w:t xml:space="preserve"> </w:t>
            </w:r>
            <w:r w:rsidRPr="0023526B">
              <w:rPr>
                <w:rFonts w:cstheme="minorHAnsi"/>
                <w:bCs/>
              </w:rPr>
              <w:t>Cure</w:t>
            </w:r>
            <w:r w:rsidRPr="0023526B">
              <w:rPr>
                <w:rFonts w:cstheme="minorHAnsi"/>
                <w:bCs/>
                <w:lang w:val="ru-RU"/>
              </w:rPr>
              <w:t xml:space="preserve"> </w:t>
            </w:r>
            <w:r w:rsidRPr="0023526B">
              <w:rPr>
                <w:rFonts w:cstheme="minorHAnsi"/>
                <w:bCs/>
              </w:rPr>
              <w:t>TB</w:t>
            </w:r>
            <w:r w:rsidRPr="0023526B">
              <w:rPr>
                <w:rFonts w:cstheme="minorHAnsi"/>
                <w:bCs/>
                <w:lang w:val="ru-RU"/>
              </w:rPr>
              <w:t xml:space="preserve"> закупает еще 5 дополнительных платформ, оснащенных 10-цветовыми модулями, что позволяет проводить тестирование картриджами Xpert </w:t>
            </w:r>
            <w:r w:rsidRPr="0023526B">
              <w:rPr>
                <w:rFonts w:cstheme="minorHAnsi"/>
              </w:rPr>
              <w:t>XDR</w:t>
            </w:r>
            <w:r w:rsidRPr="0023526B">
              <w:rPr>
                <w:rFonts w:cstheme="minorHAnsi"/>
                <w:lang w:val="ru-RU"/>
              </w:rPr>
              <w:t>.</w:t>
            </w:r>
            <w:r w:rsidRPr="0023526B">
              <w:rPr>
                <w:rFonts w:cstheme="minorHAnsi"/>
                <w:bCs/>
                <w:lang w:val="ru-RU"/>
              </w:rPr>
              <w:t xml:space="preserve"> Часть старых модулей вышли из строя, часть нуждаются в замене/обновлении. </w:t>
            </w:r>
          </w:p>
          <w:p w14:paraId="3721CAA3" w14:textId="77777777"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rFonts w:cstheme="minorHAnsi"/>
                <w:b/>
                <w:lang w:val="ru-RU"/>
              </w:rPr>
            </w:pPr>
            <w:r w:rsidRPr="0023526B">
              <w:rPr>
                <w:rFonts w:cstheme="minorHAnsi"/>
                <w:bCs/>
                <w:lang w:val="ru-RU"/>
              </w:rPr>
              <w:t xml:space="preserve">Для улучшения охвата </w:t>
            </w:r>
            <w:r w:rsidRPr="0023526B">
              <w:rPr>
                <w:rFonts w:cstheme="minorHAnsi"/>
                <w:b/>
                <w:lang w:val="ru-RU"/>
              </w:rPr>
              <w:t xml:space="preserve">диагностики туберкулеза с использованием инструментов быстрой молекулярной диагностики </w:t>
            </w:r>
            <w:r w:rsidRPr="0023526B">
              <w:rPr>
                <w:rFonts w:cstheme="minorHAnsi"/>
                <w:bCs/>
                <w:lang w:val="ru-RU"/>
              </w:rPr>
              <w:t>(</w:t>
            </w:r>
            <w:r w:rsidRPr="0023526B">
              <w:rPr>
                <w:rFonts w:cstheme="minorHAnsi"/>
                <w:bCs/>
              </w:rPr>
              <w:t>GeneXpert</w:t>
            </w:r>
            <w:r w:rsidRPr="0023526B">
              <w:rPr>
                <w:rFonts w:cstheme="minorHAnsi"/>
                <w:bCs/>
                <w:lang w:val="ru-RU"/>
              </w:rPr>
              <w:t xml:space="preserve">) необходимы:  </w:t>
            </w:r>
          </w:p>
          <w:p w14:paraId="26678F21" w14:textId="68B2EA7B" w:rsidR="000A67C7" w:rsidRPr="0023526B" w:rsidRDefault="000A67C7" w:rsidP="000A67C7">
            <w:pPr>
              <w:spacing w:after="0"/>
              <w:jc w:val="both"/>
              <w:cnfStyle w:val="000000100000" w:firstRow="0" w:lastRow="0" w:firstColumn="0" w:lastColumn="0" w:oddVBand="0" w:evenVBand="0" w:oddHBand="1" w:evenHBand="0" w:firstRowFirstColumn="0" w:firstRowLastColumn="0" w:lastRowFirstColumn="0" w:lastRowLastColumn="0"/>
              <w:rPr>
                <w:rFonts w:cstheme="minorHAnsi"/>
                <w:lang w:val="ru-RU"/>
              </w:rPr>
            </w:pPr>
            <w:r w:rsidRPr="0023526B">
              <w:rPr>
                <w:rFonts w:cstheme="minorHAnsi"/>
                <w:lang w:val="ru-RU"/>
              </w:rPr>
              <w:t xml:space="preserve">- Расширение применения </w:t>
            </w:r>
            <w:r w:rsidRPr="0023526B">
              <w:rPr>
                <w:rFonts w:cstheme="minorHAnsi"/>
              </w:rPr>
              <w:t>Xpert</w:t>
            </w:r>
            <w:r w:rsidRPr="0023526B">
              <w:rPr>
                <w:rFonts w:cstheme="minorHAnsi"/>
                <w:lang w:val="ru-RU"/>
              </w:rPr>
              <w:t xml:space="preserve"> </w:t>
            </w:r>
            <w:r w:rsidRPr="0023526B">
              <w:rPr>
                <w:rFonts w:cstheme="minorHAnsi"/>
              </w:rPr>
              <w:t>Ultra</w:t>
            </w:r>
            <w:r w:rsidRPr="0023526B">
              <w:rPr>
                <w:rFonts w:cstheme="minorHAnsi"/>
                <w:lang w:val="ru-RU"/>
              </w:rPr>
              <w:t xml:space="preserve"> в качестве первоначального теста для всех лиц с симптомами ТБ и увеличением количества проводимых тестов в абсолютном выражении.</w:t>
            </w:r>
          </w:p>
          <w:p w14:paraId="6DEABC81" w14:textId="31C691B7"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rFonts w:cstheme="minorHAnsi"/>
                <w:lang w:val="ru-RU"/>
              </w:rPr>
            </w:pPr>
            <w:r w:rsidRPr="0023526B">
              <w:rPr>
                <w:rFonts w:cstheme="minorHAnsi"/>
                <w:lang w:val="ru-RU"/>
              </w:rPr>
              <w:t xml:space="preserve">- Обновление аппаратов </w:t>
            </w:r>
            <w:r w:rsidRPr="0023526B">
              <w:rPr>
                <w:rFonts w:cstheme="minorHAnsi"/>
              </w:rPr>
              <w:t>GeneXpert</w:t>
            </w:r>
            <w:r w:rsidRPr="0023526B">
              <w:rPr>
                <w:rFonts w:cstheme="minorHAnsi"/>
                <w:lang w:val="ru-RU"/>
              </w:rPr>
              <w:t xml:space="preserve"> с 6-цветовыми модулями на 10-цветовые с целью децентрализация ТЛЧ к фторхинолонам и изониазиду во всех центрах тестирования </w:t>
            </w:r>
            <w:r w:rsidRPr="0023526B">
              <w:rPr>
                <w:rFonts w:cstheme="minorHAnsi"/>
              </w:rPr>
              <w:t>Xpert</w:t>
            </w:r>
            <w:r w:rsidRPr="0023526B">
              <w:rPr>
                <w:rFonts w:cstheme="minorHAnsi"/>
                <w:lang w:val="ru-RU"/>
              </w:rPr>
              <w:t xml:space="preserve">: апгрейд 18 аппаратов с 4-мя модулями для региональных центров (72 модуля) и 7 аппаратов с 2-мя модулями (14 модулей) с одновременным обновлением компьютеров с </w:t>
            </w:r>
            <w:r w:rsidRPr="0023526B">
              <w:rPr>
                <w:rFonts w:cstheme="minorHAnsi"/>
              </w:rPr>
              <w:t>WIN</w:t>
            </w:r>
            <w:r w:rsidRPr="0023526B">
              <w:rPr>
                <w:rFonts w:cstheme="minorHAnsi"/>
                <w:lang w:val="ru-RU"/>
              </w:rPr>
              <w:t xml:space="preserve">7 на </w:t>
            </w:r>
            <w:r w:rsidRPr="0023526B">
              <w:rPr>
                <w:rFonts w:cstheme="minorHAnsi"/>
              </w:rPr>
              <w:t>WIN</w:t>
            </w:r>
            <w:r w:rsidRPr="0023526B">
              <w:rPr>
                <w:rFonts w:cstheme="minorHAnsi"/>
                <w:lang w:val="ru-RU"/>
              </w:rPr>
              <w:t>10, а также расширенная 3х-летняя гарантия, замена модулей по результатам калибровки (28 модулей во второй и третий год). Дополнительно</w:t>
            </w:r>
            <w:r w:rsidR="00191D41" w:rsidRPr="0023526B">
              <w:rPr>
                <w:rFonts w:cstheme="minorHAnsi"/>
                <w:lang w:val="ru-RU"/>
              </w:rPr>
              <w:t>,</w:t>
            </w:r>
            <w:r w:rsidRPr="0023526B">
              <w:rPr>
                <w:rFonts w:cstheme="minorHAnsi"/>
                <w:lang w:val="ru-RU"/>
              </w:rPr>
              <w:t xml:space="preserve"> при наличии средств</w:t>
            </w:r>
            <w:r w:rsidR="00191D41" w:rsidRPr="0023526B">
              <w:rPr>
                <w:rFonts w:cstheme="minorHAnsi"/>
                <w:lang w:val="ru-RU"/>
              </w:rPr>
              <w:t>,</w:t>
            </w:r>
            <w:r w:rsidRPr="0023526B">
              <w:rPr>
                <w:rFonts w:cstheme="minorHAnsi"/>
                <w:lang w:val="ru-RU"/>
              </w:rPr>
              <w:t xml:space="preserve"> планируется пилотирование в ряде регионов альтернативного метода экспресс-диагностики, рекомендованного ВОЗ </w:t>
            </w:r>
            <w:r w:rsidRPr="0023526B">
              <w:rPr>
                <w:rFonts w:cstheme="minorHAnsi"/>
              </w:rPr>
              <w:t>Truenat</w:t>
            </w:r>
            <w:r w:rsidRPr="0023526B">
              <w:rPr>
                <w:rFonts w:cstheme="minorHAnsi"/>
                <w:lang w:val="ru-RU"/>
              </w:rPr>
              <w:t xml:space="preserve"> (</w:t>
            </w:r>
            <w:r w:rsidRPr="0023526B">
              <w:rPr>
                <w:rFonts w:cstheme="minorHAnsi"/>
              </w:rPr>
              <w:t>PAAR</w:t>
            </w:r>
            <w:r w:rsidRPr="0023526B">
              <w:rPr>
                <w:rFonts w:cstheme="minorHAnsi"/>
                <w:lang w:val="ru-RU"/>
              </w:rPr>
              <w:t xml:space="preserve">). </w:t>
            </w:r>
          </w:p>
          <w:p w14:paraId="614E80B2" w14:textId="77777777"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rFonts w:cstheme="minorHAnsi"/>
                <w:lang w:val="ru-RU"/>
              </w:rPr>
            </w:pPr>
            <w:r w:rsidRPr="0023526B">
              <w:rPr>
                <w:rFonts w:cstheme="minorHAnsi"/>
                <w:bCs/>
                <w:lang w:val="ru-RU"/>
              </w:rPr>
              <w:t xml:space="preserve">Предоставление населению </w:t>
            </w:r>
            <w:r w:rsidRPr="0023526B">
              <w:rPr>
                <w:rFonts w:cstheme="minorHAnsi"/>
                <w:b/>
                <w:bCs/>
                <w:lang w:val="ru-RU"/>
              </w:rPr>
              <w:t>использования быстрой молекулярной диагностики (</w:t>
            </w:r>
            <w:r w:rsidRPr="0023526B">
              <w:rPr>
                <w:rFonts w:cstheme="minorHAnsi"/>
                <w:b/>
                <w:bCs/>
              </w:rPr>
              <w:t>Xpert</w:t>
            </w:r>
            <w:r w:rsidRPr="0023526B">
              <w:rPr>
                <w:rFonts w:cstheme="minorHAnsi"/>
                <w:b/>
                <w:bCs/>
                <w:lang w:val="ru-RU"/>
              </w:rPr>
              <w:t xml:space="preserve"> </w:t>
            </w:r>
            <w:r w:rsidRPr="0023526B">
              <w:rPr>
                <w:rFonts w:cstheme="minorHAnsi"/>
                <w:b/>
                <w:bCs/>
              </w:rPr>
              <w:t>XDR</w:t>
            </w:r>
            <w:r w:rsidRPr="0023526B">
              <w:rPr>
                <w:rFonts w:cstheme="minorHAnsi"/>
                <w:lang w:val="ru-RU"/>
              </w:rPr>
              <w:t xml:space="preserve">, </w:t>
            </w:r>
            <w:r w:rsidRPr="0023526B">
              <w:rPr>
                <w:rFonts w:cstheme="minorHAnsi"/>
                <w:b/>
                <w:bCs/>
              </w:rPr>
              <w:t>LPA</w:t>
            </w:r>
            <w:r w:rsidRPr="0023526B">
              <w:rPr>
                <w:rFonts w:cstheme="minorHAnsi"/>
                <w:b/>
                <w:bCs/>
                <w:lang w:val="ru-RU"/>
              </w:rPr>
              <w:t xml:space="preserve"> для противотуберкулезных препаратов 1-го и 2-го рядов, культуральные тесты и ТЛЧ, включая к новым препаратам) в децентрализованных условиях </w:t>
            </w:r>
            <w:r w:rsidRPr="0023526B">
              <w:rPr>
                <w:rFonts w:cstheme="minorHAnsi"/>
                <w:bCs/>
                <w:lang w:val="ru-RU"/>
              </w:rPr>
              <w:t>обеспечит качество диагностики и проведение адекватной терапии по результатам ТЛЧ</w:t>
            </w:r>
            <w:r w:rsidRPr="0023526B">
              <w:rPr>
                <w:rFonts w:cstheme="minorHAnsi"/>
                <w:b/>
                <w:bCs/>
                <w:lang w:val="ru-RU"/>
              </w:rPr>
              <w:t xml:space="preserve">. Закупка и распределение оборудования, реагентов и наборов для ТЛЧ </w:t>
            </w:r>
            <w:r w:rsidRPr="0023526B">
              <w:rPr>
                <w:rFonts w:cstheme="minorHAnsi"/>
                <w:bCs/>
                <w:lang w:val="ru-RU"/>
              </w:rPr>
              <w:t>обеспечит непрерывность диагностической работы</w:t>
            </w:r>
            <w:r w:rsidRPr="0023526B">
              <w:rPr>
                <w:rFonts w:cstheme="minorHAnsi"/>
                <w:b/>
                <w:bCs/>
                <w:lang w:val="ru-RU"/>
              </w:rPr>
              <w:t>.</w:t>
            </w:r>
          </w:p>
          <w:p w14:paraId="1BAC12CB" w14:textId="77777777"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rFonts w:cstheme="minorHAnsi"/>
                <w:lang w:val="ru-RU"/>
              </w:rPr>
            </w:pPr>
            <w:r w:rsidRPr="0023526B">
              <w:rPr>
                <w:rFonts w:cstheme="minorHAnsi"/>
                <w:bCs/>
                <w:lang w:val="ru-RU"/>
              </w:rPr>
              <w:t xml:space="preserve">Учитывая постепенное расширение государственного финансирования программ ТБ за счет средств госбюджета будут покрываться затраты на приобретение реагентов и расходных материалов для проведения микроскопических исследования </w:t>
            </w:r>
            <w:r w:rsidRPr="0023526B">
              <w:rPr>
                <w:rFonts w:cstheme="minorHAnsi"/>
                <w:bCs/>
                <w:lang w:val="ru-RU"/>
              </w:rPr>
              <w:lastRenderedPageBreak/>
              <w:t>(за исключением аурамина), а также СИЗ и другие расходные материалы, которые присутствуют на местном рынке, включая ремонт и проф. обслуживание оборудования ТБ лабораторий.</w:t>
            </w:r>
          </w:p>
          <w:p w14:paraId="3359BF54" w14:textId="34609F72"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rFonts w:cstheme="minorHAnsi"/>
                <w:lang w:val="ru-RU"/>
              </w:rPr>
            </w:pPr>
            <w:r w:rsidRPr="0023526B">
              <w:rPr>
                <w:rFonts w:cstheme="minorHAnsi"/>
                <w:lang w:val="ru-RU"/>
              </w:rPr>
              <w:t>Для</w:t>
            </w:r>
            <w:r w:rsidRPr="0023526B">
              <w:rPr>
                <w:rFonts w:cstheme="minorHAnsi"/>
                <w:b/>
                <w:bCs/>
                <w:lang w:val="ru-RU"/>
              </w:rPr>
              <w:t xml:space="preserve"> </w:t>
            </w:r>
            <w:r w:rsidRPr="0023526B">
              <w:rPr>
                <w:rFonts w:cstheme="minorHAnsi"/>
                <w:lang w:val="ru-RU"/>
              </w:rPr>
              <w:t>расширения функциональной возможности НРЛ по проведению ТЛЧ и мониторингу лечения</w:t>
            </w:r>
            <w:r w:rsidR="00191D41" w:rsidRPr="0023526B">
              <w:rPr>
                <w:rFonts w:cstheme="minorHAnsi"/>
                <w:lang w:val="ru-RU"/>
              </w:rPr>
              <w:t>, в случае наличия дополнительных средств,</w:t>
            </w:r>
            <w:r w:rsidRPr="0023526B">
              <w:rPr>
                <w:rFonts w:cstheme="minorHAnsi"/>
                <w:lang w:val="ru-RU"/>
              </w:rPr>
              <w:t xml:space="preserve"> в соответствии с новым лечебно-диагностическим алгоритмом будет установлен дополнительный отсек для НРЛ. </w:t>
            </w:r>
          </w:p>
          <w:p w14:paraId="150DBB3B" w14:textId="77777777"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rFonts w:cstheme="minorHAnsi"/>
                <w:lang w:val="ru-RU"/>
              </w:rPr>
            </w:pPr>
            <w:r w:rsidRPr="0023526B">
              <w:rPr>
                <w:rFonts w:cstheme="minorHAnsi"/>
                <w:lang w:val="ru-RU"/>
              </w:rPr>
              <w:t>Планирование по количеству лабораторных тестов по типу.</w:t>
            </w:r>
          </w:p>
          <w:tbl>
            <w:tblPr>
              <w:tblStyle w:val="afc"/>
              <w:tblW w:w="0" w:type="auto"/>
              <w:tblLook w:val="04A0" w:firstRow="1" w:lastRow="0" w:firstColumn="1" w:lastColumn="0" w:noHBand="0" w:noVBand="1"/>
            </w:tblPr>
            <w:tblGrid>
              <w:gridCol w:w="2427"/>
              <w:gridCol w:w="1134"/>
              <w:gridCol w:w="1134"/>
              <w:gridCol w:w="1134"/>
              <w:gridCol w:w="1134"/>
            </w:tblGrid>
            <w:tr w:rsidR="000A67C7" w:rsidRPr="00A26916" w14:paraId="7813EA65" w14:textId="77777777" w:rsidTr="00D123BA">
              <w:tc>
                <w:tcPr>
                  <w:tcW w:w="2427" w:type="dxa"/>
                </w:tcPr>
                <w:p w14:paraId="4AD4855F" w14:textId="77777777" w:rsidR="000A67C7" w:rsidRPr="00F57B06" w:rsidRDefault="000A67C7" w:rsidP="00A26916">
                  <w:pPr>
                    <w:pStyle w:val="af1"/>
                    <w:framePr w:hSpace="181" w:wrap="around" w:vAnchor="page" w:hAnchor="margin" w:y="1162"/>
                    <w:spacing w:after="0"/>
                    <w:ind w:left="0"/>
                    <w:jc w:val="both"/>
                    <w:rPr>
                      <w:b/>
                      <w:bCs/>
                      <w:sz w:val="24"/>
                      <w:szCs w:val="24"/>
                      <w:lang w:val="ru-RU"/>
                    </w:rPr>
                  </w:pPr>
                  <w:r>
                    <w:rPr>
                      <w:b/>
                      <w:bCs/>
                      <w:sz w:val="24"/>
                      <w:szCs w:val="24"/>
                      <w:lang w:val="ru-RU"/>
                    </w:rPr>
                    <w:t>Тип теста</w:t>
                  </w:r>
                </w:p>
              </w:tc>
              <w:tc>
                <w:tcPr>
                  <w:tcW w:w="1134" w:type="dxa"/>
                </w:tcPr>
                <w:p w14:paraId="560D7D87" w14:textId="77777777" w:rsidR="000A67C7" w:rsidRDefault="000A67C7" w:rsidP="00A26916">
                  <w:pPr>
                    <w:pStyle w:val="af1"/>
                    <w:framePr w:hSpace="181" w:wrap="around" w:vAnchor="page" w:hAnchor="margin" w:y="1162"/>
                    <w:spacing w:after="0"/>
                    <w:ind w:left="0"/>
                    <w:jc w:val="center"/>
                    <w:rPr>
                      <w:b/>
                      <w:bCs/>
                      <w:sz w:val="24"/>
                      <w:szCs w:val="24"/>
                      <w:lang w:val="ru-RU"/>
                    </w:rPr>
                  </w:pPr>
                  <w:r>
                    <w:rPr>
                      <w:b/>
                      <w:bCs/>
                      <w:sz w:val="24"/>
                      <w:szCs w:val="24"/>
                      <w:lang w:val="ru-RU"/>
                    </w:rPr>
                    <w:t>2024</w:t>
                  </w:r>
                </w:p>
              </w:tc>
              <w:tc>
                <w:tcPr>
                  <w:tcW w:w="1134" w:type="dxa"/>
                </w:tcPr>
                <w:p w14:paraId="5E959316" w14:textId="77777777" w:rsidR="000A67C7" w:rsidRDefault="000A67C7" w:rsidP="00A26916">
                  <w:pPr>
                    <w:pStyle w:val="af1"/>
                    <w:framePr w:hSpace="181" w:wrap="around" w:vAnchor="page" w:hAnchor="margin" w:y="1162"/>
                    <w:spacing w:after="0"/>
                    <w:ind w:left="0"/>
                    <w:jc w:val="center"/>
                    <w:rPr>
                      <w:b/>
                      <w:bCs/>
                      <w:sz w:val="24"/>
                      <w:szCs w:val="24"/>
                      <w:lang w:val="ru-RU"/>
                    </w:rPr>
                  </w:pPr>
                  <w:r>
                    <w:rPr>
                      <w:b/>
                      <w:bCs/>
                      <w:sz w:val="24"/>
                      <w:szCs w:val="24"/>
                      <w:lang w:val="ru-RU"/>
                    </w:rPr>
                    <w:t>2025</w:t>
                  </w:r>
                </w:p>
              </w:tc>
              <w:tc>
                <w:tcPr>
                  <w:tcW w:w="1134" w:type="dxa"/>
                </w:tcPr>
                <w:p w14:paraId="2B38942D" w14:textId="77777777" w:rsidR="000A67C7" w:rsidRDefault="000A67C7" w:rsidP="00A26916">
                  <w:pPr>
                    <w:pStyle w:val="af1"/>
                    <w:framePr w:hSpace="181" w:wrap="around" w:vAnchor="page" w:hAnchor="margin" w:y="1162"/>
                    <w:spacing w:after="0"/>
                    <w:ind w:left="0"/>
                    <w:jc w:val="center"/>
                    <w:rPr>
                      <w:b/>
                      <w:bCs/>
                      <w:sz w:val="24"/>
                      <w:szCs w:val="24"/>
                      <w:lang w:val="ru-RU"/>
                    </w:rPr>
                  </w:pPr>
                  <w:r>
                    <w:rPr>
                      <w:b/>
                      <w:bCs/>
                      <w:sz w:val="24"/>
                      <w:szCs w:val="24"/>
                      <w:lang w:val="ru-RU"/>
                    </w:rPr>
                    <w:t>2026</w:t>
                  </w:r>
                </w:p>
              </w:tc>
              <w:tc>
                <w:tcPr>
                  <w:tcW w:w="1134" w:type="dxa"/>
                </w:tcPr>
                <w:p w14:paraId="34994C61" w14:textId="77777777" w:rsidR="000A67C7" w:rsidRDefault="000A67C7" w:rsidP="00A26916">
                  <w:pPr>
                    <w:pStyle w:val="af1"/>
                    <w:framePr w:hSpace="181" w:wrap="around" w:vAnchor="page" w:hAnchor="margin" w:y="1162"/>
                    <w:spacing w:after="0"/>
                    <w:ind w:left="0"/>
                    <w:jc w:val="center"/>
                    <w:rPr>
                      <w:b/>
                      <w:bCs/>
                      <w:sz w:val="24"/>
                      <w:szCs w:val="24"/>
                      <w:lang w:val="ru-RU"/>
                    </w:rPr>
                  </w:pPr>
                  <w:r>
                    <w:rPr>
                      <w:b/>
                      <w:bCs/>
                      <w:sz w:val="24"/>
                      <w:szCs w:val="24"/>
                      <w:lang w:val="ru-RU"/>
                    </w:rPr>
                    <w:t>Всего</w:t>
                  </w:r>
                </w:p>
              </w:tc>
            </w:tr>
            <w:tr w:rsidR="000A67C7" w:rsidRPr="00A26916" w14:paraId="7550952D" w14:textId="77777777" w:rsidTr="00D123BA">
              <w:tc>
                <w:tcPr>
                  <w:tcW w:w="2427" w:type="dxa"/>
                </w:tcPr>
                <w:p w14:paraId="2F1417A2" w14:textId="77777777" w:rsidR="000A67C7" w:rsidRPr="00312A75" w:rsidRDefault="000A67C7" w:rsidP="00A26916">
                  <w:pPr>
                    <w:pStyle w:val="af1"/>
                    <w:framePr w:hSpace="181" w:wrap="around" w:vAnchor="page" w:hAnchor="margin" w:y="1162"/>
                    <w:spacing w:after="0"/>
                    <w:ind w:left="0"/>
                    <w:jc w:val="both"/>
                    <w:rPr>
                      <w:sz w:val="24"/>
                      <w:szCs w:val="24"/>
                      <w:lang w:val="ru-RU"/>
                    </w:rPr>
                  </w:pPr>
                  <w:r w:rsidRPr="00601FFA">
                    <w:rPr>
                      <w:sz w:val="24"/>
                      <w:szCs w:val="24"/>
                    </w:rPr>
                    <w:t>Xpert</w:t>
                  </w:r>
                  <w:r w:rsidRPr="00312A75">
                    <w:rPr>
                      <w:sz w:val="24"/>
                      <w:szCs w:val="24"/>
                      <w:lang w:val="ru-RU"/>
                    </w:rPr>
                    <w:t xml:space="preserve"> </w:t>
                  </w:r>
                  <w:r w:rsidRPr="00601FFA">
                    <w:rPr>
                      <w:sz w:val="24"/>
                      <w:szCs w:val="24"/>
                    </w:rPr>
                    <w:t>Ultra</w:t>
                  </w:r>
                </w:p>
              </w:tc>
              <w:tc>
                <w:tcPr>
                  <w:tcW w:w="1134" w:type="dxa"/>
                </w:tcPr>
                <w:p w14:paraId="30DB6DE8" w14:textId="6F401F9E" w:rsidR="000A67C7" w:rsidRPr="00312A75" w:rsidRDefault="000A67C7" w:rsidP="00A26916">
                  <w:pPr>
                    <w:pStyle w:val="af1"/>
                    <w:framePr w:hSpace="181" w:wrap="around" w:vAnchor="page" w:hAnchor="margin" w:y="1162"/>
                    <w:spacing w:after="0"/>
                    <w:ind w:left="0"/>
                    <w:jc w:val="center"/>
                    <w:rPr>
                      <w:sz w:val="24"/>
                      <w:szCs w:val="24"/>
                      <w:lang w:val="ru-RU"/>
                    </w:rPr>
                  </w:pPr>
                  <w:r w:rsidRPr="00312A75">
                    <w:rPr>
                      <w:sz w:val="24"/>
                      <w:szCs w:val="24"/>
                      <w:lang w:val="ru-RU"/>
                    </w:rPr>
                    <w:t>25</w:t>
                  </w:r>
                  <w:r w:rsidR="00836E4F">
                    <w:rPr>
                      <w:sz w:val="24"/>
                      <w:szCs w:val="24"/>
                      <w:lang w:val="ru-RU"/>
                    </w:rPr>
                    <w:t>,</w:t>
                  </w:r>
                  <w:r w:rsidRPr="00312A75">
                    <w:rPr>
                      <w:sz w:val="24"/>
                      <w:szCs w:val="24"/>
                      <w:lang w:val="ru-RU"/>
                    </w:rPr>
                    <w:t>000</w:t>
                  </w:r>
                </w:p>
              </w:tc>
              <w:tc>
                <w:tcPr>
                  <w:tcW w:w="1134" w:type="dxa"/>
                </w:tcPr>
                <w:p w14:paraId="6D141EC4" w14:textId="3AAD5875" w:rsidR="000A67C7" w:rsidRPr="00312A75" w:rsidRDefault="000A67C7" w:rsidP="00A26916">
                  <w:pPr>
                    <w:pStyle w:val="af1"/>
                    <w:framePr w:hSpace="181" w:wrap="around" w:vAnchor="page" w:hAnchor="margin" w:y="1162"/>
                    <w:spacing w:after="0"/>
                    <w:ind w:left="0"/>
                    <w:jc w:val="center"/>
                    <w:rPr>
                      <w:sz w:val="24"/>
                      <w:szCs w:val="24"/>
                      <w:lang w:val="ru-RU"/>
                    </w:rPr>
                  </w:pPr>
                  <w:r w:rsidRPr="00312A75">
                    <w:rPr>
                      <w:sz w:val="24"/>
                      <w:szCs w:val="24"/>
                      <w:lang w:val="ru-RU"/>
                    </w:rPr>
                    <w:t>30</w:t>
                  </w:r>
                  <w:r w:rsidR="00836E4F" w:rsidRPr="007E6536">
                    <w:rPr>
                      <w:sz w:val="24"/>
                      <w:szCs w:val="24"/>
                      <w:lang w:val="ru-RU"/>
                    </w:rPr>
                    <w:t>,</w:t>
                  </w:r>
                  <w:r w:rsidRPr="00312A75">
                    <w:rPr>
                      <w:sz w:val="24"/>
                      <w:szCs w:val="24"/>
                      <w:lang w:val="ru-RU"/>
                    </w:rPr>
                    <w:t>000</w:t>
                  </w:r>
                </w:p>
              </w:tc>
              <w:tc>
                <w:tcPr>
                  <w:tcW w:w="1134" w:type="dxa"/>
                </w:tcPr>
                <w:p w14:paraId="37ED3BF7" w14:textId="4D6E56EF" w:rsidR="000A67C7" w:rsidRPr="00312A75" w:rsidRDefault="000A67C7" w:rsidP="00A26916">
                  <w:pPr>
                    <w:pStyle w:val="af1"/>
                    <w:framePr w:hSpace="181" w:wrap="around" w:vAnchor="page" w:hAnchor="margin" w:y="1162"/>
                    <w:spacing w:after="0"/>
                    <w:ind w:left="0"/>
                    <w:jc w:val="center"/>
                    <w:rPr>
                      <w:sz w:val="24"/>
                      <w:szCs w:val="24"/>
                      <w:lang w:val="ru-RU"/>
                    </w:rPr>
                  </w:pPr>
                  <w:r w:rsidRPr="00312A75">
                    <w:rPr>
                      <w:sz w:val="24"/>
                      <w:szCs w:val="24"/>
                      <w:lang w:val="ru-RU"/>
                    </w:rPr>
                    <w:t>35</w:t>
                  </w:r>
                  <w:r w:rsidR="00836E4F" w:rsidRPr="007E6536">
                    <w:rPr>
                      <w:sz w:val="24"/>
                      <w:szCs w:val="24"/>
                      <w:lang w:val="ru-RU"/>
                    </w:rPr>
                    <w:t>,</w:t>
                  </w:r>
                  <w:r w:rsidRPr="00312A75">
                    <w:rPr>
                      <w:sz w:val="24"/>
                      <w:szCs w:val="24"/>
                      <w:lang w:val="ru-RU"/>
                    </w:rPr>
                    <w:t>000</w:t>
                  </w:r>
                </w:p>
              </w:tc>
              <w:tc>
                <w:tcPr>
                  <w:tcW w:w="1134" w:type="dxa"/>
                </w:tcPr>
                <w:p w14:paraId="232248D3" w14:textId="3389F5A9" w:rsidR="000A67C7" w:rsidRPr="00312A75" w:rsidRDefault="000A67C7" w:rsidP="00A26916">
                  <w:pPr>
                    <w:pStyle w:val="af1"/>
                    <w:framePr w:hSpace="181" w:wrap="around" w:vAnchor="page" w:hAnchor="margin" w:y="1162"/>
                    <w:spacing w:after="0"/>
                    <w:ind w:left="0"/>
                    <w:jc w:val="center"/>
                    <w:rPr>
                      <w:sz w:val="24"/>
                      <w:szCs w:val="24"/>
                      <w:lang w:val="ru-RU"/>
                    </w:rPr>
                  </w:pPr>
                  <w:r w:rsidRPr="00312A75">
                    <w:rPr>
                      <w:sz w:val="24"/>
                      <w:szCs w:val="24"/>
                      <w:lang w:val="ru-RU"/>
                    </w:rPr>
                    <w:t>90</w:t>
                  </w:r>
                  <w:r w:rsidR="00836E4F" w:rsidRPr="007E6536">
                    <w:rPr>
                      <w:sz w:val="24"/>
                      <w:szCs w:val="24"/>
                      <w:lang w:val="ru-RU"/>
                    </w:rPr>
                    <w:t>,</w:t>
                  </w:r>
                  <w:r w:rsidRPr="00312A75">
                    <w:rPr>
                      <w:sz w:val="24"/>
                      <w:szCs w:val="24"/>
                      <w:lang w:val="ru-RU"/>
                    </w:rPr>
                    <w:t>000</w:t>
                  </w:r>
                </w:p>
              </w:tc>
            </w:tr>
            <w:tr w:rsidR="000A67C7" w:rsidRPr="00A26916" w14:paraId="59F29498" w14:textId="77777777" w:rsidTr="00D123BA">
              <w:tc>
                <w:tcPr>
                  <w:tcW w:w="2427" w:type="dxa"/>
                </w:tcPr>
                <w:p w14:paraId="2F77C6FA" w14:textId="77777777" w:rsidR="000A67C7" w:rsidRPr="00E442D8" w:rsidRDefault="000A67C7" w:rsidP="00A26916">
                  <w:pPr>
                    <w:pStyle w:val="af1"/>
                    <w:framePr w:hSpace="181" w:wrap="around" w:vAnchor="page" w:hAnchor="margin" w:y="1162"/>
                    <w:spacing w:after="0"/>
                    <w:ind w:left="0"/>
                    <w:jc w:val="both"/>
                    <w:rPr>
                      <w:sz w:val="24"/>
                      <w:szCs w:val="24"/>
                      <w:lang w:val="ru-RU"/>
                    </w:rPr>
                  </w:pPr>
                  <w:r w:rsidRPr="00E442D8">
                    <w:rPr>
                      <w:sz w:val="24"/>
                      <w:szCs w:val="24"/>
                    </w:rPr>
                    <w:t>Xpert</w:t>
                  </w:r>
                  <w:r w:rsidRPr="00E442D8">
                    <w:rPr>
                      <w:sz w:val="24"/>
                      <w:szCs w:val="24"/>
                      <w:lang w:val="ru-RU"/>
                    </w:rPr>
                    <w:t xml:space="preserve"> </w:t>
                  </w:r>
                  <w:r w:rsidRPr="00E442D8">
                    <w:rPr>
                      <w:sz w:val="24"/>
                      <w:szCs w:val="24"/>
                    </w:rPr>
                    <w:t>XDR</w:t>
                  </w:r>
                </w:p>
              </w:tc>
              <w:tc>
                <w:tcPr>
                  <w:tcW w:w="1134" w:type="dxa"/>
                </w:tcPr>
                <w:p w14:paraId="21192064" w14:textId="2D85CEF2" w:rsidR="000A67C7" w:rsidRPr="00E442D8" w:rsidRDefault="000A67C7" w:rsidP="00A26916">
                  <w:pPr>
                    <w:pStyle w:val="af1"/>
                    <w:framePr w:hSpace="181" w:wrap="around" w:vAnchor="page" w:hAnchor="margin" w:y="1162"/>
                    <w:spacing w:after="0"/>
                    <w:ind w:left="0"/>
                    <w:jc w:val="center"/>
                    <w:rPr>
                      <w:sz w:val="24"/>
                      <w:szCs w:val="24"/>
                      <w:lang w:val="ru-RU"/>
                    </w:rPr>
                  </w:pPr>
                  <w:r w:rsidRPr="00E442D8">
                    <w:rPr>
                      <w:sz w:val="24"/>
                      <w:szCs w:val="24"/>
                      <w:lang w:val="ru-RU"/>
                    </w:rPr>
                    <w:t>2</w:t>
                  </w:r>
                  <w:r w:rsidR="00836E4F" w:rsidRPr="007E6536">
                    <w:rPr>
                      <w:sz w:val="24"/>
                      <w:szCs w:val="24"/>
                      <w:lang w:val="ru-RU"/>
                    </w:rPr>
                    <w:t>,</w:t>
                  </w:r>
                  <w:r w:rsidRPr="00E442D8">
                    <w:rPr>
                      <w:sz w:val="24"/>
                      <w:szCs w:val="24"/>
                      <w:lang w:val="ru-RU"/>
                    </w:rPr>
                    <w:t>000</w:t>
                  </w:r>
                </w:p>
              </w:tc>
              <w:tc>
                <w:tcPr>
                  <w:tcW w:w="1134" w:type="dxa"/>
                </w:tcPr>
                <w:p w14:paraId="5BFC5F50" w14:textId="6DC7BB55" w:rsidR="000A67C7" w:rsidRPr="00E442D8" w:rsidRDefault="000A67C7" w:rsidP="00A26916">
                  <w:pPr>
                    <w:pStyle w:val="af1"/>
                    <w:framePr w:hSpace="181" w:wrap="around" w:vAnchor="page" w:hAnchor="margin" w:y="1162"/>
                    <w:spacing w:after="0"/>
                    <w:ind w:left="0"/>
                    <w:jc w:val="center"/>
                    <w:rPr>
                      <w:sz w:val="24"/>
                      <w:szCs w:val="24"/>
                      <w:lang w:val="ru-RU"/>
                    </w:rPr>
                  </w:pPr>
                  <w:r w:rsidRPr="00E442D8">
                    <w:rPr>
                      <w:sz w:val="24"/>
                      <w:szCs w:val="24"/>
                      <w:lang w:val="ru-RU"/>
                    </w:rPr>
                    <w:t>2</w:t>
                  </w:r>
                  <w:r w:rsidR="00836E4F" w:rsidRPr="007E6536">
                    <w:rPr>
                      <w:sz w:val="24"/>
                      <w:szCs w:val="24"/>
                      <w:lang w:val="ru-RU"/>
                    </w:rPr>
                    <w:t>,</w:t>
                  </w:r>
                  <w:r w:rsidRPr="00E442D8">
                    <w:rPr>
                      <w:sz w:val="24"/>
                      <w:szCs w:val="24"/>
                      <w:lang w:val="ru-RU"/>
                    </w:rPr>
                    <w:t>750</w:t>
                  </w:r>
                </w:p>
              </w:tc>
              <w:tc>
                <w:tcPr>
                  <w:tcW w:w="1134" w:type="dxa"/>
                </w:tcPr>
                <w:p w14:paraId="7BE168BC" w14:textId="72A8A806" w:rsidR="000A67C7" w:rsidRPr="00E442D8" w:rsidRDefault="000A67C7" w:rsidP="00A26916">
                  <w:pPr>
                    <w:pStyle w:val="af1"/>
                    <w:framePr w:hSpace="181" w:wrap="around" w:vAnchor="page" w:hAnchor="margin" w:y="1162"/>
                    <w:spacing w:after="0"/>
                    <w:ind w:left="0"/>
                    <w:jc w:val="center"/>
                    <w:rPr>
                      <w:sz w:val="24"/>
                      <w:szCs w:val="24"/>
                      <w:lang w:val="ru-RU"/>
                    </w:rPr>
                  </w:pPr>
                  <w:r w:rsidRPr="00E442D8">
                    <w:rPr>
                      <w:sz w:val="24"/>
                      <w:szCs w:val="24"/>
                      <w:lang w:val="ru-RU"/>
                    </w:rPr>
                    <w:t>2</w:t>
                  </w:r>
                  <w:r w:rsidR="00836E4F" w:rsidRPr="007E6536">
                    <w:rPr>
                      <w:sz w:val="24"/>
                      <w:szCs w:val="24"/>
                      <w:lang w:val="ru-RU"/>
                    </w:rPr>
                    <w:t>,</w:t>
                  </w:r>
                  <w:r w:rsidRPr="00E442D8">
                    <w:rPr>
                      <w:sz w:val="24"/>
                      <w:szCs w:val="24"/>
                      <w:lang w:val="ru-RU"/>
                    </w:rPr>
                    <w:t>750</w:t>
                  </w:r>
                </w:p>
              </w:tc>
              <w:tc>
                <w:tcPr>
                  <w:tcW w:w="1134" w:type="dxa"/>
                </w:tcPr>
                <w:p w14:paraId="117BEAFD" w14:textId="43C937B0" w:rsidR="000A67C7" w:rsidRPr="00E442D8" w:rsidRDefault="000A67C7" w:rsidP="00A26916">
                  <w:pPr>
                    <w:pStyle w:val="af1"/>
                    <w:framePr w:hSpace="181" w:wrap="around" w:vAnchor="page" w:hAnchor="margin" w:y="1162"/>
                    <w:spacing w:after="0"/>
                    <w:ind w:left="0"/>
                    <w:jc w:val="center"/>
                    <w:rPr>
                      <w:sz w:val="24"/>
                      <w:szCs w:val="24"/>
                      <w:lang w:val="ru-RU"/>
                    </w:rPr>
                  </w:pPr>
                  <w:r w:rsidRPr="00E442D8">
                    <w:rPr>
                      <w:sz w:val="24"/>
                      <w:szCs w:val="24"/>
                      <w:lang w:val="ru-RU"/>
                    </w:rPr>
                    <w:t>7</w:t>
                  </w:r>
                  <w:r w:rsidR="00836E4F" w:rsidRPr="007E6536">
                    <w:rPr>
                      <w:sz w:val="24"/>
                      <w:szCs w:val="24"/>
                      <w:lang w:val="ru-RU"/>
                    </w:rPr>
                    <w:t>,</w:t>
                  </w:r>
                  <w:r w:rsidRPr="00E442D8">
                    <w:rPr>
                      <w:sz w:val="24"/>
                      <w:szCs w:val="24"/>
                      <w:lang w:val="ru-RU"/>
                    </w:rPr>
                    <w:t>500</w:t>
                  </w:r>
                </w:p>
              </w:tc>
            </w:tr>
            <w:tr w:rsidR="000A67C7" w:rsidRPr="00A26916" w14:paraId="0CC7F2AD" w14:textId="77777777" w:rsidTr="00D123BA">
              <w:tc>
                <w:tcPr>
                  <w:tcW w:w="2427" w:type="dxa"/>
                </w:tcPr>
                <w:p w14:paraId="4A3B7D42" w14:textId="77777777" w:rsidR="000A67C7" w:rsidRPr="00E442D8" w:rsidRDefault="000A67C7" w:rsidP="00A26916">
                  <w:pPr>
                    <w:pStyle w:val="af1"/>
                    <w:framePr w:hSpace="181" w:wrap="around" w:vAnchor="page" w:hAnchor="margin" w:y="1162"/>
                    <w:spacing w:after="0"/>
                    <w:ind w:left="0"/>
                    <w:jc w:val="both"/>
                    <w:rPr>
                      <w:sz w:val="24"/>
                      <w:szCs w:val="24"/>
                      <w:lang w:val="ru-RU"/>
                    </w:rPr>
                  </w:pPr>
                  <w:r w:rsidRPr="00E442D8">
                    <w:rPr>
                      <w:sz w:val="24"/>
                      <w:szCs w:val="24"/>
                    </w:rPr>
                    <w:t>FL</w:t>
                  </w:r>
                  <w:r w:rsidRPr="00E442D8">
                    <w:rPr>
                      <w:sz w:val="24"/>
                      <w:szCs w:val="24"/>
                      <w:lang w:val="ru-RU"/>
                    </w:rPr>
                    <w:t>-</w:t>
                  </w:r>
                  <w:r w:rsidRPr="00E442D8">
                    <w:rPr>
                      <w:sz w:val="24"/>
                      <w:szCs w:val="24"/>
                    </w:rPr>
                    <w:t>LPA</w:t>
                  </w:r>
                </w:p>
              </w:tc>
              <w:tc>
                <w:tcPr>
                  <w:tcW w:w="1134" w:type="dxa"/>
                </w:tcPr>
                <w:p w14:paraId="67413859" w14:textId="34594EF0" w:rsidR="000A67C7" w:rsidRPr="00E442D8" w:rsidRDefault="000A67C7" w:rsidP="00A26916">
                  <w:pPr>
                    <w:pStyle w:val="af1"/>
                    <w:framePr w:hSpace="181" w:wrap="around" w:vAnchor="page" w:hAnchor="margin" w:y="1162"/>
                    <w:spacing w:after="0"/>
                    <w:ind w:left="0"/>
                    <w:jc w:val="center"/>
                    <w:rPr>
                      <w:sz w:val="24"/>
                      <w:szCs w:val="24"/>
                      <w:lang w:val="ru-RU"/>
                    </w:rPr>
                  </w:pPr>
                  <w:r w:rsidRPr="00E442D8">
                    <w:rPr>
                      <w:sz w:val="24"/>
                      <w:szCs w:val="24"/>
                      <w:lang w:val="ru-RU"/>
                    </w:rPr>
                    <w:t>4</w:t>
                  </w:r>
                  <w:r w:rsidR="00836E4F" w:rsidRPr="007E6536">
                    <w:rPr>
                      <w:sz w:val="24"/>
                      <w:szCs w:val="24"/>
                      <w:lang w:val="ru-RU"/>
                    </w:rPr>
                    <w:t>,</w:t>
                  </w:r>
                  <w:r w:rsidRPr="00E442D8">
                    <w:rPr>
                      <w:sz w:val="24"/>
                      <w:szCs w:val="24"/>
                      <w:lang w:val="ru-RU"/>
                    </w:rPr>
                    <w:t>000</w:t>
                  </w:r>
                </w:p>
              </w:tc>
              <w:tc>
                <w:tcPr>
                  <w:tcW w:w="1134" w:type="dxa"/>
                </w:tcPr>
                <w:p w14:paraId="4C1B9356" w14:textId="59732FF3" w:rsidR="000A67C7" w:rsidRPr="00E442D8" w:rsidRDefault="000A67C7" w:rsidP="00A26916">
                  <w:pPr>
                    <w:pStyle w:val="af1"/>
                    <w:framePr w:hSpace="181" w:wrap="around" w:vAnchor="page" w:hAnchor="margin" w:y="1162"/>
                    <w:spacing w:after="0"/>
                    <w:ind w:left="0"/>
                    <w:jc w:val="center"/>
                    <w:rPr>
                      <w:sz w:val="24"/>
                      <w:szCs w:val="24"/>
                      <w:lang w:val="ru-RU"/>
                    </w:rPr>
                  </w:pPr>
                  <w:r w:rsidRPr="00E442D8">
                    <w:rPr>
                      <w:sz w:val="24"/>
                      <w:szCs w:val="24"/>
                      <w:lang w:val="ru-RU"/>
                    </w:rPr>
                    <w:t>3</w:t>
                  </w:r>
                  <w:r w:rsidR="00836E4F" w:rsidRPr="007E6536">
                    <w:rPr>
                      <w:sz w:val="24"/>
                      <w:szCs w:val="24"/>
                      <w:lang w:val="ru-RU"/>
                    </w:rPr>
                    <w:t>,</w:t>
                  </w:r>
                  <w:r w:rsidRPr="00E442D8">
                    <w:rPr>
                      <w:sz w:val="24"/>
                      <w:szCs w:val="24"/>
                      <w:lang w:val="ru-RU"/>
                    </w:rPr>
                    <w:t>800</w:t>
                  </w:r>
                </w:p>
              </w:tc>
              <w:tc>
                <w:tcPr>
                  <w:tcW w:w="1134" w:type="dxa"/>
                </w:tcPr>
                <w:p w14:paraId="58F01E63" w14:textId="627C5A43" w:rsidR="000A67C7" w:rsidRPr="00E442D8" w:rsidRDefault="000A67C7" w:rsidP="00A26916">
                  <w:pPr>
                    <w:pStyle w:val="af1"/>
                    <w:framePr w:hSpace="181" w:wrap="around" w:vAnchor="page" w:hAnchor="margin" w:y="1162"/>
                    <w:spacing w:after="0"/>
                    <w:ind w:left="0"/>
                    <w:jc w:val="center"/>
                    <w:rPr>
                      <w:sz w:val="24"/>
                      <w:szCs w:val="24"/>
                      <w:lang w:val="ru-RU"/>
                    </w:rPr>
                  </w:pPr>
                  <w:r w:rsidRPr="00E442D8">
                    <w:rPr>
                      <w:sz w:val="24"/>
                      <w:szCs w:val="24"/>
                      <w:lang w:val="ru-RU"/>
                    </w:rPr>
                    <w:t>3</w:t>
                  </w:r>
                  <w:r w:rsidR="00836E4F" w:rsidRPr="007E6536">
                    <w:rPr>
                      <w:sz w:val="24"/>
                      <w:szCs w:val="24"/>
                      <w:lang w:val="ru-RU"/>
                    </w:rPr>
                    <w:t>,</w:t>
                  </w:r>
                  <w:r w:rsidRPr="00E442D8">
                    <w:rPr>
                      <w:sz w:val="24"/>
                      <w:szCs w:val="24"/>
                      <w:lang w:val="ru-RU"/>
                    </w:rPr>
                    <w:t>500</w:t>
                  </w:r>
                </w:p>
              </w:tc>
              <w:tc>
                <w:tcPr>
                  <w:tcW w:w="1134" w:type="dxa"/>
                </w:tcPr>
                <w:p w14:paraId="0ECA9522" w14:textId="7DB5BAAD" w:rsidR="000A67C7" w:rsidRPr="00E442D8" w:rsidRDefault="000A67C7" w:rsidP="00A26916">
                  <w:pPr>
                    <w:pStyle w:val="af1"/>
                    <w:framePr w:hSpace="181" w:wrap="around" w:vAnchor="page" w:hAnchor="margin" w:y="1162"/>
                    <w:spacing w:after="0"/>
                    <w:ind w:left="0"/>
                    <w:jc w:val="center"/>
                    <w:rPr>
                      <w:sz w:val="24"/>
                      <w:szCs w:val="24"/>
                      <w:lang w:val="ru-RU"/>
                    </w:rPr>
                  </w:pPr>
                  <w:r w:rsidRPr="00E442D8">
                    <w:rPr>
                      <w:sz w:val="24"/>
                      <w:szCs w:val="24"/>
                      <w:lang w:val="ru-RU"/>
                    </w:rPr>
                    <w:t>11</w:t>
                  </w:r>
                  <w:r w:rsidR="00836E4F" w:rsidRPr="007E6536">
                    <w:rPr>
                      <w:sz w:val="24"/>
                      <w:szCs w:val="24"/>
                      <w:lang w:val="ru-RU"/>
                    </w:rPr>
                    <w:t>,</w:t>
                  </w:r>
                  <w:r w:rsidRPr="00E442D8">
                    <w:rPr>
                      <w:sz w:val="24"/>
                      <w:szCs w:val="24"/>
                      <w:lang w:val="ru-RU"/>
                    </w:rPr>
                    <w:t>300</w:t>
                  </w:r>
                </w:p>
              </w:tc>
            </w:tr>
            <w:tr w:rsidR="000A67C7" w:rsidRPr="00A26916" w14:paraId="598E04F0" w14:textId="77777777" w:rsidTr="00D123BA">
              <w:tc>
                <w:tcPr>
                  <w:tcW w:w="2427" w:type="dxa"/>
                </w:tcPr>
                <w:p w14:paraId="6DB58899" w14:textId="77777777" w:rsidR="000A67C7" w:rsidRPr="00E442D8" w:rsidRDefault="000A67C7" w:rsidP="00A26916">
                  <w:pPr>
                    <w:pStyle w:val="af1"/>
                    <w:framePr w:hSpace="181" w:wrap="around" w:vAnchor="page" w:hAnchor="margin" w:y="1162"/>
                    <w:spacing w:after="0"/>
                    <w:ind w:left="0"/>
                    <w:jc w:val="both"/>
                    <w:rPr>
                      <w:sz w:val="24"/>
                      <w:szCs w:val="24"/>
                      <w:lang w:val="ru-RU"/>
                    </w:rPr>
                  </w:pPr>
                  <w:r w:rsidRPr="00E442D8">
                    <w:rPr>
                      <w:sz w:val="24"/>
                      <w:szCs w:val="24"/>
                    </w:rPr>
                    <w:t>SL</w:t>
                  </w:r>
                  <w:r w:rsidRPr="00E442D8">
                    <w:rPr>
                      <w:sz w:val="24"/>
                      <w:szCs w:val="24"/>
                      <w:lang w:val="ru-RU"/>
                    </w:rPr>
                    <w:t>-</w:t>
                  </w:r>
                  <w:r w:rsidRPr="00E442D8">
                    <w:rPr>
                      <w:sz w:val="24"/>
                      <w:szCs w:val="24"/>
                    </w:rPr>
                    <w:t>LPA</w:t>
                  </w:r>
                </w:p>
              </w:tc>
              <w:tc>
                <w:tcPr>
                  <w:tcW w:w="1134" w:type="dxa"/>
                </w:tcPr>
                <w:p w14:paraId="684646CC" w14:textId="77777777" w:rsidR="000A67C7" w:rsidRPr="00E442D8" w:rsidRDefault="000A67C7" w:rsidP="00A26916">
                  <w:pPr>
                    <w:pStyle w:val="af1"/>
                    <w:framePr w:hSpace="181" w:wrap="around" w:vAnchor="page" w:hAnchor="margin" w:y="1162"/>
                    <w:spacing w:after="0"/>
                    <w:ind w:left="0"/>
                    <w:jc w:val="center"/>
                    <w:rPr>
                      <w:sz w:val="24"/>
                      <w:szCs w:val="24"/>
                      <w:lang w:val="ru-RU"/>
                    </w:rPr>
                  </w:pPr>
                  <w:r w:rsidRPr="00E442D8">
                    <w:rPr>
                      <w:sz w:val="24"/>
                      <w:szCs w:val="24"/>
                      <w:lang w:val="ru-RU"/>
                    </w:rPr>
                    <w:t>800</w:t>
                  </w:r>
                </w:p>
              </w:tc>
              <w:tc>
                <w:tcPr>
                  <w:tcW w:w="1134" w:type="dxa"/>
                </w:tcPr>
                <w:p w14:paraId="6B16EBA1" w14:textId="77777777" w:rsidR="000A67C7" w:rsidRPr="00E442D8" w:rsidRDefault="000A67C7" w:rsidP="00A26916">
                  <w:pPr>
                    <w:pStyle w:val="af1"/>
                    <w:framePr w:hSpace="181" w:wrap="around" w:vAnchor="page" w:hAnchor="margin" w:y="1162"/>
                    <w:spacing w:after="0"/>
                    <w:ind w:left="0"/>
                    <w:jc w:val="center"/>
                    <w:rPr>
                      <w:sz w:val="24"/>
                      <w:szCs w:val="24"/>
                      <w:lang w:val="ru-RU"/>
                    </w:rPr>
                  </w:pPr>
                  <w:r w:rsidRPr="00E442D8">
                    <w:rPr>
                      <w:sz w:val="24"/>
                      <w:szCs w:val="24"/>
                      <w:lang w:val="ru-RU"/>
                    </w:rPr>
                    <w:t>600</w:t>
                  </w:r>
                </w:p>
              </w:tc>
              <w:tc>
                <w:tcPr>
                  <w:tcW w:w="1134" w:type="dxa"/>
                </w:tcPr>
                <w:p w14:paraId="695A726D" w14:textId="77777777" w:rsidR="000A67C7" w:rsidRPr="00E442D8" w:rsidRDefault="000A67C7" w:rsidP="00A26916">
                  <w:pPr>
                    <w:pStyle w:val="af1"/>
                    <w:framePr w:hSpace="181" w:wrap="around" w:vAnchor="page" w:hAnchor="margin" w:y="1162"/>
                    <w:spacing w:after="0"/>
                    <w:ind w:left="0"/>
                    <w:jc w:val="center"/>
                    <w:rPr>
                      <w:sz w:val="24"/>
                      <w:szCs w:val="24"/>
                      <w:lang w:val="ru-RU"/>
                    </w:rPr>
                  </w:pPr>
                  <w:r w:rsidRPr="00E442D8">
                    <w:rPr>
                      <w:sz w:val="24"/>
                      <w:szCs w:val="24"/>
                      <w:lang w:val="ru-RU"/>
                    </w:rPr>
                    <w:t>400</w:t>
                  </w:r>
                </w:p>
              </w:tc>
              <w:tc>
                <w:tcPr>
                  <w:tcW w:w="1134" w:type="dxa"/>
                </w:tcPr>
                <w:p w14:paraId="4DE4B203" w14:textId="4BFC7C72" w:rsidR="000A67C7" w:rsidRPr="00E442D8" w:rsidRDefault="000A67C7" w:rsidP="00A26916">
                  <w:pPr>
                    <w:pStyle w:val="af1"/>
                    <w:framePr w:hSpace="181" w:wrap="around" w:vAnchor="page" w:hAnchor="margin" w:y="1162"/>
                    <w:spacing w:after="0"/>
                    <w:ind w:left="0"/>
                    <w:jc w:val="center"/>
                    <w:rPr>
                      <w:sz w:val="24"/>
                      <w:szCs w:val="24"/>
                      <w:lang w:val="ru-RU"/>
                    </w:rPr>
                  </w:pPr>
                  <w:r w:rsidRPr="00E442D8">
                    <w:rPr>
                      <w:sz w:val="24"/>
                      <w:szCs w:val="24"/>
                      <w:lang w:val="ru-RU"/>
                    </w:rPr>
                    <w:t>1</w:t>
                  </w:r>
                  <w:r w:rsidR="00836E4F" w:rsidRPr="007E6536">
                    <w:rPr>
                      <w:sz w:val="24"/>
                      <w:szCs w:val="24"/>
                      <w:lang w:val="ru-RU"/>
                    </w:rPr>
                    <w:t>,</w:t>
                  </w:r>
                  <w:r w:rsidRPr="00E442D8">
                    <w:rPr>
                      <w:sz w:val="24"/>
                      <w:szCs w:val="24"/>
                      <w:lang w:val="ru-RU"/>
                    </w:rPr>
                    <w:t>800</w:t>
                  </w:r>
                </w:p>
              </w:tc>
            </w:tr>
            <w:tr w:rsidR="000A67C7" w:rsidRPr="00A26916" w14:paraId="1D1FE260" w14:textId="77777777" w:rsidTr="00D123BA">
              <w:tc>
                <w:tcPr>
                  <w:tcW w:w="2427" w:type="dxa"/>
                </w:tcPr>
                <w:p w14:paraId="386061F3" w14:textId="77777777" w:rsidR="000A67C7" w:rsidRPr="00E442D8" w:rsidRDefault="000A67C7" w:rsidP="00A26916">
                  <w:pPr>
                    <w:pStyle w:val="af1"/>
                    <w:framePr w:hSpace="181" w:wrap="around" w:vAnchor="page" w:hAnchor="margin" w:y="1162"/>
                    <w:spacing w:after="0"/>
                    <w:ind w:left="0"/>
                    <w:jc w:val="both"/>
                    <w:rPr>
                      <w:sz w:val="24"/>
                      <w:szCs w:val="24"/>
                      <w:lang w:val="ru-RU"/>
                    </w:rPr>
                  </w:pPr>
                  <w:r w:rsidRPr="00E442D8">
                    <w:rPr>
                      <w:sz w:val="24"/>
                      <w:szCs w:val="24"/>
                      <w:lang w:val="ru-RU"/>
                    </w:rPr>
                    <w:t>фТЛЧ (</w:t>
                  </w:r>
                  <w:r w:rsidRPr="00E442D8">
                    <w:rPr>
                      <w:sz w:val="24"/>
                      <w:szCs w:val="24"/>
                    </w:rPr>
                    <w:t>MGIT</w:t>
                  </w:r>
                  <w:r w:rsidRPr="00E442D8">
                    <w:rPr>
                      <w:sz w:val="24"/>
                      <w:szCs w:val="24"/>
                      <w:lang w:val="ru-RU"/>
                    </w:rPr>
                    <w:t xml:space="preserve">) </w:t>
                  </w:r>
                  <w:r w:rsidRPr="00E442D8">
                    <w:rPr>
                      <w:sz w:val="24"/>
                      <w:szCs w:val="24"/>
                    </w:rPr>
                    <w:t>FLD</w:t>
                  </w:r>
                </w:p>
              </w:tc>
              <w:tc>
                <w:tcPr>
                  <w:tcW w:w="1134" w:type="dxa"/>
                </w:tcPr>
                <w:p w14:paraId="649A7D4B" w14:textId="665C8AAC" w:rsidR="000A67C7" w:rsidRPr="00E442D8" w:rsidRDefault="000A67C7" w:rsidP="00A26916">
                  <w:pPr>
                    <w:pStyle w:val="af1"/>
                    <w:framePr w:hSpace="181" w:wrap="around" w:vAnchor="page" w:hAnchor="margin" w:y="1162"/>
                    <w:spacing w:after="0"/>
                    <w:ind w:left="0"/>
                    <w:jc w:val="center"/>
                    <w:rPr>
                      <w:sz w:val="24"/>
                      <w:szCs w:val="24"/>
                      <w:lang w:val="ru-RU"/>
                    </w:rPr>
                  </w:pPr>
                  <w:r w:rsidRPr="00E442D8">
                    <w:rPr>
                      <w:sz w:val="24"/>
                      <w:szCs w:val="24"/>
                      <w:lang w:val="ru-RU"/>
                    </w:rPr>
                    <w:t>2</w:t>
                  </w:r>
                  <w:r w:rsidR="00836E4F" w:rsidRPr="007E6536">
                    <w:rPr>
                      <w:sz w:val="24"/>
                      <w:szCs w:val="24"/>
                      <w:lang w:val="ru-RU"/>
                    </w:rPr>
                    <w:t>,</w:t>
                  </w:r>
                  <w:r w:rsidRPr="00E442D8">
                    <w:rPr>
                      <w:sz w:val="24"/>
                      <w:szCs w:val="24"/>
                      <w:lang w:val="ru-RU"/>
                    </w:rPr>
                    <w:t>500</w:t>
                  </w:r>
                </w:p>
              </w:tc>
              <w:tc>
                <w:tcPr>
                  <w:tcW w:w="1134" w:type="dxa"/>
                </w:tcPr>
                <w:p w14:paraId="15C5942B" w14:textId="4A7E99DF" w:rsidR="000A67C7" w:rsidRPr="00E442D8" w:rsidRDefault="000A67C7" w:rsidP="00A26916">
                  <w:pPr>
                    <w:pStyle w:val="af1"/>
                    <w:framePr w:hSpace="181" w:wrap="around" w:vAnchor="page" w:hAnchor="margin" w:y="1162"/>
                    <w:spacing w:after="0"/>
                    <w:ind w:left="0"/>
                    <w:jc w:val="center"/>
                    <w:rPr>
                      <w:sz w:val="24"/>
                      <w:szCs w:val="24"/>
                      <w:lang w:val="ru-RU"/>
                    </w:rPr>
                  </w:pPr>
                  <w:r w:rsidRPr="00E442D8">
                    <w:rPr>
                      <w:sz w:val="24"/>
                      <w:szCs w:val="24"/>
                      <w:lang w:val="ru-RU"/>
                    </w:rPr>
                    <w:t>2</w:t>
                  </w:r>
                  <w:r w:rsidR="00836E4F" w:rsidRPr="007E6536">
                    <w:rPr>
                      <w:sz w:val="24"/>
                      <w:szCs w:val="24"/>
                      <w:lang w:val="ru-RU"/>
                    </w:rPr>
                    <w:t>,</w:t>
                  </w:r>
                  <w:r w:rsidRPr="00E442D8">
                    <w:rPr>
                      <w:sz w:val="24"/>
                      <w:szCs w:val="24"/>
                      <w:lang w:val="ru-RU"/>
                    </w:rPr>
                    <w:t>500</w:t>
                  </w:r>
                </w:p>
              </w:tc>
              <w:tc>
                <w:tcPr>
                  <w:tcW w:w="1134" w:type="dxa"/>
                </w:tcPr>
                <w:p w14:paraId="57D1FB01" w14:textId="7D30D05D" w:rsidR="000A67C7" w:rsidRPr="00E442D8" w:rsidRDefault="000A67C7" w:rsidP="00A26916">
                  <w:pPr>
                    <w:pStyle w:val="af1"/>
                    <w:framePr w:hSpace="181" w:wrap="around" w:vAnchor="page" w:hAnchor="margin" w:y="1162"/>
                    <w:spacing w:after="0"/>
                    <w:ind w:left="0"/>
                    <w:jc w:val="center"/>
                    <w:rPr>
                      <w:sz w:val="24"/>
                      <w:szCs w:val="24"/>
                      <w:lang w:val="ru-RU"/>
                    </w:rPr>
                  </w:pPr>
                  <w:r w:rsidRPr="00E442D8">
                    <w:rPr>
                      <w:sz w:val="24"/>
                      <w:szCs w:val="24"/>
                      <w:lang w:val="ru-RU"/>
                    </w:rPr>
                    <w:t>2</w:t>
                  </w:r>
                  <w:r w:rsidR="00836E4F" w:rsidRPr="007E6536">
                    <w:rPr>
                      <w:sz w:val="24"/>
                      <w:szCs w:val="24"/>
                      <w:lang w:val="ru-RU"/>
                    </w:rPr>
                    <w:t>,</w:t>
                  </w:r>
                  <w:r w:rsidRPr="00E442D8">
                    <w:rPr>
                      <w:sz w:val="24"/>
                      <w:szCs w:val="24"/>
                      <w:lang w:val="ru-RU"/>
                    </w:rPr>
                    <w:t>500</w:t>
                  </w:r>
                </w:p>
              </w:tc>
              <w:tc>
                <w:tcPr>
                  <w:tcW w:w="1134" w:type="dxa"/>
                </w:tcPr>
                <w:p w14:paraId="2D9736D9" w14:textId="27617737" w:rsidR="000A67C7" w:rsidRPr="00E442D8" w:rsidRDefault="000A67C7" w:rsidP="00A26916">
                  <w:pPr>
                    <w:pStyle w:val="af1"/>
                    <w:framePr w:hSpace="181" w:wrap="around" w:vAnchor="page" w:hAnchor="margin" w:y="1162"/>
                    <w:spacing w:after="0"/>
                    <w:ind w:left="0"/>
                    <w:jc w:val="center"/>
                    <w:rPr>
                      <w:sz w:val="24"/>
                      <w:szCs w:val="24"/>
                      <w:lang w:val="ru-RU"/>
                    </w:rPr>
                  </w:pPr>
                  <w:r w:rsidRPr="00E442D8">
                    <w:rPr>
                      <w:sz w:val="24"/>
                      <w:szCs w:val="24"/>
                      <w:lang w:val="ru-RU"/>
                    </w:rPr>
                    <w:t>7</w:t>
                  </w:r>
                  <w:r w:rsidR="00836E4F" w:rsidRPr="007E6536">
                    <w:rPr>
                      <w:sz w:val="24"/>
                      <w:szCs w:val="24"/>
                      <w:lang w:val="ru-RU"/>
                    </w:rPr>
                    <w:t>,</w:t>
                  </w:r>
                  <w:r w:rsidRPr="00E442D8">
                    <w:rPr>
                      <w:sz w:val="24"/>
                      <w:szCs w:val="24"/>
                      <w:lang w:val="ru-RU"/>
                    </w:rPr>
                    <w:t>500</w:t>
                  </w:r>
                </w:p>
              </w:tc>
            </w:tr>
            <w:tr w:rsidR="000A67C7" w:rsidRPr="00A26916" w14:paraId="0A060921" w14:textId="77777777" w:rsidTr="00D123BA">
              <w:tc>
                <w:tcPr>
                  <w:tcW w:w="2427" w:type="dxa"/>
                  <w:shd w:val="clear" w:color="auto" w:fill="auto"/>
                </w:tcPr>
                <w:p w14:paraId="6B3C318C" w14:textId="77777777" w:rsidR="000A67C7" w:rsidRPr="00E442D8" w:rsidRDefault="000A67C7" w:rsidP="00A26916">
                  <w:pPr>
                    <w:pStyle w:val="af1"/>
                    <w:framePr w:hSpace="181" w:wrap="around" w:vAnchor="page" w:hAnchor="margin" w:y="1162"/>
                    <w:spacing w:after="0"/>
                    <w:ind w:left="0"/>
                    <w:jc w:val="both"/>
                    <w:rPr>
                      <w:sz w:val="24"/>
                      <w:szCs w:val="24"/>
                      <w:lang w:val="ru-RU"/>
                    </w:rPr>
                  </w:pPr>
                  <w:r w:rsidRPr="00E442D8">
                    <w:rPr>
                      <w:sz w:val="24"/>
                      <w:szCs w:val="24"/>
                      <w:lang w:val="ru-RU"/>
                    </w:rPr>
                    <w:t>фТЛЧ (</w:t>
                  </w:r>
                  <w:r w:rsidRPr="00E442D8">
                    <w:rPr>
                      <w:sz w:val="24"/>
                      <w:szCs w:val="24"/>
                    </w:rPr>
                    <w:t>MGIT</w:t>
                  </w:r>
                  <w:r w:rsidRPr="00E442D8">
                    <w:rPr>
                      <w:sz w:val="24"/>
                      <w:szCs w:val="24"/>
                      <w:lang w:val="ru-RU"/>
                    </w:rPr>
                    <w:t xml:space="preserve">) </w:t>
                  </w:r>
                  <w:r w:rsidRPr="00E442D8">
                    <w:rPr>
                      <w:sz w:val="24"/>
                      <w:szCs w:val="24"/>
                    </w:rPr>
                    <w:t>SLD</w:t>
                  </w:r>
                </w:p>
              </w:tc>
              <w:tc>
                <w:tcPr>
                  <w:tcW w:w="1134" w:type="dxa"/>
                  <w:shd w:val="clear" w:color="auto" w:fill="auto"/>
                </w:tcPr>
                <w:p w14:paraId="7F45BC4B" w14:textId="015D0E58" w:rsidR="000A67C7" w:rsidRPr="00E442D8" w:rsidRDefault="000A67C7" w:rsidP="00A26916">
                  <w:pPr>
                    <w:pStyle w:val="af1"/>
                    <w:framePr w:hSpace="181" w:wrap="around" w:vAnchor="page" w:hAnchor="margin" w:y="1162"/>
                    <w:spacing w:after="0"/>
                    <w:ind w:left="0"/>
                    <w:jc w:val="center"/>
                    <w:rPr>
                      <w:sz w:val="24"/>
                      <w:szCs w:val="24"/>
                      <w:lang w:val="ru-RU"/>
                    </w:rPr>
                  </w:pPr>
                  <w:r w:rsidRPr="00E442D8">
                    <w:rPr>
                      <w:sz w:val="24"/>
                      <w:szCs w:val="24"/>
                      <w:lang w:val="ru-RU"/>
                    </w:rPr>
                    <w:t>1</w:t>
                  </w:r>
                  <w:r w:rsidR="00836E4F" w:rsidRPr="007E6536">
                    <w:rPr>
                      <w:sz w:val="24"/>
                      <w:szCs w:val="24"/>
                      <w:lang w:val="ru-RU"/>
                    </w:rPr>
                    <w:t>,</w:t>
                  </w:r>
                  <w:r w:rsidRPr="00E442D8">
                    <w:rPr>
                      <w:sz w:val="24"/>
                      <w:szCs w:val="24"/>
                      <w:lang w:val="ru-RU"/>
                    </w:rPr>
                    <w:t>200</w:t>
                  </w:r>
                </w:p>
              </w:tc>
              <w:tc>
                <w:tcPr>
                  <w:tcW w:w="1134" w:type="dxa"/>
                  <w:shd w:val="clear" w:color="auto" w:fill="auto"/>
                </w:tcPr>
                <w:p w14:paraId="315593F1" w14:textId="0FDC2713" w:rsidR="000A67C7" w:rsidRPr="00E442D8" w:rsidRDefault="000A67C7" w:rsidP="00A26916">
                  <w:pPr>
                    <w:pStyle w:val="af1"/>
                    <w:framePr w:hSpace="181" w:wrap="around" w:vAnchor="page" w:hAnchor="margin" w:y="1162"/>
                    <w:spacing w:after="0"/>
                    <w:ind w:left="0"/>
                    <w:jc w:val="center"/>
                    <w:rPr>
                      <w:sz w:val="24"/>
                      <w:szCs w:val="24"/>
                      <w:lang w:val="ru-RU"/>
                    </w:rPr>
                  </w:pPr>
                  <w:r w:rsidRPr="00E442D8">
                    <w:rPr>
                      <w:sz w:val="24"/>
                      <w:szCs w:val="24"/>
                      <w:lang w:val="ru-RU"/>
                    </w:rPr>
                    <w:t>1</w:t>
                  </w:r>
                  <w:r w:rsidR="00836E4F" w:rsidRPr="007E6536">
                    <w:rPr>
                      <w:sz w:val="24"/>
                      <w:szCs w:val="24"/>
                      <w:lang w:val="ru-RU"/>
                    </w:rPr>
                    <w:t>,</w:t>
                  </w:r>
                  <w:r w:rsidRPr="00E442D8">
                    <w:rPr>
                      <w:sz w:val="24"/>
                      <w:szCs w:val="24"/>
                      <w:lang w:val="ru-RU"/>
                    </w:rPr>
                    <w:t>100</w:t>
                  </w:r>
                </w:p>
              </w:tc>
              <w:tc>
                <w:tcPr>
                  <w:tcW w:w="1134" w:type="dxa"/>
                  <w:shd w:val="clear" w:color="auto" w:fill="auto"/>
                </w:tcPr>
                <w:p w14:paraId="3B19406B" w14:textId="4E0A3767" w:rsidR="000A67C7" w:rsidRPr="00E442D8" w:rsidRDefault="000A67C7" w:rsidP="00A26916">
                  <w:pPr>
                    <w:pStyle w:val="af1"/>
                    <w:framePr w:hSpace="181" w:wrap="around" w:vAnchor="page" w:hAnchor="margin" w:y="1162"/>
                    <w:spacing w:after="0"/>
                    <w:ind w:left="0"/>
                    <w:jc w:val="center"/>
                    <w:rPr>
                      <w:sz w:val="24"/>
                      <w:szCs w:val="24"/>
                      <w:lang w:val="ru-RU"/>
                    </w:rPr>
                  </w:pPr>
                  <w:r w:rsidRPr="00E442D8">
                    <w:rPr>
                      <w:sz w:val="24"/>
                      <w:szCs w:val="24"/>
                      <w:lang w:val="ru-RU"/>
                    </w:rPr>
                    <w:t>1</w:t>
                  </w:r>
                  <w:r w:rsidR="00836E4F" w:rsidRPr="007E6536">
                    <w:rPr>
                      <w:sz w:val="24"/>
                      <w:szCs w:val="24"/>
                      <w:lang w:val="ru-RU"/>
                    </w:rPr>
                    <w:t>,</w:t>
                  </w:r>
                  <w:r w:rsidRPr="00E442D8">
                    <w:rPr>
                      <w:sz w:val="24"/>
                      <w:szCs w:val="24"/>
                      <w:lang w:val="ru-RU"/>
                    </w:rPr>
                    <w:t>000</w:t>
                  </w:r>
                </w:p>
              </w:tc>
              <w:tc>
                <w:tcPr>
                  <w:tcW w:w="1134" w:type="dxa"/>
                  <w:shd w:val="clear" w:color="auto" w:fill="auto"/>
                </w:tcPr>
                <w:p w14:paraId="52C927BB" w14:textId="5DC0388D" w:rsidR="000A67C7" w:rsidRPr="00E442D8" w:rsidRDefault="000A67C7" w:rsidP="00A26916">
                  <w:pPr>
                    <w:pStyle w:val="af1"/>
                    <w:framePr w:hSpace="181" w:wrap="around" w:vAnchor="page" w:hAnchor="margin" w:y="1162"/>
                    <w:spacing w:after="0"/>
                    <w:ind w:left="0"/>
                    <w:jc w:val="center"/>
                    <w:rPr>
                      <w:sz w:val="24"/>
                      <w:szCs w:val="24"/>
                      <w:lang w:val="ru-RU"/>
                    </w:rPr>
                  </w:pPr>
                  <w:r w:rsidRPr="00E442D8">
                    <w:rPr>
                      <w:sz w:val="24"/>
                      <w:szCs w:val="24"/>
                      <w:lang w:val="ru-RU"/>
                    </w:rPr>
                    <w:t>3</w:t>
                  </w:r>
                  <w:r w:rsidR="00836E4F" w:rsidRPr="007E6536">
                    <w:rPr>
                      <w:sz w:val="24"/>
                      <w:szCs w:val="24"/>
                      <w:lang w:val="ru-RU"/>
                    </w:rPr>
                    <w:t>,</w:t>
                  </w:r>
                  <w:r w:rsidRPr="00E442D8">
                    <w:rPr>
                      <w:sz w:val="24"/>
                      <w:szCs w:val="24"/>
                      <w:lang w:val="ru-RU"/>
                    </w:rPr>
                    <w:t>300</w:t>
                  </w:r>
                </w:p>
              </w:tc>
            </w:tr>
            <w:tr w:rsidR="000A67C7" w:rsidRPr="00A26916" w14:paraId="5C40722F" w14:textId="77777777" w:rsidTr="00D123BA">
              <w:tc>
                <w:tcPr>
                  <w:tcW w:w="2427" w:type="dxa"/>
                </w:tcPr>
                <w:p w14:paraId="2498E273" w14:textId="77777777" w:rsidR="000A67C7" w:rsidRPr="00E442D8" w:rsidRDefault="000A67C7" w:rsidP="00A26916">
                  <w:pPr>
                    <w:pStyle w:val="af1"/>
                    <w:framePr w:hSpace="181" w:wrap="around" w:vAnchor="page" w:hAnchor="margin" w:y="1162"/>
                    <w:spacing w:after="0"/>
                    <w:ind w:left="0"/>
                    <w:jc w:val="both"/>
                    <w:rPr>
                      <w:sz w:val="24"/>
                      <w:szCs w:val="24"/>
                      <w:lang w:val="ru-RU"/>
                    </w:rPr>
                  </w:pPr>
                  <w:r>
                    <w:rPr>
                      <w:sz w:val="24"/>
                      <w:szCs w:val="24"/>
                      <w:lang w:val="ru-RU"/>
                    </w:rPr>
                    <w:t>ТЛЧ на новые ПТП</w:t>
                  </w:r>
                </w:p>
              </w:tc>
              <w:tc>
                <w:tcPr>
                  <w:tcW w:w="1134" w:type="dxa"/>
                </w:tcPr>
                <w:p w14:paraId="183416BE" w14:textId="77777777" w:rsidR="000A67C7" w:rsidRPr="00E442D8" w:rsidRDefault="000A67C7" w:rsidP="00A26916">
                  <w:pPr>
                    <w:pStyle w:val="af1"/>
                    <w:framePr w:hSpace="181" w:wrap="around" w:vAnchor="page" w:hAnchor="margin" w:y="1162"/>
                    <w:spacing w:after="0"/>
                    <w:ind w:left="0"/>
                    <w:jc w:val="center"/>
                    <w:rPr>
                      <w:sz w:val="24"/>
                      <w:szCs w:val="24"/>
                      <w:lang w:val="ru-RU"/>
                    </w:rPr>
                  </w:pPr>
                  <w:r>
                    <w:rPr>
                      <w:sz w:val="24"/>
                      <w:szCs w:val="24"/>
                      <w:lang w:val="ru-RU"/>
                    </w:rPr>
                    <w:t>800</w:t>
                  </w:r>
                </w:p>
              </w:tc>
              <w:tc>
                <w:tcPr>
                  <w:tcW w:w="1134" w:type="dxa"/>
                </w:tcPr>
                <w:p w14:paraId="21593D02" w14:textId="77777777" w:rsidR="000A67C7" w:rsidRPr="00E442D8" w:rsidRDefault="000A67C7" w:rsidP="00A26916">
                  <w:pPr>
                    <w:pStyle w:val="af1"/>
                    <w:framePr w:hSpace="181" w:wrap="around" w:vAnchor="page" w:hAnchor="margin" w:y="1162"/>
                    <w:spacing w:after="0"/>
                    <w:ind w:left="0"/>
                    <w:jc w:val="center"/>
                    <w:rPr>
                      <w:sz w:val="24"/>
                      <w:szCs w:val="24"/>
                      <w:lang w:val="ru-RU"/>
                    </w:rPr>
                  </w:pPr>
                  <w:r>
                    <w:rPr>
                      <w:sz w:val="24"/>
                      <w:szCs w:val="24"/>
                      <w:lang w:val="ru-RU"/>
                    </w:rPr>
                    <w:t>800</w:t>
                  </w:r>
                </w:p>
              </w:tc>
              <w:tc>
                <w:tcPr>
                  <w:tcW w:w="1134" w:type="dxa"/>
                </w:tcPr>
                <w:p w14:paraId="7786423A" w14:textId="77777777" w:rsidR="000A67C7" w:rsidRPr="00E442D8" w:rsidRDefault="000A67C7" w:rsidP="00A26916">
                  <w:pPr>
                    <w:pStyle w:val="af1"/>
                    <w:framePr w:hSpace="181" w:wrap="around" w:vAnchor="page" w:hAnchor="margin" w:y="1162"/>
                    <w:spacing w:after="0"/>
                    <w:ind w:left="0"/>
                    <w:jc w:val="center"/>
                    <w:rPr>
                      <w:sz w:val="24"/>
                      <w:szCs w:val="24"/>
                      <w:lang w:val="ru-RU"/>
                    </w:rPr>
                  </w:pPr>
                  <w:r>
                    <w:rPr>
                      <w:sz w:val="24"/>
                      <w:szCs w:val="24"/>
                      <w:lang w:val="ru-RU"/>
                    </w:rPr>
                    <w:t>800</w:t>
                  </w:r>
                </w:p>
              </w:tc>
              <w:tc>
                <w:tcPr>
                  <w:tcW w:w="1134" w:type="dxa"/>
                </w:tcPr>
                <w:p w14:paraId="74A7965D" w14:textId="0BD8819B" w:rsidR="000A67C7" w:rsidRPr="00E442D8" w:rsidRDefault="000A67C7" w:rsidP="00A26916">
                  <w:pPr>
                    <w:pStyle w:val="af1"/>
                    <w:framePr w:hSpace="181" w:wrap="around" w:vAnchor="page" w:hAnchor="margin" w:y="1162"/>
                    <w:spacing w:after="0"/>
                    <w:ind w:left="0"/>
                    <w:jc w:val="center"/>
                    <w:rPr>
                      <w:sz w:val="24"/>
                      <w:szCs w:val="24"/>
                      <w:lang w:val="ru-RU"/>
                    </w:rPr>
                  </w:pPr>
                  <w:r>
                    <w:rPr>
                      <w:sz w:val="24"/>
                      <w:szCs w:val="24"/>
                      <w:lang w:val="ru-RU"/>
                    </w:rPr>
                    <w:t>2</w:t>
                  </w:r>
                  <w:r w:rsidR="00836E4F" w:rsidRPr="007E6536">
                    <w:rPr>
                      <w:sz w:val="24"/>
                      <w:szCs w:val="24"/>
                      <w:lang w:val="ru-RU"/>
                    </w:rPr>
                    <w:t>,</w:t>
                  </w:r>
                  <w:r>
                    <w:rPr>
                      <w:sz w:val="24"/>
                      <w:szCs w:val="24"/>
                      <w:lang w:val="ru-RU"/>
                    </w:rPr>
                    <w:t>400</w:t>
                  </w:r>
                </w:p>
              </w:tc>
            </w:tr>
          </w:tbl>
          <w:p w14:paraId="2F694D6A" w14:textId="77777777" w:rsidR="000A67C7" w:rsidRPr="0023526B" w:rsidRDefault="000A67C7" w:rsidP="000A67C7">
            <w:pPr>
              <w:pStyle w:val="a1"/>
              <w:cnfStyle w:val="000000100000" w:firstRow="0" w:lastRow="0" w:firstColumn="0" w:lastColumn="0" w:oddVBand="0" w:evenVBand="0" w:oddHBand="1" w:evenHBand="0" w:firstRowFirstColumn="0" w:firstRowLastColumn="0" w:lastRowFirstColumn="0" w:lastRowLastColumn="0"/>
              <w:rPr>
                <w:sz w:val="22"/>
                <w:lang w:val="ru-RU"/>
              </w:rPr>
            </w:pPr>
            <w:r w:rsidRPr="0023526B">
              <w:rPr>
                <w:bCs/>
                <w:sz w:val="22"/>
                <w:lang w:val="ru-RU"/>
              </w:rPr>
              <w:t>Расчеты произведены на основании запланированных индикаторов по охвату и выявлению в 2024-2026гг.</w:t>
            </w:r>
          </w:p>
          <w:p w14:paraId="75CBBB43" w14:textId="77777777"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lang w:val="ru-RU"/>
              </w:rPr>
            </w:pPr>
            <w:r w:rsidRPr="0023526B">
              <w:rPr>
                <w:bCs/>
                <w:lang w:val="ru-RU"/>
              </w:rPr>
              <w:t>В связи с внедрением новых методик диагностики</w:t>
            </w:r>
            <w:r w:rsidRPr="0023526B">
              <w:rPr>
                <w:b/>
                <w:bCs/>
                <w:lang w:val="ru-RU"/>
              </w:rPr>
              <w:t xml:space="preserve"> </w:t>
            </w:r>
            <w:r w:rsidRPr="0023526B">
              <w:rPr>
                <w:bCs/>
                <w:lang w:val="ru-RU"/>
              </w:rPr>
              <w:t>запланированы</w:t>
            </w:r>
            <w:r w:rsidRPr="0023526B">
              <w:rPr>
                <w:b/>
                <w:bCs/>
                <w:lang w:val="ru-RU"/>
              </w:rPr>
              <w:t xml:space="preserve"> обучения сотрудников ТБ лабораторий новым методам диагностики (</w:t>
            </w:r>
            <w:r w:rsidRPr="0023526B">
              <w:rPr>
                <w:b/>
                <w:bCs/>
              </w:rPr>
              <w:t>Xpert</w:t>
            </w:r>
            <w:r w:rsidRPr="0023526B">
              <w:rPr>
                <w:b/>
                <w:bCs/>
                <w:lang w:val="ru-RU"/>
              </w:rPr>
              <w:t xml:space="preserve"> </w:t>
            </w:r>
            <w:r w:rsidRPr="0023526B">
              <w:rPr>
                <w:b/>
                <w:bCs/>
              </w:rPr>
              <w:t>XDR</w:t>
            </w:r>
            <w:r w:rsidRPr="0023526B">
              <w:rPr>
                <w:b/>
                <w:bCs/>
                <w:lang w:val="ru-RU"/>
              </w:rPr>
              <w:t xml:space="preserve">) </w:t>
            </w:r>
            <w:r w:rsidRPr="0023526B">
              <w:rPr>
                <w:lang w:val="ru-RU"/>
              </w:rPr>
              <w:t xml:space="preserve">для лабораторных специалистов каждого региона (в 2025 году по мере обновления аппаратов). </w:t>
            </w:r>
          </w:p>
          <w:p w14:paraId="67634F82" w14:textId="77777777"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b/>
                <w:lang w:val="ru-RU"/>
              </w:rPr>
            </w:pPr>
            <w:r w:rsidRPr="0023526B">
              <w:rPr>
                <w:b/>
                <w:lang w:val="ru-RU"/>
              </w:rPr>
              <w:t>Лечение, уход и поддержка</w:t>
            </w:r>
          </w:p>
          <w:p w14:paraId="67EE14A7" w14:textId="77777777"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lang w:val="ru-RU"/>
              </w:rPr>
            </w:pPr>
            <w:r w:rsidRPr="0023526B">
              <w:rPr>
                <w:lang w:val="ru-RU"/>
              </w:rPr>
              <w:t xml:space="preserve">Мероприятия по комплексной поддержке больных лекарственно-устойчивым туберкулезом. </w:t>
            </w:r>
          </w:p>
          <w:p w14:paraId="339B301F" w14:textId="0CA525B7"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lang w:val="ru-RU"/>
              </w:rPr>
            </w:pPr>
            <w:r w:rsidRPr="0023526B">
              <w:rPr>
                <w:lang w:val="ru-RU"/>
              </w:rPr>
              <w:t xml:space="preserve">В стране программное внедрение 6-ти месячных режимов </w:t>
            </w:r>
            <w:r w:rsidRPr="0023526B">
              <w:rPr>
                <w:bCs/>
                <w:lang w:val="ru-RU"/>
              </w:rPr>
              <w:t>BPaL и BPaLM</w:t>
            </w:r>
            <w:r w:rsidRPr="0023526B">
              <w:rPr>
                <w:b/>
                <w:bCs/>
                <w:lang w:val="ru-RU"/>
              </w:rPr>
              <w:t xml:space="preserve"> </w:t>
            </w:r>
            <w:r w:rsidRPr="0023526B">
              <w:rPr>
                <w:bCs/>
                <w:lang w:val="ru-RU"/>
              </w:rPr>
              <w:t>начаты с 2022 года.</w:t>
            </w:r>
            <w:r w:rsidRPr="0023526B">
              <w:rPr>
                <w:b/>
                <w:bCs/>
                <w:lang w:val="ru-RU"/>
              </w:rPr>
              <w:t xml:space="preserve"> </w:t>
            </w:r>
            <w:r w:rsidRPr="0023526B">
              <w:rPr>
                <w:lang w:val="ru-RU"/>
              </w:rPr>
              <w:t>В феврале 2023 год</w:t>
            </w:r>
            <w:r w:rsidR="008F7521" w:rsidRPr="0023526B">
              <w:rPr>
                <w:lang w:val="ru-RU"/>
              </w:rPr>
              <w:t>а</w:t>
            </w:r>
            <w:r w:rsidRPr="0023526B">
              <w:rPr>
                <w:lang w:val="ru-RU"/>
              </w:rPr>
              <w:t xml:space="preserve"> обновлено КР/КП по ЛУ ТБ с включением краткосрочных режимов, рекомендованных ВОЗом в декабре 2022 г. </w:t>
            </w:r>
            <w:r w:rsidRPr="0023526B">
              <w:rPr>
                <w:b/>
                <w:bCs/>
                <w:lang w:val="ru-RU"/>
              </w:rPr>
              <w:t>(включая 6-месячные схемы BPaL и B</w:t>
            </w:r>
            <w:r w:rsidR="008F7521" w:rsidRPr="0023526B">
              <w:rPr>
                <w:b/>
                <w:bCs/>
                <w:lang w:val="ru-RU"/>
              </w:rPr>
              <w:t>p</w:t>
            </w:r>
            <w:r w:rsidRPr="0023526B">
              <w:rPr>
                <w:b/>
                <w:bCs/>
                <w:lang w:val="ru-RU"/>
              </w:rPr>
              <w:t>aLM и 9-месячные полностью пероральные схемы на программных условиях)</w:t>
            </w:r>
            <w:r w:rsidRPr="0023526B">
              <w:rPr>
                <w:lang w:val="ru-RU"/>
              </w:rPr>
              <w:t>, после обсуждения заинтересованными сторонами будет подано на утверждение Министерства здравоохранения. Охват краткосрочными курсами будет увеличен в течение реализации гранта с 45% до 60%.</w:t>
            </w:r>
          </w:p>
          <w:p w14:paraId="6391ECDA" w14:textId="3F2808F8"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b/>
                <w:bCs/>
                <w:lang w:val="ru-RU"/>
              </w:rPr>
            </w:pPr>
            <w:r w:rsidRPr="0023526B">
              <w:rPr>
                <w:b/>
                <w:bCs/>
                <w:lang w:val="ru-RU"/>
              </w:rPr>
              <w:t xml:space="preserve">Закупка и обеспечение лечения препаратами второго ряда для пациентов с ЛУ-ТБ в рамках амбулаторных, децентрализованных моделей, ориентированных на пациента </w:t>
            </w:r>
            <w:r w:rsidRPr="0023526B">
              <w:rPr>
                <w:bCs/>
                <w:lang w:val="ru-RU"/>
              </w:rPr>
              <w:t>за счет гранта будет частичной</w:t>
            </w:r>
            <w:r w:rsidRPr="0023526B">
              <w:rPr>
                <w:b/>
                <w:bCs/>
                <w:lang w:val="ru-RU"/>
              </w:rPr>
              <w:t xml:space="preserve">. </w:t>
            </w:r>
            <w:r w:rsidRPr="0023526B">
              <w:rPr>
                <w:lang w:val="ru-RU"/>
              </w:rPr>
              <w:t xml:space="preserve">Расходы на приобретение препаратов со стороны госбюджета (кроме </w:t>
            </w:r>
            <w:r w:rsidRPr="0023526B">
              <w:t>Bdq</w:t>
            </w:r>
            <w:r w:rsidRPr="0023526B">
              <w:rPr>
                <w:lang w:val="ru-RU"/>
              </w:rPr>
              <w:t xml:space="preserve">, </w:t>
            </w:r>
            <w:r w:rsidRPr="0023526B">
              <w:t>Dlm</w:t>
            </w:r>
            <w:r w:rsidRPr="0023526B">
              <w:rPr>
                <w:lang w:val="ru-RU"/>
              </w:rPr>
              <w:t xml:space="preserve"> и </w:t>
            </w:r>
            <w:r w:rsidRPr="0023526B">
              <w:t>Pa</w:t>
            </w:r>
            <w:r w:rsidRPr="0023526B">
              <w:rPr>
                <w:lang w:val="ru-RU"/>
              </w:rPr>
              <w:t xml:space="preserve">) будут постепенно увеличиваться в соотношении </w:t>
            </w:r>
            <w:r w:rsidRPr="0023526B">
              <w:t>c</w:t>
            </w:r>
            <w:r w:rsidRPr="0023526B">
              <w:rPr>
                <w:lang w:val="ru-RU"/>
              </w:rPr>
              <w:t xml:space="preserve"> 22% до 26% в 2024-2026 гг., соответственно. Все препараты будут закупаться через международные платформы для обеспечения лучшего соотношения стоимости и гарантированного качества. </w:t>
            </w:r>
            <w:r w:rsidRPr="0023526B">
              <w:rPr>
                <w:b/>
                <w:bCs/>
                <w:lang w:val="ru-RU"/>
              </w:rPr>
              <w:t>Дополнительный контроль качества</w:t>
            </w:r>
            <w:r w:rsidRPr="0023526B">
              <w:rPr>
                <w:lang w:val="ru-RU"/>
              </w:rPr>
              <w:t xml:space="preserve"> ПТП также поддержит их качество. Для снижения нежелательных явлений </w:t>
            </w:r>
            <w:r w:rsidRPr="0023526B">
              <w:t>Cs</w:t>
            </w:r>
            <w:r w:rsidRPr="0023526B">
              <w:rPr>
                <w:lang w:val="ru-RU"/>
              </w:rPr>
              <w:t xml:space="preserve"> </w:t>
            </w:r>
            <w:r w:rsidRPr="0023526B">
              <w:t>Lzd</w:t>
            </w:r>
            <w:r w:rsidRPr="0023526B">
              <w:rPr>
                <w:lang w:val="ru-RU"/>
              </w:rPr>
              <w:t xml:space="preserve"> в КР/КП по менеджменту НЯ ПТП в Кыргызской </w:t>
            </w:r>
            <w:r w:rsidRPr="0023526B">
              <w:rPr>
                <w:lang w:val="ru-RU"/>
              </w:rPr>
              <w:lastRenderedPageBreak/>
              <w:t xml:space="preserve">Республике (2022 г.) рекомендуется применение пиридоксина. Поскольку монопрепарата </w:t>
            </w:r>
            <w:r w:rsidRPr="0023526B">
              <w:rPr>
                <w:b/>
                <w:bCs/>
                <w:lang w:val="ru-RU"/>
              </w:rPr>
              <w:t xml:space="preserve">пиридоксина </w:t>
            </w:r>
            <w:r w:rsidRPr="0023526B">
              <w:rPr>
                <w:lang w:val="ru-RU"/>
              </w:rPr>
              <w:t>(витамин В6) нет на рынке КР, за счет гранта бу</w:t>
            </w:r>
            <w:r w:rsidR="00842BCB" w:rsidRPr="0023526B">
              <w:rPr>
                <w:lang w:val="ru-RU"/>
              </w:rPr>
              <w:t xml:space="preserve">дет </w:t>
            </w:r>
            <w:r w:rsidRPr="0023526B">
              <w:rPr>
                <w:lang w:val="ru-RU"/>
              </w:rPr>
              <w:t>требоваться</w:t>
            </w:r>
            <w:r w:rsidRPr="0023526B">
              <w:rPr>
                <w:b/>
                <w:bCs/>
                <w:lang w:val="ru-RU"/>
              </w:rPr>
              <w:t xml:space="preserve"> обеспечение пациентов с МЛУ-ТБ </w:t>
            </w:r>
            <w:r w:rsidRPr="0023526B">
              <w:rPr>
                <w:bCs/>
                <w:lang w:val="ru-RU"/>
              </w:rPr>
              <w:t>Вит В6.</w:t>
            </w:r>
            <w:r w:rsidRPr="0023526B">
              <w:rPr>
                <w:b/>
                <w:bCs/>
                <w:lang w:val="ru-RU"/>
              </w:rPr>
              <w:t xml:space="preserve"> </w:t>
            </w:r>
          </w:p>
          <w:p w14:paraId="70384DFF" w14:textId="77777777" w:rsidR="000A67C7" w:rsidRPr="0023526B" w:rsidRDefault="000A67C7" w:rsidP="000A67C7">
            <w:pPr>
              <w:shd w:val="clear" w:color="auto" w:fill="D5DBFD" w:themeFill="accent2" w:themeFillTint="33"/>
              <w:jc w:val="both"/>
              <w:cnfStyle w:val="000000100000" w:firstRow="0" w:lastRow="0" w:firstColumn="0" w:lastColumn="0" w:oddVBand="0" w:evenVBand="0" w:oddHBand="1" w:evenHBand="0" w:firstRowFirstColumn="0" w:firstRowLastColumn="0" w:lastRowFirstColumn="0" w:lastRowLastColumn="0"/>
              <w:rPr>
                <w:b/>
                <w:bCs/>
                <w:lang w:val="ru-RU"/>
              </w:rPr>
            </w:pPr>
            <w:r w:rsidRPr="0023526B">
              <w:rPr>
                <w:b/>
                <w:bCs/>
                <w:lang w:val="ru-RU"/>
              </w:rPr>
              <w:t>Мероприятия по социальной поддержке пациентов и повышению приверженности лечению</w:t>
            </w:r>
          </w:p>
          <w:p w14:paraId="3B151192" w14:textId="68F9383E"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lang w:val="ru-RU"/>
              </w:rPr>
            </w:pPr>
            <w:r w:rsidRPr="0023526B">
              <w:rPr>
                <w:bCs/>
                <w:lang w:val="ru-RU"/>
              </w:rPr>
              <w:t>Будут сохраняться</w:t>
            </w:r>
            <w:r w:rsidRPr="0023526B">
              <w:rPr>
                <w:b/>
                <w:bCs/>
                <w:lang w:val="ru-RU"/>
              </w:rPr>
              <w:t xml:space="preserve"> мероприятия по социальной поддержке пациентов</w:t>
            </w:r>
            <w:r w:rsidRPr="0023526B">
              <w:rPr>
                <w:lang w:val="ru-RU"/>
              </w:rPr>
              <w:t xml:space="preserve"> в виде ежемесячных выплат. Согласно утвержденной стратегии механизма мотивационных выплат, ежемесячно все ОЦБТ составляют список лиц, находящихся на амбулаторном лечении, где указываются пропуски в лечении. Пациенты получат 1</w:t>
            </w:r>
            <w:r w:rsidR="008F7521" w:rsidRPr="0023526B">
              <w:rPr>
                <w:lang w:val="ru-RU"/>
              </w:rPr>
              <w:t>,</w:t>
            </w:r>
            <w:r w:rsidRPr="0023526B">
              <w:rPr>
                <w:lang w:val="ru-RU"/>
              </w:rPr>
              <w:t>000 сомов ($12) в случае хорошей приверженности к лечению, т.е. при непрерывном лечении и ежемесячном обследовании, демонстриру</w:t>
            </w:r>
            <w:r w:rsidR="008F7521" w:rsidRPr="0023526B">
              <w:rPr>
                <w:lang w:val="ru-RU"/>
              </w:rPr>
              <w:t>я</w:t>
            </w:r>
            <w:r w:rsidRPr="0023526B">
              <w:rPr>
                <w:lang w:val="ru-RU"/>
              </w:rPr>
              <w:t xml:space="preserve"> хороши</w:t>
            </w:r>
            <w:r w:rsidR="008F7521" w:rsidRPr="0023526B">
              <w:rPr>
                <w:lang w:val="ru-RU"/>
              </w:rPr>
              <w:t>е</w:t>
            </w:r>
            <w:r w:rsidRPr="0023526B">
              <w:rPr>
                <w:lang w:val="ru-RU"/>
              </w:rPr>
              <w:t xml:space="preserve"> результат</w:t>
            </w:r>
            <w:r w:rsidR="008F7521" w:rsidRPr="0023526B">
              <w:rPr>
                <w:lang w:val="ru-RU"/>
              </w:rPr>
              <w:t>ы</w:t>
            </w:r>
            <w:r w:rsidRPr="0023526B">
              <w:rPr>
                <w:lang w:val="ru-RU"/>
              </w:rPr>
              <w:t>.</w:t>
            </w:r>
          </w:p>
          <w:p w14:paraId="324FD11A" w14:textId="77777777"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b/>
                <w:bCs/>
                <w:lang w:val="ru-RU"/>
              </w:rPr>
            </w:pPr>
            <w:r w:rsidRPr="0023526B">
              <w:rPr>
                <w:lang w:val="ru-RU"/>
              </w:rPr>
              <w:t xml:space="preserve">В рамках данной заявки планируются </w:t>
            </w:r>
            <w:r w:rsidRPr="0023526B">
              <w:rPr>
                <w:b/>
                <w:bCs/>
                <w:lang w:val="ru-RU"/>
              </w:rPr>
              <w:t xml:space="preserve">мероприятия по повышению приверженности пациентов лечению с использованием цифровых технологий: </w:t>
            </w:r>
          </w:p>
          <w:p w14:paraId="3B159BBA" w14:textId="77777777"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b/>
                <w:bCs/>
                <w:lang w:val="ru-RU"/>
              </w:rPr>
            </w:pPr>
            <w:r w:rsidRPr="0023526B">
              <w:rPr>
                <w:b/>
                <w:lang w:val="ru-RU"/>
              </w:rPr>
              <w:t>Видеосопровождение лечения</w:t>
            </w:r>
            <w:r w:rsidRPr="0023526B">
              <w:rPr>
                <w:lang w:val="ru-RU"/>
              </w:rPr>
              <w:t xml:space="preserve"> рекомендовано ВОЗ и в стране уже накоплен положительный опыт его применения, особенно в условиях ограниченных возможностей передвижения, - включает тарифные планы (единицы) для обеспечения пациентов мобильной связью (из расчета 40%, 50%, 60% пациентов с МЛУ-ТБ на лечении в 2024-2026гг., соответственно), при этом используются мобильные устройства связи, имеющиеся на руках у самих пациентов. ПТП лица с ТБ будут получать на 1 неделю, а</w:t>
            </w:r>
            <w:r w:rsidRPr="0023526B">
              <w:rPr>
                <w:bCs/>
                <w:lang w:val="ru-RU"/>
              </w:rPr>
              <w:t xml:space="preserve"> кейс-менеджера будут контролировать прием ПТП путем ВСЛ.</w:t>
            </w:r>
          </w:p>
          <w:p w14:paraId="4703FAC6" w14:textId="70D5A72D"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b/>
                <w:bCs/>
                <w:lang w:val="ru-RU"/>
              </w:rPr>
            </w:pPr>
            <w:r w:rsidRPr="0023526B">
              <w:rPr>
                <w:lang w:val="ru-RU"/>
              </w:rPr>
              <w:t xml:space="preserve">Требуется усиление роли служб поддержки на уровне сообществ для охвата ключевых и уязвимых групп населения, подверженных повышенному риску заболевания ТБ, и для решения конкретных проблем и препятствий, с которыми они сталкиваются, что может помешать им получить доступ к лечению ТБ. </w:t>
            </w:r>
            <w:r w:rsidRPr="0023526B">
              <w:rPr>
                <w:b/>
                <w:lang w:val="ru-RU"/>
              </w:rPr>
              <w:t>С этой целью в рамках гранта ГФ будет поддержано социальное сопровождение людей с МЛУ-ТБ, нуждающихся в социальной поддержке для успешного завершения лечения. Проводится среди ключевых групп при помощи привлечения НПО в 3-х регионах.</w:t>
            </w:r>
            <w:r w:rsidRPr="0023526B">
              <w:rPr>
                <w:lang w:val="ru-RU"/>
              </w:rPr>
              <w:t xml:space="preserve"> В остальных областях данный компонент будет покрываться за счет госсоцзаказа </w:t>
            </w:r>
            <w:r w:rsidRPr="0023526B">
              <w:rPr>
                <w:bCs/>
                <w:lang w:val="ru-RU"/>
              </w:rPr>
              <w:t xml:space="preserve">(в 2023 году - западная часть Чуйской области, затем в тех неблагополучных по ТБ регионах) </w:t>
            </w:r>
            <w:r w:rsidRPr="0023526B">
              <w:rPr>
                <w:lang w:val="ru-RU"/>
              </w:rPr>
              <w:t xml:space="preserve">и других партнерских проектов </w:t>
            </w:r>
            <w:r w:rsidRPr="0023526B">
              <w:rPr>
                <w:bCs/>
                <w:lang w:val="ru-RU"/>
              </w:rPr>
              <w:t>(ЮСАИД)</w:t>
            </w:r>
            <w:r w:rsidRPr="0023526B">
              <w:rPr>
                <w:lang w:val="ru-RU"/>
              </w:rPr>
              <w:t>. Данная активность будет объединена вместе с услугами по активному выявлению ТБ и включена в единый стандартизованный пакет оказания помощи силами НПО (одна и та же НПО будет осуществлять услуги на данной географической территории по всему каскаду противотуберкулезной помощи).</w:t>
            </w:r>
            <w:r w:rsidRPr="0023526B">
              <w:rPr>
                <w:bCs/>
                <w:lang w:val="ru-RU"/>
              </w:rPr>
              <w:t xml:space="preserve"> </w:t>
            </w:r>
            <w:r w:rsidRPr="0023526B">
              <w:rPr>
                <w:b/>
                <w:bCs/>
                <w:lang w:val="ru-RU"/>
              </w:rPr>
              <w:t xml:space="preserve"> Отдельный комплекс мер предусмотрен для категории людей, освободившихся из мест лишения свободы, среди которых особенно высок риск потери для последующего наблюдения. Сюда включены: (1) Поддержка центров временного пребывания для людей, попавших в трудную жизненную ситуацию и проходящих лечение по туберкулезу </w:t>
            </w:r>
            <w:r w:rsidRPr="0023526B">
              <w:rPr>
                <w:lang w:val="ru-RU"/>
              </w:rPr>
              <w:t xml:space="preserve">в гг. Бишкек и Ош </w:t>
            </w:r>
            <w:r w:rsidR="008F7521" w:rsidRPr="0023526B">
              <w:rPr>
                <w:lang w:val="ru-RU"/>
              </w:rPr>
              <w:t xml:space="preserve">для </w:t>
            </w:r>
            <w:r w:rsidRPr="0023526B">
              <w:rPr>
                <w:lang w:val="ru-RU"/>
              </w:rPr>
              <w:t xml:space="preserve">8 </w:t>
            </w:r>
            <w:r w:rsidR="008F7521" w:rsidRPr="0023526B">
              <w:rPr>
                <w:lang w:val="ru-RU"/>
              </w:rPr>
              <w:t xml:space="preserve">людей </w:t>
            </w:r>
            <w:r w:rsidRPr="0023526B">
              <w:rPr>
                <w:lang w:val="ru-RU"/>
              </w:rPr>
              <w:t>улучшит приверженность к лечению лиц с ТБ.</w:t>
            </w:r>
          </w:p>
          <w:p w14:paraId="7EB84D5A" w14:textId="77777777"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b/>
                <w:bCs/>
                <w:lang w:val="ru-RU"/>
              </w:rPr>
            </w:pPr>
            <w:r w:rsidRPr="0023526B">
              <w:rPr>
                <w:b/>
                <w:bCs/>
                <w:lang w:val="ru-RU"/>
              </w:rPr>
              <w:t xml:space="preserve">(2) Социальное сопровождение лиц, освободившихся из мест заключения в гражданский сектор с ТБ и активное выявление среди осужденных, находящихся в колониях-поселениях включая службу пробации. </w:t>
            </w:r>
          </w:p>
          <w:p w14:paraId="7F7C6436" w14:textId="77777777" w:rsidR="000A67C7" w:rsidRPr="0023526B" w:rsidRDefault="000A67C7" w:rsidP="000A67C7">
            <w:pPr>
              <w:shd w:val="clear" w:color="auto" w:fill="D5DBFD" w:themeFill="accent2" w:themeFillTint="33"/>
              <w:jc w:val="both"/>
              <w:cnfStyle w:val="000000100000" w:firstRow="0" w:lastRow="0" w:firstColumn="0" w:lastColumn="0" w:oddVBand="0" w:evenVBand="0" w:oddHBand="1" w:evenHBand="0" w:firstRowFirstColumn="0" w:firstRowLastColumn="0" w:lastRowFirstColumn="0" w:lastRowLastColumn="0"/>
              <w:rPr>
                <w:b/>
                <w:bCs/>
                <w:lang w:val="ru-RU"/>
              </w:rPr>
            </w:pPr>
            <w:r w:rsidRPr="0023526B">
              <w:rPr>
                <w:b/>
                <w:bCs/>
                <w:lang w:val="ru-RU"/>
              </w:rPr>
              <w:t xml:space="preserve">Обучение и мотивация персонала, занятого в лечении и уходе при МЛУ-ТБ </w:t>
            </w:r>
          </w:p>
          <w:p w14:paraId="621D68D2" w14:textId="77777777"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b/>
                <w:bCs/>
                <w:lang w:val="ru-RU"/>
              </w:rPr>
            </w:pPr>
            <w:r w:rsidRPr="0023526B">
              <w:rPr>
                <w:b/>
                <w:bCs/>
                <w:lang w:val="ru-RU"/>
              </w:rPr>
              <w:lastRenderedPageBreak/>
              <w:t xml:space="preserve">Обучение персонала, занимающихся лечением ЛУ-ТБ (врачи-фтизиатры, врачи ПСМП, вовлеченные в амбулаторное лечение МЛУ-ТБ). </w:t>
            </w:r>
            <w:r w:rsidRPr="0023526B">
              <w:rPr>
                <w:lang w:val="ru-RU"/>
              </w:rPr>
              <w:t xml:space="preserve">Обучение проводится для врачей из всех регионов, включая СИН.  Следует отметить, что все тренинги для медперсонала будут включать модуль по правовым и гендерным аспектам оказания противотуберкулезной помощи населению в КР, а также вопросы стигмы и диксриминации с отработкой практических навыков и привлечением экспертов, представляющих гражданское общество. Также включает </w:t>
            </w:r>
            <w:r w:rsidRPr="0023526B">
              <w:rPr>
                <w:b/>
                <w:lang w:val="ru-RU"/>
              </w:rPr>
              <w:t xml:space="preserve">обучение клиницистов на международных тренингах. </w:t>
            </w:r>
          </w:p>
          <w:p w14:paraId="1D4B2E36" w14:textId="4F7B4A87" w:rsidR="000A67C7" w:rsidRPr="0023526B" w:rsidRDefault="008F7521" w:rsidP="000A67C7">
            <w:pPr>
              <w:shd w:val="clear" w:color="auto" w:fill="D5DBFD" w:themeFill="accent2" w:themeFillTint="33"/>
              <w:cnfStyle w:val="000000100000" w:firstRow="0" w:lastRow="0" w:firstColumn="0" w:lastColumn="0" w:oddVBand="0" w:evenVBand="0" w:oddHBand="1" w:evenHBand="0" w:firstRowFirstColumn="0" w:firstRowLastColumn="0" w:lastRowFirstColumn="0" w:lastRowLastColumn="0"/>
              <w:rPr>
                <w:b/>
                <w:bCs/>
                <w:lang w:val="ru-RU"/>
              </w:rPr>
            </w:pPr>
            <w:r w:rsidRPr="0023526B">
              <w:rPr>
                <w:b/>
                <w:bCs/>
                <w:lang w:val="ru-RU"/>
              </w:rPr>
              <w:t>Сопутствующие мероприятия, направленные на улучшение показателей каскада лечения</w:t>
            </w:r>
          </w:p>
          <w:p w14:paraId="68389300" w14:textId="77777777"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b/>
                <w:bCs/>
                <w:lang w:val="ru-RU"/>
              </w:rPr>
            </w:pPr>
            <w:r w:rsidRPr="0023526B">
              <w:rPr>
                <w:lang w:val="ru-RU"/>
              </w:rPr>
              <w:t xml:space="preserve">Клинические руководства/протоколы по туберкулезу (2013 г.) ранее не предусматривали раздел по активному скринингу. В связи с этим необходимо </w:t>
            </w:r>
            <w:r w:rsidRPr="0023526B">
              <w:rPr>
                <w:b/>
                <w:lang w:val="ru-RU"/>
              </w:rPr>
              <w:t>Обновление КР/КП по ТБ, включая КР/КП на уровне ПСМП</w:t>
            </w:r>
            <w:r w:rsidRPr="0023526B">
              <w:rPr>
                <w:bCs/>
                <w:lang w:val="ru-RU"/>
              </w:rPr>
              <w:t>, с введением раздела «Активный скрининг ТБ, новых методов диагностики и режимов лечения». Обновление КР/КП предусмотрено в 2024 и 2026 годы</w:t>
            </w:r>
            <w:r w:rsidRPr="0023526B">
              <w:rPr>
                <w:b/>
                <w:lang w:val="ru-RU"/>
              </w:rPr>
              <w:t xml:space="preserve">. </w:t>
            </w:r>
            <w:r w:rsidRPr="0023526B">
              <w:rPr>
                <w:lang w:val="ru-RU"/>
              </w:rPr>
              <w:t>Планируется</w:t>
            </w:r>
            <w:r w:rsidRPr="0023526B">
              <w:rPr>
                <w:b/>
                <w:lang w:val="ru-RU"/>
              </w:rPr>
              <w:t xml:space="preserve"> Обучение медицинских работников ПМСП и ПТО</w:t>
            </w:r>
            <w:r w:rsidRPr="0023526B">
              <w:rPr>
                <w:bCs/>
                <w:lang w:val="ru-RU"/>
              </w:rPr>
              <w:t xml:space="preserve"> с целью внедрения обновленного КР/КП по скринингу на ТБ для медицинских работников каждой области, гг. Бишкек и Ош.</w:t>
            </w:r>
          </w:p>
          <w:p w14:paraId="5D6C487B" w14:textId="77777777"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lang w:val="ru-RU"/>
              </w:rPr>
            </w:pPr>
            <w:r w:rsidRPr="0023526B">
              <w:rPr>
                <w:bCs/>
                <w:lang w:val="ru-RU"/>
              </w:rPr>
              <w:t>Предусмотреть</w:t>
            </w:r>
            <w:r w:rsidRPr="0023526B">
              <w:rPr>
                <w:b/>
                <w:bCs/>
                <w:lang w:val="ru-RU"/>
              </w:rPr>
              <w:t xml:space="preserve"> поддержку транспортной системы в случае возникновения перебоев с доставкой патологического материала. </w:t>
            </w:r>
            <w:r w:rsidRPr="0023526B">
              <w:rPr>
                <w:lang w:val="ru-RU"/>
              </w:rPr>
              <w:t>Дальнейшее расширение применения метода геномного секвенирования как часть национальной системы мультипатогенного лабораторного эпиднадзора, а также ТЛЧ при одобрении данной методики ВОЗ.</w:t>
            </w:r>
          </w:p>
          <w:p w14:paraId="1E257C97" w14:textId="77777777"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lang w:val="ru-RU"/>
              </w:rPr>
            </w:pPr>
            <w:r w:rsidRPr="0023526B">
              <w:rPr>
                <w:lang w:val="ru-RU"/>
              </w:rPr>
              <w:t xml:space="preserve">Министерством здравоохранения КР приняты меры по обеспечению устойчивого функционирования системы транспортировки мокроты от групп семейных врачей (ГСВ) и фельдшерско-акушерских пунктов (ФАП) до соответствующих лабораторий. Проведение экспертной </w:t>
            </w:r>
            <w:r w:rsidRPr="0023526B">
              <w:rPr>
                <w:b/>
                <w:lang w:val="ru-RU"/>
              </w:rPr>
              <w:t>оценки результатов перехода на внутреннее финансирование</w:t>
            </w:r>
            <w:r w:rsidRPr="0023526B">
              <w:rPr>
                <w:b/>
                <w:bCs/>
                <w:lang w:val="ru-RU"/>
              </w:rPr>
              <w:t xml:space="preserve"> механизмов транспортировки образцов</w:t>
            </w:r>
            <w:r w:rsidRPr="0023526B">
              <w:rPr>
                <w:lang w:val="ru-RU"/>
              </w:rPr>
              <w:t xml:space="preserve"> с представлением результатов является очень важным аспектом.  </w:t>
            </w:r>
          </w:p>
          <w:p w14:paraId="1F296188" w14:textId="77777777"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lang w:val="ru-RU"/>
              </w:rPr>
            </w:pPr>
            <w:r w:rsidRPr="0023526B">
              <w:rPr>
                <w:b/>
                <w:bCs/>
                <w:lang w:val="ru-RU"/>
              </w:rPr>
              <w:t>Осуществление стимулирующих/мотивирующих выплат медработникам,</w:t>
            </w:r>
            <w:r w:rsidRPr="0023526B">
              <w:rPr>
                <w:lang w:val="ru-RU"/>
              </w:rPr>
              <w:t xml:space="preserve"> </w:t>
            </w:r>
            <w:r w:rsidRPr="0023526B">
              <w:rPr>
                <w:bCs/>
                <w:lang w:val="ru-RU"/>
              </w:rPr>
              <w:t xml:space="preserve">отвечающим за целевые индикаторы </w:t>
            </w:r>
            <w:r w:rsidRPr="0023526B">
              <w:rPr>
                <w:lang w:val="ru-RU"/>
              </w:rPr>
              <w:t xml:space="preserve">(республиканские координаторы, обл. координаторы, лаборанты, вольнонаемные СИН). </w:t>
            </w:r>
          </w:p>
          <w:p w14:paraId="118F6C7C" w14:textId="3EE9B0BC"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i/>
                <w:lang w:val="ru-RU"/>
              </w:rPr>
            </w:pPr>
            <w:r w:rsidRPr="0023526B">
              <w:rPr>
                <w:i/>
                <w:lang w:val="ru-RU"/>
              </w:rPr>
              <w:t>Выплаты медперсоналу проводятся согласно национальному законодательству за успешно пролеченный случай МЛУ-ТБ и включены в бюджет ФОМС в размере 24</w:t>
            </w:r>
            <w:r w:rsidR="008F7521" w:rsidRPr="0023526B">
              <w:rPr>
                <w:i/>
                <w:lang w:val="ru-RU"/>
              </w:rPr>
              <w:t>,</w:t>
            </w:r>
            <w:r w:rsidRPr="0023526B">
              <w:rPr>
                <w:i/>
                <w:lang w:val="ru-RU"/>
              </w:rPr>
              <w:t>000 сомов ($ 270).</w:t>
            </w:r>
          </w:p>
          <w:p w14:paraId="46418EDD" w14:textId="77777777"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b/>
                <w:bCs/>
                <w:lang w:val="ru-RU"/>
              </w:rPr>
            </w:pPr>
            <w:r w:rsidRPr="0023526B">
              <w:rPr>
                <w:bCs/>
                <w:lang w:val="ru-RU"/>
              </w:rPr>
              <w:t xml:space="preserve">Ранее практикуемая в стране выплата 500 сомов ($6) за выявленный случай ТБ не оправдала себя. В этой связи для повышения мотивации сотрудников ПМСП при выявлении ТБ нужна </w:t>
            </w:r>
            <w:r w:rsidRPr="0023526B">
              <w:rPr>
                <w:b/>
                <w:lang w:val="ru-RU"/>
              </w:rPr>
              <w:t>разработка механизма стимулирующих/мотивирующие выплат за каждый выявленный случай</w:t>
            </w:r>
            <w:r w:rsidRPr="0023526B">
              <w:rPr>
                <w:bCs/>
                <w:lang w:val="ru-RU"/>
              </w:rPr>
              <w:t xml:space="preserve"> ТБ для ПМСП, с последующим </w:t>
            </w:r>
            <w:r w:rsidRPr="0023526B">
              <w:rPr>
                <w:b/>
                <w:bCs/>
                <w:lang w:val="ru-RU"/>
              </w:rPr>
              <w:t xml:space="preserve">осуществлением стимулирующих/мотивирующих выплат мед работникам ПМСП за каждого выявленного ЛУ ТБ. </w:t>
            </w:r>
          </w:p>
          <w:p w14:paraId="04A89DCA" w14:textId="60D719BF" w:rsidR="000A67C7" w:rsidRPr="0023526B" w:rsidRDefault="008F7521" w:rsidP="007E6536">
            <w:pPr>
              <w:jc w:val="both"/>
              <w:cnfStyle w:val="000000100000" w:firstRow="0" w:lastRow="0" w:firstColumn="0" w:lastColumn="0" w:oddVBand="0" w:evenVBand="0" w:oddHBand="1" w:evenHBand="0" w:firstRowFirstColumn="0" w:firstRowLastColumn="0" w:lastRowFirstColumn="0" w:lastRowLastColumn="0"/>
              <w:rPr>
                <w:lang w:val="ru-RU"/>
              </w:rPr>
            </w:pPr>
            <w:r w:rsidRPr="0023526B">
              <w:rPr>
                <w:b/>
                <w:bCs/>
                <w:lang w:val="ru-RU"/>
              </w:rPr>
              <w:t>Среди мероприятий р</w:t>
            </w:r>
            <w:r w:rsidR="000A67C7" w:rsidRPr="0023526B">
              <w:rPr>
                <w:b/>
                <w:bCs/>
                <w:lang w:val="ru-RU"/>
              </w:rPr>
              <w:t>утинн</w:t>
            </w:r>
            <w:r w:rsidRPr="0023526B">
              <w:rPr>
                <w:b/>
                <w:bCs/>
                <w:lang w:val="ru-RU"/>
              </w:rPr>
              <w:t>ого</w:t>
            </w:r>
            <w:r w:rsidR="000A67C7" w:rsidRPr="0023526B">
              <w:rPr>
                <w:b/>
                <w:bCs/>
                <w:lang w:val="ru-RU"/>
              </w:rPr>
              <w:t xml:space="preserve"> мониторинг</w:t>
            </w:r>
            <w:r w:rsidRPr="0023526B">
              <w:rPr>
                <w:b/>
                <w:bCs/>
                <w:lang w:val="ru-RU"/>
              </w:rPr>
              <w:t>а планируются: (а) е</w:t>
            </w:r>
            <w:r w:rsidR="000A67C7" w:rsidRPr="0023526B">
              <w:rPr>
                <w:b/>
                <w:bCs/>
                <w:lang w:val="ru-RU"/>
              </w:rPr>
              <w:t xml:space="preserve">жегодный обзор национальной программы </w:t>
            </w:r>
            <w:r w:rsidR="000A67C7" w:rsidRPr="0023526B">
              <w:rPr>
                <w:bCs/>
                <w:lang w:val="ru-RU"/>
              </w:rPr>
              <w:t>с публикацией результатов</w:t>
            </w:r>
            <w:r w:rsidRPr="0023526B">
              <w:rPr>
                <w:lang w:val="ru-RU"/>
              </w:rPr>
              <w:t xml:space="preserve">; (б) </w:t>
            </w:r>
            <w:r w:rsidRPr="0023526B">
              <w:rPr>
                <w:bCs/>
                <w:lang w:val="ru-RU"/>
              </w:rPr>
              <w:t>п</w:t>
            </w:r>
            <w:r w:rsidR="000A67C7" w:rsidRPr="0023526B">
              <w:rPr>
                <w:bCs/>
                <w:lang w:val="ru-RU"/>
              </w:rPr>
              <w:t>роведение в 2025 году среднесрочной оценки Программы КМ КР "Туберкулез 6"</w:t>
            </w:r>
            <w:r w:rsidRPr="0023526B">
              <w:rPr>
                <w:bCs/>
                <w:lang w:val="ru-RU"/>
              </w:rPr>
              <w:t xml:space="preserve">; (в) </w:t>
            </w:r>
            <w:r w:rsidRPr="0023526B">
              <w:rPr>
                <w:b/>
                <w:bCs/>
                <w:lang w:val="ru-RU"/>
              </w:rPr>
              <w:t>о</w:t>
            </w:r>
            <w:r w:rsidR="000A67C7" w:rsidRPr="0023526B">
              <w:rPr>
                <w:b/>
                <w:bCs/>
                <w:lang w:val="ru-RU"/>
              </w:rPr>
              <w:t>снащение ПМСП и ПТО для ТБ МИС</w:t>
            </w:r>
            <w:r w:rsidRPr="0023526B">
              <w:rPr>
                <w:lang w:val="ru-RU"/>
              </w:rPr>
              <w:t xml:space="preserve"> – в</w:t>
            </w:r>
            <w:r w:rsidR="000A67C7" w:rsidRPr="0023526B">
              <w:rPr>
                <w:b/>
                <w:bCs/>
                <w:lang w:val="ru-RU"/>
              </w:rPr>
              <w:t xml:space="preserve"> </w:t>
            </w:r>
            <w:r w:rsidR="000A67C7" w:rsidRPr="0023526B">
              <w:rPr>
                <w:lang w:val="ru-RU"/>
              </w:rPr>
              <w:t xml:space="preserve">2024 году закуп необходимого оборудования для противотуберкулезных </w:t>
            </w:r>
            <w:r w:rsidR="000A67C7" w:rsidRPr="0023526B">
              <w:rPr>
                <w:lang w:val="ru-RU"/>
              </w:rPr>
              <w:lastRenderedPageBreak/>
              <w:t>организаций здравоохранения (сканеры штрих кодов, принтер штрих-кода, маршрутизатор и дигитайзеры и других составных частей комплекта компьютеров</w:t>
            </w:r>
            <w:r w:rsidRPr="0023526B">
              <w:rPr>
                <w:lang w:val="ru-RU"/>
              </w:rPr>
              <w:t xml:space="preserve">; (г) </w:t>
            </w:r>
            <w:r w:rsidRPr="0023526B">
              <w:rPr>
                <w:b/>
                <w:bCs/>
                <w:lang w:val="ru-RU"/>
              </w:rPr>
              <w:t>у</w:t>
            </w:r>
            <w:r w:rsidR="000A67C7" w:rsidRPr="0023526B">
              <w:rPr>
                <w:b/>
                <w:bCs/>
                <w:lang w:val="ru-RU"/>
              </w:rPr>
              <w:t>правление ТБ МИС.</w:t>
            </w:r>
            <w:r w:rsidR="000A67C7" w:rsidRPr="0023526B">
              <w:rPr>
                <w:lang w:val="ru-RU"/>
              </w:rPr>
              <w:t xml:space="preserve"> </w:t>
            </w:r>
          </w:p>
          <w:p w14:paraId="53BA0CCC" w14:textId="42D74CA9" w:rsidR="000A67C7" w:rsidRPr="0023526B" w:rsidRDefault="008F7521" w:rsidP="000A67C7">
            <w:pPr>
              <w:jc w:val="both"/>
              <w:cnfStyle w:val="000000100000" w:firstRow="0" w:lastRow="0" w:firstColumn="0" w:lastColumn="0" w:oddVBand="0" w:evenVBand="0" w:oddHBand="1" w:evenHBand="0" w:firstRowFirstColumn="0" w:firstRowLastColumn="0" w:lastRowFirstColumn="0" w:lastRowLastColumn="0"/>
              <w:rPr>
                <w:b/>
                <w:bCs/>
                <w:lang w:val="ru-RU"/>
              </w:rPr>
            </w:pPr>
            <w:r w:rsidRPr="0023526B">
              <w:rPr>
                <w:b/>
                <w:bCs/>
                <w:lang w:val="ru-RU"/>
              </w:rPr>
              <w:t>Кроме того, запланированы:</w:t>
            </w:r>
          </w:p>
          <w:p w14:paraId="2389D3B7" w14:textId="77777777" w:rsidR="000A67C7" w:rsidRPr="0023526B" w:rsidRDefault="000A67C7" w:rsidP="001710B9">
            <w:pPr>
              <w:pStyle w:val="af1"/>
              <w:numPr>
                <w:ilvl w:val="0"/>
                <w:numId w:val="18"/>
              </w:numPr>
              <w:jc w:val="both"/>
              <w:cnfStyle w:val="000000100000" w:firstRow="0" w:lastRow="0" w:firstColumn="0" w:lastColumn="0" w:oddVBand="0" w:evenVBand="0" w:oddHBand="1" w:evenHBand="0" w:firstRowFirstColumn="0" w:firstRowLastColumn="0" w:lastRowFirstColumn="0" w:lastRowLastColumn="0"/>
              <w:rPr>
                <w:lang w:val="ru-RU"/>
              </w:rPr>
            </w:pPr>
            <w:r w:rsidRPr="0023526B">
              <w:rPr>
                <w:b/>
                <w:bCs/>
                <w:lang w:val="ru-RU"/>
              </w:rPr>
              <w:t>Поддержка миссий ВОЗ через региональный Комитет Зеленого Света (</w:t>
            </w:r>
            <w:r w:rsidRPr="0023526B">
              <w:rPr>
                <w:b/>
                <w:bCs/>
              </w:rPr>
              <w:t>rGLC</w:t>
            </w:r>
            <w:r w:rsidRPr="0023526B">
              <w:rPr>
                <w:b/>
                <w:bCs/>
                <w:lang w:val="ru-RU"/>
              </w:rPr>
              <w:t xml:space="preserve">) </w:t>
            </w:r>
            <w:r w:rsidRPr="0023526B">
              <w:rPr>
                <w:lang w:val="ru-RU"/>
              </w:rPr>
              <w:t xml:space="preserve">– ежегодное </w:t>
            </w:r>
            <w:r w:rsidRPr="0023526B">
              <w:rPr>
                <w:bCs/>
                <w:lang w:val="ru-RU"/>
              </w:rPr>
              <w:t>проведение комплексного ревью Национальной программы по ТБ.</w:t>
            </w:r>
          </w:p>
          <w:p w14:paraId="798BD2A4" w14:textId="77777777" w:rsidR="000A67C7" w:rsidRPr="0023526B" w:rsidRDefault="000A67C7" w:rsidP="001710B9">
            <w:pPr>
              <w:pStyle w:val="af1"/>
              <w:numPr>
                <w:ilvl w:val="0"/>
                <w:numId w:val="18"/>
              </w:numPr>
              <w:jc w:val="both"/>
              <w:cnfStyle w:val="000000100000" w:firstRow="0" w:lastRow="0" w:firstColumn="0" w:lastColumn="0" w:oddVBand="0" w:evenVBand="0" w:oddHBand="1" w:evenHBand="0" w:firstRowFirstColumn="0" w:firstRowLastColumn="0" w:lastRowFirstColumn="0" w:lastRowLastColumn="0"/>
              <w:rPr>
                <w:lang w:val="ru-RU"/>
              </w:rPr>
            </w:pPr>
            <w:r w:rsidRPr="0023526B">
              <w:rPr>
                <w:b/>
                <w:bCs/>
                <w:lang w:val="ru-RU"/>
              </w:rPr>
              <w:t>Оказание технической помощи ВОЗ по проведению операционного исследования</w:t>
            </w:r>
            <w:r w:rsidRPr="0023526B">
              <w:rPr>
                <w:lang w:val="ru-RU"/>
              </w:rPr>
              <w:t xml:space="preserve"> по внедрению модифицированных коротких полностью безинъекционных режимов лечения для МЛУ-ТБ, анализ данных.</w:t>
            </w:r>
          </w:p>
          <w:p w14:paraId="502E6110" w14:textId="77777777" w:rsidR="000A67C7" w:rsidRPr="0023526B" w:rsidRDefault="000A67C7" w:rsidP="001710B9">
            <w:pPr>
              <w:pStyle w:val="af1"/>
              <w:numPr>
                <w:ilvl w:val="0"/>
                <w:numId w:val="19"/>
              </w:numPr>
              <w:jc w:val="both"/>
              <w:cnfStyle w:val="000000100000" w:firstRow="0" w:lastRow="0" w:firstColumn="0" w:lastColumn="0" w:oddVBand="0" w:evenVBand="0" w:oddHBand="1" w:evenHBand="0" w:firstRowFirstColumn="0" w:firstRowLastColumn="0" w:lastRowFirstColumn="0" w:lastRowLastColumn="0"/>
              <w:rPr>
                <w:lang w:val="ru-RU"/>
              </w:rPr>
            </w:pPr>
            <w:r w:rsidRPr="0023526B">
              <w:rPr>
                <w:b/>
                <w:bCs/>
                <w:lang w:val="ru-RU"/>
              </w:rPr>
              <w:t>Обеспечение внешней оценки качества в двух референс-лабораториях</w:t>
            </w:r>
            <w:r w:rsidRPr="0023526B">
              <w:rPr>
                <w:lang w:val="ru-RU"/>
              </w:rPr>
              <w:t xml:space="preserve"> (выполняется на базе НРЛ с привлечением специалистов СНРЛ Гаутинг). </w:t>
            </w:r>
          </w:p>
          <w:p w14:paraId="1E4E77A2" w14:textId="4A91D562" w:rsidR="000A67C7" w:rsidRPr="0023526B" w:rsidRDefault="0023526B" w:rsidP="0023526B">
            <w:pPr>
              <w:pStyle w:val="af1"/>
              <w:numPr>
                <w:ilvl w:val="0"/>
                <w:numId w:val="19"/>
              </w:numPr>
              <w:jc w:val="both"/>
              <w:cnfStyle w:val="000000100000" w:firstRow="0" w:lastRow="0" w:firstColumn="0" w:lastColumn="0" w:oddVBand="0" w:evenVBand="0" w:oddHBand="1" w:evenHBand="0" w:firstRowFirstColumn="0" w:firstRowLastColumn="0" w:lastRowFirstColumn="0" w:lastRowLastColumn="0"/>
              <w:rPr>
                <w:lang w:val="ru-RU"/>
              </w:rPr>
            </w:pPr>
            <w:r>
              <w:rPr>
                <w:lang w:val="ru-RU"/>
              </w:rPr>
              <w:t>В</w:t>
            </w:r>
            <w:r w:rsidRPr="0023526B">
              <w:rPr>
                <w:lang w:val="ru-RU"/>
              </w:rPr>
              <w:t xml:space="preserve"> случае наличия дополнительных средств</w:t>
            </w:r>
            <w:r>
              <w:rPr>
                <w:lang w:val="ru-RU"/>
              </w:rPr>
              <w:t xml:space="preserve"> из </w:t>
            </w:r>
            <w:r>
              <w:t>PAAR</w:t>
            </w:r>
            <w:r>
              <w:rPr>
                <w:lang w:val="ru-RU"/>
              </w:rPr>
              <w:t>,</w:t>
            </w:r>
            <w:r w:rsidRPr="0023526B">
              <w:rPr>
                <w:lang w:val="ru-RU"/>
              </w:rPr>
              <w:t xml:space="preserve"> </w:t>
            </w:r>
            <w:r>
              <w:rPr>
                <w:lang w:val="ru-RU"/>
              </w:rPr>
              <w:t>д</w:t>
            </w:r>
            <w:r w:rsidR="000A67C7" w:rsidRPr="0023526B">
              <w:rPr>
                <w:lang w:val="ru-RU"/>
              </w:rPr>
              <w:t xml:space="preserve">альнейшее расширение применения </w:t>
            </w:r>
            <w:r w:rsidR="000A67C7" w:rsidRPr="0023526B">
              <w:rPr>
                <w:b/>
                <w:bCs/>
                <w:lang w:val="ru-RU"/>
              </w:rPr>
              <w:t>метода геномного секвенирования как часть национальной системы мультипатогенного лабораторного эпиднадзора</w:t>
            </w:r>
            <w:r w:rsidR="000A67C7" w:rsidRPr="0023526B">
              <w:rPr>
                <w:lang w:val="ru-RU"/>
              </w:rPr>
              <w:t>, а также ТЛЧ при одобрении данной методики ВОЗ.</w:t>
            </w:r>
            <w:r>
              <w:rPr>
                <w:lang w:val="ru-RU"/>
              </w:rPr>
              <w:t xml:space="preserve"> (</w:t>
            </w:r>
            <w:r>
              <w:t>PAAR</w:t>
            </w:r>
            <w:r w:rsidRPr="0023526B">
              <w:rPr>
                <w:lang w:val="ru-RU"/>
              </w:rPr>
              <w:t>)</w:t>
            </w:r>
          </w:p>
          <w:p w14:paraId="43504D01" w14:textId="3D6F6760" w:rsidR="000A67C7" w:rsidRPr="0023526B" w:rsidRDefault="000A67C7" w:rsidP="001710B9">
            <w:pPr>
              <w:pStyle w:val="af1"/>
              <w:numPr>
                <w:ilvl w:val="0"/>
                <w:numId w:val="19"/>
              </w:numPr>
              <w:jc w:val="both"/>
              <w:cnfStyle w:val="000000100000" w:firstRow="0" w:lastRow="0" w:firstColumn="0" w:lastColumn="0" w:oddVBand="0" w:evenVBand="0" w:oddHBand="1" w:evenHBand="0" w:firstRowFirstColumn="0" w:firstRowLastColumn="0" w:lastRowFirstColumn="0" w:lastRowLastColumn="0"/>
              <w:rPr>
                <w:lang w:val="ru-RU"/>
              </w:rPr>
            </w:pPr>
            <w:r w:rsidRPr="0023526B">
              <w:rPr>
                <w:lang w:val="ru-RU"/>
              </w:rPr>
              <w:t>Для</w:t>
            </w:r>
            <w:r w:rsidRPr="0023526B">
              <w:rPr>
                <w:b/>
                <w:bCs/>
                <w:lang w:val="ru-RU"/>
              </w:rPr>
              <w:t xml:space="preserve"> </w:t>
            </w:r>
            <w:r w:rsidRPr="0023526B">
              <w:rPr>
                <w:lang w:val="ru-RU"/>
              </w:rPr>
              <w:t>расширения функциональной возможности НРЛ по проведению ТЛЧ и мониторингу лечения</w:t>
            </w:r>
            <w:r w:rsidR="00842BCB" w:rsidRPr="0023526B">
              <w:rPr>
                <w:lang w:val="ru-RU"/>
              </w:rPr>
              <w:t>, в случае наличия дополнительных средств,</w:t>
            </w:r>
            <w:r w:rsidRPr="0023526B">
              <w:rPr>
                <w:lang w:val="ru-RU"/>
              </w:rPr>
              <w:t xml:space="preserve"> в соответствии с новым лечебно-диагностическим алгоритмом будет установлен дополнительный отсек для НРЛ</w:t>
            </w:r>
            <w:r w:rsidR="0023526B" w:rsidRPr="0023526B">
              <w:rPr>
                <w:lang w:val="ru-RU"/>
              </w:rPr>
              <w:t xml:space="preserve"> (</w:t>
            </w:r>
            <w:r w:rsidR="0023526B">
              <w:t>PAAR</w:t>
            </w:r>
            <w:r w:rsidR="0023526B" w:rsidRPr="0023526B">
              <w:rPr>
                <w:lang w:val="ru-RU"/>
              </w:rPr>
              <w:t>)</w:t>
            </w:r>
          </w:p>
          <w:p w14:paraId="3ADC267C" w14:textId="7AA70051" w:rsidR="009F051F" w:rsidRPr="008B4333" w:rsidRDefault="000A67C7" w:rsidP="000A67C7">
            <w:pPr>
              <w:jc w:val="both"/>
              <w:cnfStyle w:val="000000100000" w:firstRow="0" w:lastRow="0" w:firstColumn="0" w:lastColumn="0" w:oddVBand="0" w:evenVBand="0" w:oddHBand="1" w:evenHBand="0" w:firstRowFirstColumn="0" w:firstRowLastColumn="0" w:lastRowFirstColumn="0" w:lastRowLastColumn="0"/>
              <w:rPr>
                <w:lang w:val="ru-RU"/>
              </w:rPr>
            </w:pPr>
            <w:r w:rsidRPr="0023526B">
              <w:rPr>
                <w:i/>
                <w:iCs/>
                <w:lang w:val="ru-RU"/>
              </w:rPr>
              <w:t>Мониторинг ответа на лечение со стороны клинических и лабораторных служб для пациентов, находящихся на лечении, полностью покрывается за счет средств госбюджета.</w:t>
            </w:r>
          </w:p>
        </w:tc>
      </w:tr>
      <w:tr w:rsidR="009F051F" w:rsidRPr="00A26916" w14:paraId="7AB6EAF5" w14:textId="77777777" w:rsidTr="00595E29">
        <w:tc>
          <w:tcPr>
            <w:cnfStyle w:val="001000000000" w:firstRow="0" w:lastRow="0" w:firstColumn="1" w:lastColumn="0" w:oddVBand="0" w:evenVBand="0" w:oddHBand="0" w:evenHBand="0" w:firstRowFirstColumn="0" w:firstRowLastColumn="0" w:lastRowFirstColumn="0" w:lastRowLastColumn="0"/>
            <w:tcW w:w="2138" w:type="dxa"/>
          </w:tcPr>
          <w:p w14:paraId="13876149" w14:textId="77777777" w:rsidR="009F051F" w:rsidRPr="008B08A2" w:rsidRDefault="009F051F" w:rsidP="00595E29">
            <w:pPr>
              <w:pStyle w:val="a1"/>
              <w:rPr>
                <w:lang w:val="ru-RU"/>
              </w:rPr>
            </w:pPr>
            <w:r>
              <w:rPr>
                <w:lang w:val="ru-RU"/>
              </w:rPr>
              <w:lastRenderedPageBreak/>
              <w:t>Население</w:t>
            </w:r>
            <w:r w:rsidRPr="008B08A2">
              <w:rPr>
                <w:lang w:val="ru-RU"/>
              </w:rPr>
              <w:t xml:space="preserve">, </w:t>
            </w:r>
            <w:r>
              <w:rPr>
                <w:lang w:val="ru-RU"/>
              </w:rPr>
              <w:t>территории</w:t>
            </w:r>
            <w:r w:rsidRPr="008B08A2">
              <w:rPr>
                <w:lang w:val="ru-RU"/>
              </w:rPr>
              <w:t xml:space="preserve"> </w:t>
            </w:r>
            <w:r>
              <w:rPr>
                <w:lang w:val="ru-RU"/>
              </w:rPr>
              <w:t>и</w:t>
            </w:r>
            <w:r w:rsidRPr="008B08A2">
              <w:rPr>
                <w:lang w:val="ru-RU"/>
              </w:rPr>
              <w:t>/</w:t>
            </w:r>
            <w:r>
              <w:rPr>
                <w:lang w:val="ru-RU"/>
              </w:rPr>
              <w:t>или</w:t>
            </w:r>
            <w:r w:rsidRPr="008B08A2">
              <w:rPr>
                <w:lang w:val="ru-RU"/>
              </w:rPr>
              <w:t xml:space="preserve"> </w:t>
            </w:r>
            <w:r>
              <w:rPr>
                <w:lang w:val="ru-RU"/>
              </w:rPr>
              <w:t>барьеры</w:t>
            </w:r>
            <w:r w:rsidRPr="008B08A2">
              <w:rPr>
                <w:lang w:val="ru-RU"/>
              </w:rPr>
              <w:t xml:space="preserve">, </w:t>
            </w:r>
            <w:r>
              <w:rPr>
                <w:lang w:val="ru-RU"/>
              </w:rPr>
              <w:t>на</w:t>
            </w:r>
            <w:r w:rsidRPr="008B08A2">
              <w:rPr>
                <w:lang w:val="ru-RU"/>
              </w:rPr>
              <w:t xml:space="preserve"> </w:t>
            </w:r>
            <w:r>
              <w:rPr>
                <w:lang w:val="ru-RU"/>
              </w:rPr>
              <w:t>которые направлена деятельность</w:t>
            </w:r>
          </w:p>
        </w:tc>
        <w:tc>
          <w:tcPr>
            <w:tcW w:w="13025" w:type="dxa"/>
          </w:tcPr>
          <w:p w14:paraId="5329518A" w14:textId="77777777" w:rsidR="000A67C7" w:rsidRDefault="000A67C7" w:rsidP="000A67C7">
            <w:pPr>
              <w:pStyle w:val="a1"/>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Люди с симптомами, похожими на туберкулез, контактные лица по ТБ, включая по МЛУ-ТБ, особенно дети; люди из ключевых и уязвимых группа населения</w:t>
            </w:r>
            <w:r w:rsidRPr="00312A75">
              <w:rPr>
                <w:sz w:val="22"/>
                <w:szCs w:val="20"/>
                <w:lang w:val="ru-RU"/>
              </w:rPr>
              <w:t xml:space="preserve"> (</w:t>
            </w:r>
            <w:r>
              <w:rPr>
                <w:sz w:val="22"/>
                <w:szCs w:val="20"/>
                <w:lang w:val="ru-RU"/>
              </w:rPr>
              <w:t>ЛЖВ, люди в местах лишения свободы, бездомные, мигранты, люди с сахарным диабетом, медицинские работники</w:t>
            </w:r>
            <w:r w:rsidRPr="00312A75">
              <w:rPr>
                <w:sz w:val="22"/>
                <w:szCs w:val="20"/>
                <w:lang w:val="ru-RU"/>
              </w:rPr>
              <w:t>)</w:t>
            </w:r>
            <w:r>
              <w:rPr>
                <w:sz w:val="22"/>
                <w:szCs w:val="20"/>
                <w:lang w:val="ru-RU"/>
              </w:rPr>
              <w:t>, люди с туберкулезом и МЛУ-ТБ.</w:t>
            </w:r>
          </w:p>
          <w:p w14:paraId="7329F74B" w14:textId="77777777" w:rsidR="000A67C7" w:rsidRDefault="000A67C7" w:rsidP="000A67C7">
            <w:pPr>
              <w:pStyle w:val="a1"/>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 xml:space="preserve">Скрининг на уровне ПМСП: </w:t>
            </w:r>
            <w:r w:rsidRPr="00413276">
              <w:rPr>
                <w:sz w:val="22"/>
                <w:szCs w:val="20"/>
                <w:lang w:val="ru-RU"/>
              </w:rPr>
              <w:t>Кыргызская Республика</w:t>
            </w:r>
            <w:r>
              <w:rPr>
                <w:sz w:val="22"/>
                <w:szCs w:val="20"/>
                <w:lang w:val="ru-RU"/>
              </w:rPr>
              <w:t xml:space="preserve">, включая пенитенциарную систему. </w:t>
            </w:r>
          </w:p>
          <w:p w14:paraId="2C00E21F" w14:textId="3FD8BE44" w:rsidR="000A67C7" w:rsidRDefault="000A67C7" w:rsidP="000A67C7">
            <w:pPr>
              <w:pStyle w:val="a1"/>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Скрининг на уровне сообществ: 3 области</w:t>
            </w:r>
            <w:r w:rsidR="008F7521">
              <w:rPr>
                <w:sz w:val="22"/>
                <w:szCs w:val="20"/>
                <w:lang w:val="ru-RU"/>
              </w:rPr>
              <w:t xml:space="preserve"> (</w:t>
            </w:r>
            <w:r w:rsidR="008F7521" w:rsidRPr="008F7521">
              <w:rPr>
                <w:sz w:val="22"/>
                <w:szCs w:val="20"/>
                <w:lang w:val="ru-RU"/>
              </w:rPr>
              <w:t>Иссык-Кульская, Ошская и Чуйская</w:t>
            </w:r>
            <w:r w:rsidR="008F7521">
              <w:rPr>
                <w:sz w:val="22"/>
                <w:szCs w:val="20"/>
                <w:lang w:val="ru-RU"/>
              </w:rPr>
              <w:t>)</w:t>
            </w:r>
            <w:r>
              <w:rPr>
                <w:sz w:val="22"/>
                <w:szCs w:val="20"/>
                <w:lang w:val="ru-RU"/>
              </w:rPr>
              <w:t>.</w:t>
            </w:r>
          </w:p>
          <w:p w14:paraId="38EF8C10" w14:textId="77777777" w:rsidR="000A67C7" w:rsidRDefault="000A67C7" w:rsidP="000A67C7">
            <w:pPr>
              <w:pStyle w:val="a1"/>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 xml:space="preserve">Диагностика и ТЛЧ: вся республика. </w:t>
            </w:r>
          </w:p>
          <w:p w14:paraId="58DD229E" w14:textId="77777777" w:rsidR="000A67C7" w:rsidRPr="008B4333" w:rsidRDefault="000A67C7" w:rsidP="00842BCB">
            <w:pPr>
              <w:pStyle w:val="a1"/>
              <w:jc w:val="both"/>
              <w:cnfStyle w:val="000000000000" w:firstRow="0" w:lastRow="0" w:firstColumn="0" w:lastColumn="0" w:oddVBand="0" w:evenVBand="0" w:oddHBand="0" w:evenHBand="0" w:firstRowFirstColumn="0" w:firstRowLastColumn="0" w:lastRowFirstColumn="0" w:lastRowLastColumn="0"/>
              <w:rPr>
                <w:sz w:val="22"/>
                <w:szCs w:val="20"/>
                <w:lang w:val="ru-RU"/>
              </w:rPr>
            </w:pPr>
            <w:r w:rsidRPr="008B4333">
              <w:rPr>
                <w:sz w:val="22"/>
                <w:szCs w:val="20"/>
                <w:lang w:val="ru-RU"/>
              </w:rPr>
              <w:t>Основные пробелы и барьеры:</w:t>
            </w:r>
          </w:p>
          <w:p w14:paraId="3685FB50" w14:textId="77777777" w:rsidR="000A67C7" w:rsidRPr="008B4333" w:rsidRDefault="000A67C7" w:rsidP="00842BCB">
            <w:pPr>
              <w:pStyle w:val="a1"/>
              <w:jc w:val="both"/>
              <w:cnfStyle w:val="000000000000" w:firstRow="0" w:lastRow="0" w:firstColumn="0" w:lastColumn="0" w:oddVBand="0" w:evenVBand="0" w:oddHBand="0" w:evenHBand="0" w:firstRowFirstColumn="0" w:firstRowLastColumn="0" w:lastRowFirstColumn="0" w:lastRowLastColumn="0"/>
              <w:rPr>
                <w:sz w:val="22"/>
                <w:szCs w:val="20"/>
                <w:lang w:val="ru-RU"/>
              </w:rPr>
            </w:pPr>
            <w:r w:rsidRPr="00F646FB">
              <w:rPr>
                <w:i/>
                <w:iCs/>
                <w:sz w:val="22"/>
                <w:szCs w:val="20"/>
                <w:lang w:val="ru-RU"/>
              </w:rPr>
              <w:t>Скрининг:</w:t>
            </w:r>
            <w:r w:rsidRPr="008B4333">
              <w:rPr>
                <w:sz w:val="22"/>
                <w:szCs w:val="20"/>
                <w:lang w:val="ru-RU"/>
              </w:rPr>
              <w:t xml:space="preserve"> Пассивная стратегия выявления заболевания</w:t>
            </w:r>
            <w:r>
              <w:rPr>
                <w:sz w:val="22"/>
                <w:szCs w:val="20"/>
                <w:lang w:val="ru-RU"/>
              </w:rPr>
              <w:t xml:space="preserve"> ТБ</w:t>
            </w:r>
            <w:r w:rsidRPr="008B4333">
              <w:rPr>
                <w:sz w:val="22"/>
                <w:szCs w:val="20"/>
                <w:lang w:val="ru-RU"/>
              </w:rPr>
              <w:t xml:space="preserve">, преимущественно используемая в </w:t>
            </w:r>
            <w:r>
              <w:rPr>
                <w:sz w:val="22"/>
                <w:szCs w:val="20"/>
                <w:lang w:val="ru-RU"/>
              </w:rPr>
              <w:t>КР</w:t>
            </w:r>
            <w:r w:rsidRPr="008B4333">
              <w:rPr>
                <w:sz w:val="22"/>
                <w:szCs w:val="20"/>
                <w:lang w:val="ru-RU"/>
              </w:rPr>
              <w:t>, приводит к</w:t>
            </w:r>
            <w:r>
              <w:rPr>
                <w:sz w:val="22"/>
                <w:szCs w:val="20"/>
                <w:lang w:val="ru-RU"/>
              </w:rPr>
              <w:t xml:space="preserve"> тому, что</w:t>
            </w:r>
            <w:r w:rsidRPr="008B4333">
              <w:rPr>
                <w:sz w:val="22"/>
                <w:szCs w:val="20"/>
                <w:lang w:val="ru-RU"/>
              </w:rPr>
              <w:t xml:space="preserve"> значительн</w:t>
            </w:r>
            <w:r>
              <w:rPr>
                <w:sz w:val="22"/>
                <w:szCs w:val="20"/>
                <w:lang w:val="ru-RU"/>
              </w:rPr>
              <w:t>ая</w:t>
            </w:r>
            <w:r w:rsidRPr="008B4333">
              <w:rPr>
                <w:sz w:val="22"/>
                <w:szCs w:val="20"/>
                <w:lang w:val="ru-RU"/>
              </w:rPr>
              <w:t xml:space="preserve"> дол</w:t>
            </w:r>
            <w:r>
              <w:rPr>
                <w:sz w:val="22"/>
                <w:szCs w:val="20"/>
                <w:lang w:val="ru-RU"/>
              </w:rPr>
              <w:t>я</w:t>
            </w:r>
            <w:r w:rsidRPr="008B4333">
              <w:rPr>
                <w:sz w:val="22"/>
                <w:szCs w:val="20"/>
                <w:lang w:val="ru-RU"/>
              </w:rPr>
              <w:t xml:space="preserve"> </w:t>
            </w:r>
            <w:r>
              <w:rPr>
                <w:sz w:val="22"/>
                <w:szCs w:val="20"/>
                <w:lang w:val="ru-RU"/>
              </w:rPr>
              <w:t xml:space="preserve">людей с ТБ не охвачены системой здравоохранения КР </w:t>
            </w:r>
            <w:r w:rsidRPr="008B4333">
              <w:rPr>
                <w:sz w:val="22"/>
                <w:szCs w:val="20"/>
                <w:lang w:val="ru-RU"/>
              </w:rPr>
              <w:t xml:space="preserve">(охват лечением в 2021 году - </w:t>
            </w:r>
            <w:r>
              <w:rPr>
                <w:sz w:val="22"/>
                <w:szCs w:val="20"/>
                <w:lang w:val="ru-RU"/>
              </w:rPr>
              <w:t>54</w:t>
            </w:r>
            <w:r w:rsidRPr="008B4333">
              <w:rPr>
                <w:sz w:val="22"/>
                <w:szCs w:val="20"/>
                <w:lang w:val="ru-RU"/>
              </w:rPr>
              <w:t xml:space="preserve">%). Охват </w:t>
            </w:r>
            <w:r>
              <w:rPr>
                <w:sz w:val="22"/>
                <w:szCs w:val="20"/>
                <w:lang w:val="ru-RU"/>
              </w:rPr>
              <w:t xml:space="preserve">расследованием контактов, а также среди </w:t>
            </w:r>
            <w:r w:rsidRPr="008B4333">
              <w:rPr>
                <w:sz w:val="22"/>
                <w:szCs w:val="20"/>
                <w:lang w:val="ru-RU"/>
              </w:rPr>
              <w:t xml:space="preserve">уязвимых групп населения, которые подвержены риску заболевания туберкулезом, но не обращаются за медицинской помощью, </w:t>
            </w:r>
            <w:r>
              <w:rPr>
                <w:sz w:val="22"/>
                <w:szCs w:val="20"/>
                <w:lang w:val="ru-RU"/>
              </w:rPr>
              <w:t>проводится на недостаточном уровне</w:t>
            </w:r>
            <w:r w:rsidRPr="008B4333">
              <w:rPr>
                <w:sz w:val="22"/>
                <w:szCs w:val="20"/>
                <w:lang w:val="ru-RU"/>
              </w:rPr>
              <w:t>. Алгоритмы целевого скрининга на туберкулез для различных ключевых групп риска четко не определены.</w:t>
            </w:r>
            <w:r>
              <w:rPr>
                <w:sz w:val="22"/>
                <w:szCs w:val="20"/>
                <w:lang w:val="ru-RU"/>
              </w:rPr>
              <w:t xml:space="preserve"> </w:t>
            </w:r>
            <w:r w:rsidRPr="008B4333">
              <w:rPr>
                <w:sz w:val="22"/>
                <w:szCs w:val="20"/>
                <w:lang w:val="ru-RU"/>
              </w:rPr>
              <w:t xml:space="preserve">Ограниченные возможности ПМСП в выявлении случаев туберкулеза (по данным PPA, доступность </w:t>
            </w:r>
            <w:r>
              <w:rPr>
                <w:sz w:val="22"/>
                <w:szCs w:val="20"/>
                <w:lang w:val="ru-RU"/>
              </w:rPr>
              <w:t xml:space="preserve">скрининговых и </w:t>
            </w:r>
            <w:r w:rsidRPr="008B4333">
              <w:rPr>
                <w:sz w:val="22"/>
                <w:szCs w:val="20"/>
                <w:lang w:val="ru-RU"/>
              </w:rPr>
              <w:t xml:space="preserve">диагностических услуг </w:t>
            </w:r>
            <w:r>
              <w:rPr>
                <w:sz w:val="22"/>
                <w:szCs w:val="20"/>
                <w:lang w:val="ru-RU"/>
              </w:rPr>
              <w:t xml:space="preserve">по ТБ </w:t>
            </w:r>
            <w:r w:rsidRPr="008B4333">
              <w:rPr>
                <w:sz w:val="22"/>
                <w:szCs w:val="20"/>
                <w:lang w:val="ru-RU"/>
              </w:rPr>
              <w:t xml:space="preserve">на уровне ПМСП </w:t>
            </w:r>
            <w:r w:rsidRPr="008B4333">
              <w:rPr>
                <w:sz w:val="22"/>
                <w:szCs w:val="20"/>
                <w:lang w:val="ru-RU"/>
              </w:rPr>
              <w:lastRenderedPageBreak/>
              <w:t xml:space="preserve">составляет </w:t>
            </w:r>
            <w:r>
              <w:rPr>
                <w:sz w:val="22"/>
                <w:szCs w:val="20"/>
                <w:lang w:val="ru-RU"/>
              </w:rPr>
              <w:t>не более 17</w:t>
            </w:r>
            <w:r w:rsidRPr="008B4333">
              <w:rPr>
                <w:sz w:val="22"/>
                <w:szCs w:val="20"/>
                <w:lang w:val="ru-RU"/>
              </w:rPr>
              <w:t>%, за исключением город</w:t>
            </w:r>
            <w:r>
              <w:rPr>
                <w:sz w:val="22"/>
                <w:szCs w:val="20"/>
                <w:lang w:val="ru-RU"/>
              </w:rPr>
              <w:t>ов Ош (14–22%) и Бишкек (37–43%)</w:t>
            </w:r>
            <w:r w:rsidRPr="008B4333">
              <w:rPr>
                <w:sz w:val="22"/>
                <w:szCs w:val="20"/>
                <w:lang w:val="ru-RU"/>
              </w:rPr>
              <w:t xml:space="preserve"> [</w:t>
            </w:r>
            <w:r>
              <w:rPr>
                <w:rStyle w:val="aff1"/>
                <w:sz w:val="22"/>
                <w:szCs w:val="20"/>
                <w:lang w:val="ru-RU"/>
              </w:rPr>
              <w:footnoteReference w:id="33"/>
            </w:r>
            <w:r w:rsidRPr="008B4333">
              <w:rPr>
                <w:sz w:val="22"/>
                <w:szCs w:val="20"/>
                <w:lang w:val="ru-RU"/>
              </w:rPr>
              <w:t>]).</w:t>
            </w:r>
            <w:r>
              <w:rPr>
                <w:sz w:val="22"/>
                <w:szCs w:val="20"/>
                <w:lang w:val="ru-RU"/>
              </w:rPr>
              <w:t xml:space="preserve"> </w:t>
            </w:r>
            <w:r w:rsidRPr="008B4333">
              <w:rPr>
                <w:sz w:val="22"/>
                <w:szCs w:val="20"/>
                <w:lang w:val="ru-RU"/>
              </w:rPr>
              <w:t xml:space="preserve">Механизмы (стимулы), ориентированные на </w:t>
            </w:r>
            <w:r>
              <w:rPr>
                <w:sz w:val="22"/>
                <w:szCs w:val="20"/>
                <w:lang w:val="ru-RU"/>
              </w:rPr>
              <w:t>ранее выявление ТБ</w:t>
            </w:r>
            <w:r w:rsidRPr="008B4333">
              <w:rPr>
                <w:sz w:val="22"/>
                <w:szCs w:val="20"/>
                <w:lang w:val="ru-RU"/>
              </w:rPr>
              <w:t>, для поставщиков противотуберкулезной помощи недостаточно развиты.</w:t>
            </w:r>
            <w:r>
              <w:rPr>
                <w:sz w:val="22"/>
                <w:szCs w:val="20"/>
                <w:lang w:val="ru-RU"/>
              </w:rPr>
              <w:t xml:space="preserve"> </w:t>
            </w:r>
            <w:r w:rsidRPr="008B4333">
              <w:rPr>
                <w:sz w:val="22"/>
                <w:szCs w:val="20"/>
                <w:lang w:val="ru-RU"/>
              </w:rPr>
              <w:t xml:space="preserve">Недостаточное участие </w:t>
            </w:r>
            <w:r>
              <w:rPr>
                <w:sz w:val="22"/>
                <w:szCs w:val="20"/>
                <w:lang w:val="ru-RU"/>
              </w:rPr>
              <w:t xml:space="preserve">НПО </w:t>
            </w:r>
            <w:r w:rsidRPr="008B4333">
              <w:rPr>
                <w:sz w:val="22"/>
                <w:szCs w:val="20"/>
                <w:lang w:val="ru-RU"/>
              </w:rPr>
              <w:t>в аутрич-скрининге и скрининге на туберкулез.</w:t>
            </w:r>
            <w:r>
              <w:rPr>
                <w:sz w:val="22"/>
                <w:szCs w:val="20"/>
                <w:lang w:val="ru-RU"/>
              </w:rPr>
              <w:t xml:space="preserve"> </w:t>
            </w:r>
            <w:r w:rsidRPr="008B4333">
              <w:rPr>
                <w:sz w:val="22"/>
                <w:szCs w:val="20"/>
                <w:lang w:val="ru-RU"/>
              </w:rPr>
              <w:t xml:space="preserve">Отсутствие цифровых инструментов для поддержки скрининга и </w:t>
            </w:r>
            <w:r>
              <w:rPr>
                <w:sz w:val="22"/>
                <w:szCs w:val="20"/>
                <w:lang w:val="ru-RU"/>
              </w:rPr>
              <w:t>перенаправления</w:t>
            </w:r>
            <w:r w:rsidRPr="008B4333">
              <w:rPr>
                <w:sz w:val="22"/>
                <w:szCs w:val="20"/>
                <w:lang w:val="ru-RU"/>
              </w:rPr>
              <w:t>, ограниченное управление данными мониторинг</w:t>
            </w:r>
            <w:r>
              <w:rPr>
                <w:sz w:val="22"/>
                <w:szCs w:val="20"/>
                <w:lang w:val="ru-RU"/>
              </w:rPr>
              <w:t>а</w:t>
            </w:r>
            <w:r w:rsidRPr="008B4333">
              <w:rPr>
                <w:sz w:val="22"/>
                <w:szCs w:val="20"/>
                <w:lang w:val="ru-RU"/>
              </w:rPr>
              <w:t xml:space="preserve"> и оценк</w:t>
            </w:r>
            <w:r>
              <w:rPr>
                <w:sz w:val="22"/>
                <w:szCs w:val="20"/>
                <w:lang w:val="ru-RU"/>
              </w:rPr>
              <w:t>и</w:t>
            </w:r>
            <w:r w:rsidRPr="008B4333">
              <w:rPr>
                <w:sz w:val="22"/>
                <w:szCs w:val="20"/>
                <w:lang w:val="ru-RU"/>
              </w:rPr>
              <w:t>.</w:t>
            </w:r>
            <w:r>
              <w:rPr>
                <w:sz w:val="22"/>
                <w:szCs w:val="20"/>
                <w:lang w:val="ru-RU"/>
              </w:rPr>
              <w:t xml:space="preserve"> </w:t>
            </w:r>
            <w:r w:rsidRPr="008B4333">
              <w:rPr>
                <w:sz w:val="22"/>
                <w:szCs w:val="20"/>
                <w:lang w:val="ru-RU"/>
              </w:rPr>
              <w:t>Гендерные и правозащитные барьеры не были полностью устранены, особенно среди женщин и возвращающихся трудовых мигрантов. Отсутствие поддержки для людей с предполагаемым туберкулезом для завершения алгоритма диагностики туберкулеза</w:t>
            </w:r>
            <w:r>
              <w:rPr>
                <w:sz w:val="22"/>
                <w:szCs w:val="20"/>
                <w:lang w:val="ru-RU"/>
              </w:rPr>
              <w:t>.</w:t>
            </w:r>
          </w:p>
          <w:p w14:paraId="4D0705D3" w14:textId="77777777" w:rsidR="000A67C7" w:rsidRDefault="000A67C7" w:rsidP="00842BCB">
            <w:pPr>
              <w:pStyle w:val="a1"/>
              <w:jc w:val="both"/>
              <w:cnfStyle w:val="000000000000" w:firstRow="0" w:lastRow="0" w:firstColumn="0" w:lastColumn="0" w:oddVBand="0" w:evenVBand="0" w:oddHBand="0" w:evenHBand="0" w:firstRowFirstColumn="0" w:firstRowLastColumn="0" w:lastRowFirstColumn="0" w:lastRowLastColumn="0"/>
              <w:rPr>
                <w:sz w:val="22"/>
                <w:szCs w:val="20"/>
                <w:lang w:val="ru-RU"/>
              </w:rPr>
            </w:pPr>
            <w:r w:rsidRPr="00F646FB">
              <w:rPr>
                <w:i/>
                <w:iCs/>
                <w:sz w:val="22"/>
                <w:szCs w:val="20"/>
                <w:lang w:val="ru-RU"/>
              </w:rPr>
              <w:t>Диагностика:</w:t>
            </w:r>
            <w:r>
              <w:rPr>
                <w:sz w:val="22"/>
                <w:szCs w:val="20"/>
                <w:lang w:val="ru-RU"/>
              </w:rPr>
              <w:t xml:space="preserve"> </w:t>
            </w:r>
            <w:r w:rsidRPr="008B4333">
              <w:rPr>
                <w:sz w:val="22"/>
                <w:szCs w:val="20"/>
                <w:lang w:val="ru-RU"/>
              </w:rPr>
              <w:t>Не</w:t>
            </w:r>
            <w:r>
              <w:rPr>
                <w:sz w:val="22"/>
                <w:szCs w:val="20"/>
                <w:lang w:val="ru-RU"/>
              </w:rPr>
              <w:t xml:space="preserve">достаточный охват </w:t>
            </w:r>
            <w:r w:rsidRPr="008B4333">
              <w:rPr>
                <w:sz w:val="22"/>
                <w:szCs w:val="20"/>
                <w:lang w:val="ru-RU"/>
              </w:rPr>
              <w:t>тестированием mWRD среди людей с предполагаемым туберкулезом</w:t>
            </w:r>
            <w:r>
              <w:rPr>
                <w:sz w:val="22"/>
                <w:szCs w:val="20"/>
                <w:lang w:val="ru-RU"/>
              </w:rPr>
              <w:t>; з</w:t>
            </w:r>
            <w:r w:rsidRPr="008B4333">
              <w:rPr>
                <w:sz w:val="22"/>
                <w:szCs w:val="20"/>
                <w:lang w:val="ru-RU"/>
              </w:rPr>
              <w:t>адержки с представлением результатов тестов на туберкулез клиницистам.</w:t>
            </w:r>
            <w:r>
              <w:rPr>
                <w:sz w:val="22"/>
                <w:szCs w:val="20"/>
                <w:lang w:val="ru-RU"/>
              </w:rPr>
              <w:t xml:space="preserve"> Проведение ТЛЧ сильно </w:t>
            </w:r>
            <w:r w:rsidRPr="00F646FB">
              <w:rPr>
                <w:sz w:val="22"/>
                <w:szCs w:val="20"/>
                <w:lang w:val="ru-RU"/>
              </w:rPr>
              <w:t>централизовано, что приводит к задержкам во времени обработки результатов тестов.</w:t>
            </w:r>
            <w:r>
              <w:rPr>
                <w:sz w:val="22"/>
                <w:szCs w:val="20"/>
                <w:lang w:val="ru-RU"/>
              </w:rPr>
              <w:t xml:space="preserve"> </w:t>
            </w:r>
            <w:r w:rsidRPr="00F646FB">
              <w:rPr>
                <w:sz w:val="22"/>
                <w:szCs w:val="20"/>
                <w:lang w:val="ru-RU"/>
              </w:rPr>
              <w:t>Недостаточное внутреннее финансирование закупок лабораторного оборудования, расходных материалов и технического обслуживания (mWRD, DST).</w:t>
            </w:r>
          </w:p>
          <w:p w14:paraId="217760B9" w14:textId="77777777" w:rsidR="000A67C7" w:rsidRDefault="000A67C7" w:rsidP="000A67C7">
            <w:pPr>
              <w:pStyle w:val="a1"/>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Люди с ЛУ туберкулезом, вкл. детей, уязвимые группы населения.</w:t>
            </w:r>
          </w:p>
          <w:tbl>
            <w:tblPr>
              <w:tblW w:w="9940" w:type="dxa"/>
              <w:tblLook w:val="04A0" w:firstRow="1" w:lastRow="0" w:firstColumn="1" w:lastColumn="0" w:noHBand="0" w:noVBand="1"/>
            </w:tblPr>
            <w:tblGrid>
              <w:gridCol w:w="3060"/>
              <w:gridCol w:w="1720"/>
              <w:gridCol w:w="1720"/>
              <w:gridCol w:w="1720"/>
              <w:gridCol w:w="1720"/>
            </w:tblGrid>
            <w:tr w:rsidR="000A67C7" w:rsidRPr="00466BD5" w14:paraId="04850DF0" w14:textId="77777777" w:rsidTr="00D123BA">
              <w:trPr>
                <w:trHeight w:val="360"/>
              </w:trPr>
              <w:tc>
                <w:tcPr>
                  <w:tcW w:w="306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7BC6505A" w14:textId="77777777" w:rsidR="000A67C7" w:rsidRPr="00466BD5" w:rsidRDefault="000A67C7" w:rsidP="00A26916">
                  <w:pPr>
                    <w:framePr w:hSpace="181" w:wrap="around" w:vAnchor="page" w:hAnchor="margin" w:y="1162"/>
                    <w:spacing w:after="0" w:line="240" w:lineRule="auto"/>
                    <w:jc w:val="both"/>
                    <w:rPr>
                      <w:rFonts w:ascii="Arial" w:eastAsia="Times New Roman" w:hAnsi="Arial" w:cs="Arial"/>
                      <w:b/>
                      <w:bCs/>
                      <w:color w:val="000000"/>
                      <w:lang w:val="ru-RU" w:eastAsia="ru-RU"/>
                    </w:rPr>
                  </w:pPr>
                  <w:r w:rsidRPr="00466BD5">
                    <w:rPr>
                      <w:rFonts w:ascii="Arial" w:eastAsia="Times New Roman" w:hAnsi="Arial" w:cs="Arial"/>
                      <w:b/>
                      <w:bCs/>
                      <w:color w:val="000000"/>
                      <w:lang w:val="ru-RU" w:eastAsia="ru-RU"/>
                    </w:rPr>
                    <w:t>Категория пациентов</w:t>
                  </w:r>
                  <w:r w:rsidRPr="00466BD5">
                    <w:rPr>
                      <w:rFonts w:ascii="Arial" w:eastAsia="Times New Roman" w:hAnsi="Arial" w:cs="Arial"/>
                      <w:color w:val="000000"/>
                      <w:sz w:val="16"/>
                      <w:szCs w:val="16"/>
                      <w:lang w:val="ru-RU" w:eastAsia="ru-RU"/>
                    </w:rPr>
                    <w:t> </w:t>
                  </w:r>
                </w:p>
              </w:tc>
              <w:tc>
                <w:tcPr>
                  <w:tcW w:w="1720" w:type="dxa"/>
                  <w:tcBorders>
                    <w:top w:val="single" w:sz="8" w:space="0" w:color="auto"/>
                    <w:left w:val="nil"/>
                    <w:bottom w:val="single" w:sz="8" w:space="0" w:color="auto"/>
                    <w:right w:val="single" w:sz="8" w:space="0" w:color="auto"/>
                  </w:tcBorders>
                  <w:shd w:val="clear" w:color="000000" w:fill="D9D9D9"/>
                  <w:vAlign w:val="center"/>
                  <w:hideMark/>
                </w:tcPr>
                <w:p w14:paraId="020580EA"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b/>
                      <w:bCs/>
                      <w:color w:val="000000"/>
                      <w:lang w:val="ru-RU" w:eastAsia="ru-RU"/>
                    </w:rPr>
                  </w:pPr>
                  <w:r w:rsidRPr="00466BD5">
                    <w:rPr>
                      <w:rFonts w:ascii="Arial" w:eastAsia="Times New Roman" w:hAnsi="Arial" w:cs="Arial"/>
                      <w:b/>
                      <w:bCs/>
                      <w:color w:val="000000"/>
                      <w:lang w:val="ru-RU" w:eastAsia="ru-RU"/>
                    </w:rPr>
                    <w:t>2024</w:t>
                  </w:r>
                </w:p>
              </w:tc>
              <w:tc>
                <w:tcPr>
                  <w:tcW w:w="1720" w:type="dxa"/>
                  <w:tcBorders>
                    <w:top w:val="single" w:sz="8" w:space="0" w:color="auto"/>
                    <w:left w:val="nil"/>
                    <w:bottom w:val="single" w:sz="8" w:space="0" w:color="auto"/>
                    <w:right w:val="single" w:sz="8" w:space="0" w:color="auto"/>
                  </w:tcBorders>
                  <w:shd w:val="clear" w:color="000000" w:fill="D9D9D9"/>
                  <w:vAlign w:val="center"/>
                  <w:hideMark/>
                </w:tcPr>
                <w:p w14:paraId="282F39FF"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b/>
                      <w:bCs/>
                      <w:color w:val="000000"/>
                      <w:lang w:val="ru-RU" w:eastAsia="ru-RU"/>
                    </w:rPr>
                  </w:pPr>
                  <w:r w:rsidRPr="00466BD5">
                    <w:rPr>
                      <w:rFonts w:ascii="Arial" w:eastAsia="Times New Roman" w:hAnsi="Arial" w:cs="Arial"/>
                      <w:b/>
                      <w:bCs/>
                      <w:color w:val="000000"/>
                      <w:lang w:val="ru-RU" w:eastAsia="ru-RU"/>
                    </w:rPr>
                    <w:t>2025</w:t>
                  </w:r>
                </w:p>
              </w:tc>
              <w:tc>
                <w:tcPr>
                  <w:tcW w:w="1720" w:type="dxa"/>
                  <w:tcBorders>
                    <w:top w:val="single" w:sz="8" w:space="0" w:color="auto"/>
                    <w:left w:val="nil"/>
                    <w:bottom w:val="single" w:sz="8" w:space="0" w:color="auto"/>
                    <w:right w:val="single" w:sz="8" w:space="0" w:color="auto"/>
                  </w:tcBorders>
                  <w:shd w:val="clear" w:color="000000" w:fill="D9D9D9"/>
                  <w:vAlign w:val="center"/>
                  <w:hideMark/>
                </w:tcPr>
                <w:p w14:paraId="36D0ACD4"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b/>
                      <w:bCs/>
                      <w:color w:val="000000"/>
                      <w:lang w:val="ru-RU" w:eastAsia="ru-RU"/>
                    </w:rPr>
                  </w:pPr>
                  <w:r w:rsidRPr="00466BD5">
                    <w:rPr>
                      <w:rFonts w:ascii="Arial" w:eastAsia="Times New Roman" w:hAnsi="Arial" w:cs="Arial"/>
                      <w:b/>
                      <w:bCs/>
                      <w:color w:val="000000"/>
                      <w:lang w:val="ru-RU" w:eastAsia="ru-RU"/>
                    </w:rPr>
                    <w:t>2026</w:t>
                  </w:r>
                </w:p>
              </w:tc>
              <w:tc>
                <w:tcPr>
                  <w:tcW w:w="1720" w:type="dxa"/>
                  <w:tcBorders>
                    <w:top w:val="single" w:sz="8" w:space="0" w:color="auto"/>
                    <w:left w:val="nil"/>
                    <w:bottom w:val="single" w:sz="8" w:space="0" w:color="auto"/>
                    <w:right w:val="single" w:sz="8" w:space="0" w:color="auto"/>
                  </w:tcBorders>
                  <w:shd w:val="clear" w:color="000000" w:fill="D9D9D9"/>
                  <w:vAlign w:val="center"/>
                  <w:hideMark/>
                </w:tcPr>
                <w:p w14:paraId="7E830C8A"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b/>
                      <w:bCs/>
                      <w:color w:val="000000"/>
                      <w:lang w:val="ru-RU" w:eastAsia="ru-RU"/>
                    </w:rPr>
                  </w:pPr>
                  <w:r w:rsidRPr="00466BD5">
                    <w:rPr>
                      <w:rFonts w:ascii="Arial" w:eastAsia="Times New Roman" w:hAnsi="Arial" w:cs="Arial"/>
                      <w:b/>
                      <w:bCs/>
                      <w:color w:val="000000"/>
                      <w:lang w:eastAsia="ru-RU"/>
                    </w:rPr>
                    <w:t>2027</w:t>
                  </w:r>
                </w:p>
              </w:tc>
            </w:tr>
            <w:tr w:rsidR="000A67C7" w:rsidRPr="00466BD5" w14:paraId="7ECD951C" w14:textId="77777777" w:rsidTr="00D123BA">
              <w:trPr>
                <w:trHeight w:val="360"/>
              </w:trPr>
              <w:tc>
                <w:tcPr>
                  <w:tcW w:w="3060" w:type="dxa"/>
                  <w:tcBorders>
                    <w:top w:val="nil"/>
                    <w:left w:val="single" w:sz="8" w:space="0" w:color="auto"/>
                    <w:bottom w:val="single" w:sz="8" w:space="0" w:color="auto"/>
                    <w:right w:val="single" w:sz="8" w:space="0" w:color="auto"/>
                  </w:tcBorders>
                  <w:shd w:val="clear" w:color="000000" w:fill="BDD7EE"/>
                  <w:vAlign w:val="center"/>
                  <w:hideMark/>
                </w:tcPr>
                <w:p w14:paraId="7F7450C7" w14:textId="77777777" w:rsidR="000A67C7" w:rsidRPr="00466BD5" w:rsidRDefault="000A67C7" w:rsidP="00A26916">
                  <w:pPr>
                    <w:framePr w:hSpace="181" w:wrap="around" w:vAnchor="page" w:hAnchor="margin" w:y="1162"/>
                    <w:spacing w:after="0" w:line="240" w:lineRule="auto"/>
                    <w:jc w:val="both"/>
                    <w:rPr>
                      <w:rFonts w:ascii="Arial" w:eastAsia="Times New Roman" w:hAnsi="Arial" w:cs="Arial"/>
                      <w:b/>
                      <w:bCs/>
                      <w:color w:val="000000"/>
                      <w:lang w:val="ru-RU" w:eastAsia="ru-RU"/>
                    </w:rPr>
                  </w:pPr>
                  <w:r w:rsidRPr="00466BD5">
                    <w:rPr>
                      <w:rFonts w:ascii="Arial" w:eastAsia="Times New Roman" w:hAnsi="Arial" w:cs="Arial"/>
                      <w:b/>
                      <w:bCs/>
                      <w:color w:val="000000"/>
                      <w:lang w:val="ru-RU" w:eastAsia="ru-RU"/>
                    </w:rPr>
                    <w:t>Общее кол-во пациентов</w:t>
                  </w:r>
                </w:p>
              </w:tc>
              <w:tc>
                <w:tcPr>
                  <w:tcW w:w="1720" w:type="dxa"/>
                  <w:tcBorders>
                    <w:top w:val="nil"/>
                    <w:left w:val="nil"/>
                    <w:bottom w:val="single" w:sz="8" w:space="0" w:color="auto"/>
                    <w:right w:val="single" w:sz="8" w:space="0" w:color="auto"/>
                  </w:tcBorders>
                  <w:shd w:val="clear" w:color="000000" w:fill="BDD7EE"/>
                  <w:vAlign w:val="center"/>
                  <w:hideMark/>
                </w:tcPr>
                <w:p w14:paraId="2C4BE305" w14:textId="585CF2DB" w:rsidR="000A67C7" w:rsidRPr="00466BD5" w:rsidRDefault="000A67C7" w:rsidP="00A26916">
                  <w:pPr>
                    <w:framePr w:hSpace="181" w:wrap="around" w:vAnchor="page" w:hAnchor="margin" w:y="1162"/>
                    <w:spacing w:after="0" w:line="240" w:lineRule="auto"/>
                    <w:jc w:val="center"/>
                    <w:rPr>
                      <w:rFonts w:ascii="Arial" w:eastAsia="Times New Roman" w:hAnsi="Arial" w:cs="Arial"/>
                      <w:b/>
                      <w:bCs/>
                      <w:color w:val="000000"/>
                      <w:lang w:val="ru-RU" w:eastAsia="ru-RU"/>
                    </w:rPr>
                  </w:pPr>
                  <w:r w:rsidRPr="00466BD5">
                    <w:rPr>
                      <w:rFonts w:ascii="Arial" w:eastAsia="Times New Roman" w:hAnsi="Arial" w:cs="Arial"/>
                      <w:b/>
                      <w:bCs/>
                      <w:color w:val="000000"/>
                      <w:lang w:val="ru-RU" w:eastAsia="ru-RU"/>
                    </w:rPr>
                    <w:t>1</w:t>
                  </w:r>
                  <w:r w:rsidR="00F73148">
                    <w:rPr>
                      <w:rFonts w:ascii="Arial" w:eastAsia="Times New Roman" w:hAnsi="Arial" w:cs="Arial"/>
                      <w:b/>
                      <w:bCs/>
                      <w:color w:val="000000"/>
                      <w:lang w:val="ru-RU" w:eastAsia="ru-RU"/>
                    </w:rPr>
                    <w:t>,</w:t>
                  </w:r>
                  <w:r w:rsidRPr="00466BD5">
                    <w:rPr>
                      <w:rFonts w:ascii="Arial" w:eastAsia="Times New Roman" w:hAnsi="Arial" w:cs="Arial"/>
                      <w:b/>
                      <w:bCs/>
                      <w:color w:val="000000"/>
                      <w:lang w:val="ru-RU" w:eastAsia="ru-RU"/>
                    </w:rPr>
                    <w:t>200</w:t>
                  </w:r>
                </w:p>
              </w:tc>
              <w:tc>
                <w:tcPr>
                  <w:tcW w:w="1720" w:type="dxa"/>
                  <w:tcBorders>
                    <w:top w:val="nil"/>
                    <w:left w:val="nil"/>
                    <w:bottom w:val="single" w:sz="8" w:space="0" w:color="auto"/>
                    <w:right w:val="single" w:sz="8" w:space="0" w:color="auto"/>
                  </w:tcBorders>
                  <w:shd w:val="clear" w:color="000000" w:fill="BDD7EE"/>
                  <w:vAlign w:val="center"/>
                  <w:hideMark/>
                </w:tcPr>
                <w:p w14:paraId="7651130D" w14:textId="23A25A51" w:rsidR="000A67C7" w:rsidRPr="00466BD5" w:rsidRDefault="000A67C7" w:rsidP="00A26916">
                  <w:pPr>
                    <w:framePr w:hSpace="181" w:wrap="around" w:vAnchor="page" w:hAnchor="margin" w:y="1162"/>
                    <w:spacing w:after="0" w:line="240" w:lineRule="auto"/>
                    <w:jc w:val="center"/>
                    <w:rPr>
                      <w:rFonts w:ascii="Arial" w:eastAsia="Times New Roman" w:hAnsi="Arial" w:cs="Arial"/>
                      <w:b/>
                      <w:bCs/>
                      <w:color w:val="000000"/>
                      <w:lang w:val="ru-RU" w:eastAsia="ru-RU"/>
                    </w:rPr>
                  </w:pPr>
                  <w:r w:rsidRPr="00466BD5">
                    <w:rPr>
                      <w:rFonts w:ascii="Arial" w:eastAsia="Times New Roman" w:hAnsi="Arial" w:cs="Arial"/>
                      <w:b/>
                      <w:bCs/>
                      <w:color w:val="000000"/>
                      <w:lang w:val="ru-RU" w:eastAsia="ru-RU"/>
                    </w:rPr>
                    <w:t>1</w:t>
                  </w:r>
                  <w:r w:rsidR="00F73148">
                    <w:rPr>
                      <w:rFonts w:ascii="Arial" w:eastAsia="Times New Roman" w:hAnsi="Arial" w:cs="Arial"/>
                      <w:b/>
                      <w:bCs/>
                      <w:color w:val="000000"/>
                      <w:lang w:val="ru-RU" w:eastAsia="ru-RU"/>
                    </w:rPr>
                    <w:t>,</w:t>
                  </w:r>
                  <w:r w:rsidRPr="00466BD5">
                    <w:rPr>
                      <w:rFonts w:ascii="Arial" w:eastAsia="Times New Roman" w:hAnsi="Arial" w:cs="Arial"/>
                      <w:b/>
                      <w:bCs/>
                      <w:color w:val="000000"/>
                      <w:lang w:val="ru-RU" w:eastAsia="ru-RU"/>
                    </w:rPr>
                    <w:t>200</w:t>
                  </w:r>
                </w:p>
              </w:tc>
              <w:tc>
                <w:tcPr>
                  <w:tcW w:w="1720" w:type="dxa"/>
                  <w:tcBorders>
                    <w:top w:val="nil"/>
                    <w:left w:val="nil"/>
                    <w:bottom w:val="single" w:sz="8" w:space="0" w:color="auto"/>
                    <w:right w:val="single" w:sz="8" w:space="0" w:color="auto"/>
                  </w:tcBorders>
                  <w:shd w:val="clear" w:color="000000" w:fill="BDD7EE"/>
                  <w:vAlign w:val="center"/>
                  <w:hideMark/>
                </w:tcPr>
                <w:p w14:paraId="1F54CA91" w14:textId="33AA320E" w:rsidR="000A67C7" w:rsidRPr="00466BD5" w:rsidRDefault="000A67C7" w:rsidP="00A26916">
                  <w:pPr>
                    <w:framePr w:hSpace="181" w:wrap="around" w:vAnchor="page" w:hAnchor="margin" w:y="1162"/>
                    <w:spacing w:after="0" w:line="240" w:lineRule="auto"/>
                    <w:jc w:val="center"/>
                    <w:rPr>
                      <w:rFonts w:ascii="Arial" w:eastAsia="Times New Roman" w:hAnsi="Arial" w:cs="Arial"/>
                      <w:b/>
                      <w:bCs/>
                      <w:color w:val="000000"/>
                      <w:lang w:val="ru-RU" w:eastAsia="ru-RU"/>
                    </w:rPr>
                  </w:pPr>
                  <w:r w:rsidRPr="00466BD5">
                    <w:rPr>
                      <w:rFonts w:ascii="Arial" w:eastAsia="Times New Roman" w:hAnsi="Arial" w:cs="Arial"/>
                      <w:b/>
                      <w:bCs/>
                      <w:color w:val="000000"/>
                      <w:lang w:val="ru-RU" w:eastAsia="ru-RU"/>
                    </w:rPr>
                    <w:t>1</w:t>
                  </w:r>
                  <w:r w:rsidR="00F73148">
                    <w:rPr>
                      <w:rFonts w:ascii="Arial" w:eastAsia="Times New Roman" w:hAnsi="Arial" w:cs="Arial"/>
                      <w:b/>
                      <w:bCs/>
                      <w:color w:val="000000"/>
                      <w:lang w:val="ru-RU" w:eastAsia="ru-RU"/>
                    </w:rPr>
                    <w:t>,</w:t>
                  </w:r>
                  <w:r w:rsidRPr="00466BD5">
                    <w:rPr>
                      <w:rFonts w:ascii="Arial" w:eastAsia="Times New Roman" w:hAnsi="Arial" w:cs="Arial"/>
                      <w:b/>
                      <w:bCs/>
                      <w:color w:val="000000"/>
                      <w:lang w:val="ru-RU" w:eastAsia="ru-RU"/>
                    </w:rPr>
                    <w:t>200</w:t>
                  </w:r>
                </w:p>
              </w:tc>
              <w:tc>
                <w:tcPr>
                  <w:tcW w:w="1720" w:type="dxa"/>
                  <w:tcBorders>
                    <w:top w:val="nil"/>
                    <w:left w:val="nil"/>
                    <w:bottom w:val="single" w:sz="8" w:space="0" w:color="auto"/>
                    <w:right w:val="single" w:sz="8" w:space="0" w:color="auto"/>
                  </w:tcBorders>
                  <w:shd w:val="clear" w:color="000000" w:fill="BDD7EE"/>
                  <w:vAlign w:val="center"/>
                  <w:hideMark/>
                </w:tcPr>
                <w:p w14:paraId="12EBE56F" w14:textId="305887EA" w:rsidR="000A67C7" w:rsidRPr="00466BD5" w:rsidRDefault="000A67C7" w:rsidP="00A26916">
                  <w:pPr>
                    <w:framePr w:hSpace="181" w:wrap="around" w:vAnchor="page" w:hAnchor="margin" w:y="1162"/>
                    <w:spacing w:after="0" w:line="240" w:lineRule="auto"/>
                    <w:jc w:val="center"/>
                    <w:rPr>
                      <w:rFonts w:ascii="Arial" w:eastAsia="Times New Roman" w:hAnsi="Arial" w:cs="Arial"/>
                      <w:b/>
                      <w:bCs/>
                      <w:color w:val="000000"/>
                      <w:lang w:val="ru-RU" w:eastAsia="ru-RU"/>
                    </w:rPr>
                  </w:pPr>
                  <w:r w:rsidRPr="00466BD5">
                    <w:rPr>
                      <w:rFonts w:ascii="Arial" w:eastAsia="Times New Roman" w:hAnsi="Arial" w:cs="Arial"/>
                      <w:b/>
                      <w:bCs/>
                      <w:color w:val="000000"/>
                      <w:lang w:eastAsia="ru-RU"/>
                    </w:rPr>
                    <w:t>1</w:t>
                  </w:r>
                  <w:r w:rsidR="00F73148">
                    <w:rPr>
                      <w:rFonts w:ascii="Arial" w:eastAsia="Times New Roman" w:hAnsi="Arial" w:cs="Arial"/>
                      <w:b/>
                      <w:bCs/>
                      <w:color w:val="000000"/>
                      <w:lang w:val="ru-RU" w:eastAsia="ru-RU"/>
                    </w:rPr>
                    <w:t>,</w:t>
                  </w:r>
                  <w:r w:rsidRPr="00466BD5">
                    <w:rPr>
                      <w:rFonts w:ascii="Arial" w:eastAsia="Times New Roman" w:hAnsi="Arial" w:cs="Arial"/>
                      <w:b/>
                      <w:bCs/>
                      <w:color w:val="000000"/>
                      <w:lang w:eastAsia="ru-RU"/>
                    </w:rPr>
                    <w:t>200</w:t>
                  </w:r>
                </w:p>
              </w:tc>
            </w:tr>
            <w:tr w:rsidR="000A67C7" w:rsidRPr="00466BD5" w14:paraId="4B08F723" w14:textId="77777777" w:rsidTr="00D123BA">
              <w:trPr>
                <w:trHeight w:val="360"/>
              </w:trPr>
              <w:tc>
                <w:tcPr>
                  <w:tcW w:w="3060" w:type="dxa"/>
                  <w:tcBorders>
                    <w:top w:val="nil"/>
                    <w:left w:val="single" w:sz="8" w:space="0" w:color="auto"/>
                    <w:bottom w:val="single" w:sz="8" w:space="0" w:color="auto"/>
                    <w:right w:val="single" w:sz="8" w:space="0" w:color="auto"/>
                  </w:tcBorders>
                  <w:shd w:val="clear" w:color="000000" w:fill="FFFFFF"/>
                  <w:vAlign w:val="center"/>
                  <w:hideMark/>
                </w:tcPr>
                <w:p w14:paraId="2FDE3F72" w14:textId="77777777" w:rsidR="000A67C7" w:rsidRPr="00466BD5" w:rsidRDefault="000A67C7" w:rsidP="00A26916">
                  <w:pPr>
                    <w:framePr w:hSpace="181" w:wrap="around" w:vAnchor="page" w:hAnchor="margin" w:y="1162"/>
                    <w:spacing w:after="0" w:line="240" w:lineRule="auto"/>
                    <w:jc w:val="both"/>
                    <w:rPr>
                      <w:rFonts w:ascii="Arial" w:eastAsia="Times New Roman" w:hAnsi="Arial" w:cs="Arial"/>
                      <w:color w:val="000000"/>
                      <w:lang w:val="ru-RU" w:eastAsia="ru-RU"/>
                    </w:rPr>
                  </w:pPr>
                  <w:r w:rsidRPr="00466BD5">
                    <w:rPr>
                      <w:rFonts w:ascii="Arial" w:eastAsia="Times New Roman" w:hAnsi="Arial" w:cs="Arial"/>
                      <w:color w:val="000000"/>
                      <w:lang w:val="ru-RU" w:eastAsia="ru-RU"/>
                    </w:rPr>
                    <w:t>- короткие режимы</w:t>
                  </w:r>
                </w:p>
              </w:tc>
              <w:tc>
                <w:tcPr>
                  <w:tcW w:w="1720" w:type="dxa"/>
                  <w:tcBorders>
                    <w:top w:val="nil"/>
                    <w:left w:val="nil"/>
                    <w:bottom w:val="single" w:sz="8" w:space="0" w:color="auto"/>
                    <w:right w:val="single" w:sz="8" w:space="0" w:color="auto"/>
                  </w:tcBorders>
                  <w:shd w:val="clear" w:color="000000" w:fill="FFFFFF"/>
                  <w:vAlign w:val="center"/>
                  <w:hideMark/>
                </w:tcPr>
                <w:p w14:paraId="7C34BE05"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540</w:t>
                  </w:r>
                </w:p>
              </w:tc>
              <w:tc>
                <w:tcPr>
                  <w:tcW w:w="1720" w:type="dxa"/>
                  <w:tcBorders>
                    <w:top w:val="nil"/>
                    <w:left w:val="nil"/>
                    <w:bottom w:val="single" w:sz="8" w:space="0" w:color="auto"/>
                    <w:right w:val="single" w:sz="8" w:space="0" w:color="auto"/>
                  </w:tcBorders>
                  <w:shd w:val="clear" w:color="000000" w:fill="FFFFFF"/>
                  <w:vAlign w:val="center"/>
                  <w:hideMark/>
                </w:tcPr>
                <w:p w14:paraId="0E6ABC35"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600</w:t>
                  </w:r>
                </w:p>
              </w:tc>
              <w:tc>
                <w:tcPr>
                  <w:tcW w:w="1720" w:type="dxa"/>
                  <w:tcBorders>
                    <w:top w:val="nil"/>
                    <w:left w:val="nil"/>
                    <w:bottom w:val="single" w:sz="8" w:space="0" w:color="auto"/>
                    <w:right w:val="single" w:sz="8" w:space="0" w:color="auto"/>
                  </w:tcBorders>
                  <w:shd w:val="clear" w:color="000000" w:fill="FFFFFF"/>
                  <w:vAlign w:val="center"/>
                  <w:hideMark/>
                </w:tcPr>
                <w:p w14:paraId="2FC2F06E"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660</w:t>
                  </w:r>
                </w:p>
              </w:tc>
              <w:tc>
                <w:tcPr>
                  <w:tcW w:w="1720" w:type="dxa"/>
                  <w:tcBorders>
                    <w:top w:val="nil"/>
                    <w:left w:val="nil"/>
                    <w:bottom w:val="single" w:sz="8" w:space="0" w:color="auto"/>
                    <w:right w:val="single" w:sz="8" w:space="0" w:color="auto"/>
                  </w:tcBorders>
                  <w:shd w:val="clear" w:color="000000" w:fill="FFFFFF"/>
                  <w:vAlign w:val="center"/>
                  <w:hideMark/>
                </w:tcPr>
                <w:p w14:paraId="648E881F"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eastAsia="ru-RU"/>
                    </w:rPr>
                    <w:t>720</w:t>
                  </w:r>
                </w:p>
              </w:tc>
            </w:tr>
            <w:tr w:rsidR="000A67C7" w:rsidRPr="00466BD5" w14:paraId="43DE2E9F" w14:textId="77777777" w:rsidTr="00D123BA">
              <w:trPr>
                <w:trHeight w:val="360"/>
              </w:trPr>
              <w:tc>
                <w:tcPr>
                  <w:tcW w:w="3060" w:type="dxa"/>
                  <w:tcBorders>
                    <w:top w:val="nil"/>
                    <w:left w:val="single" w:sz="8" w:space="0" w:color="auto"/>
                    <w:bottom w:val="single" w:sz="8" w:space="0" w:color="auto"/>
                    <w:right w:val="single" w:sz="8" w:space="0" w:color="auto"/>
                  </w:tcBorders>
                  <w:shd w:val="clear" w:color="000000" w:fill="FFFFFF"/>
                  <w:vAlign w:val="center"/>
                  <w:hideMark/>
                </w:tcPr>
                <w:p w14:paraId="31FDC671" w14:textId="77777777" w:rsidR="000A67C7" w:rsidRPr="00466BD5" w:rsidRDefault="000A67C7" w:rsidP="00A26916">
                  <w:pPr>
                    <w:framePr w:hSpace="181" w:wrap="around" w:vAnchor="page" w:hAnchor="margin" w:y="1162"/>
                    <w:spacing w:after="0" w:line="240" w:lineRule="auto"/>
                    <w:jc w:val="both"/>
                    <w:rPr>
                      <w:rFonts w:ascii="Arial" w:eastAsia="Times New Roman" w:hAnsi="Arial" w:cs="Arial"/>
                      <w:color w:val="000000"/>
                      <w:lang w:val="ru-RU" w:eastAsia="ru-RU"/>
                    </w:rPr>
                  </w:pPr>
                  <w:r w:rsidRPr="00466BD5">
                    <w:rPr>
                      <w:rFonts w:ascii="Arial" w:eastAsia="Times New Roman" w:hAnsi="Arial" w:cs="Arial"/>
                      <w:color w:val="000000"/>
                      <w:lang w:eastAsia="ru-RU"/>
                    </w:rPr>
                    <w:t> </w:t>
                  </w:r>
                </w:p>
              </w:tc>
              <w:tc>
                <w:tcPr>
                  <w:tcW w:w="1720" w:type="dxa"/>
                  <w:tcBorders>
                    <w:top w:val="nil"/>
                    <w:left w:val="nil"/>
                    <w:bottom w:val="single" w:sz="8" w:space="0" w:color="auto"/>
                    <w:right w:val="single" w:sz="8" w:space="0" w:color="auto"/>
                  </w:tcBorders>
                  <w:shd w:val="clear" w:color="000000" w:fill="FFFFFF"/>
                  <w:vAlign w:val="center"/>
                  <w:hideMark/>
                </w:tcPr>
                <w:p w14:paraId="6FB2B6E3"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b/>
                      <w:bCs/>
                      <w:color w:val="000000"/>
                      <w:lang w:val="ru-RU" w:eastAsia="ru-RU"/>
                    </w:rPr>
                  </w:pPr>
                  <w:r w:rsidRPr="00466BD5">
                    <w:rPr>
                      <w:rFonts w:ascii="Arial" w:eastAsia="Times New Roman" w:hAnsi="Arial" w:cs="Arial"/>
                      <w:b/>
                      <w:bCs/>
                      <w:color w:val="000000"/>
                      <w:lang w:eastAsia="ru-RU"/>
                    </w:rPr>
                    <w:t>45%</w:t>
                  </w:r>
                </w:p>
              </w:tc>
              <w:tc>
                <w:tcPr>
                  <w:tcW w:w="1720" w:type="dxa"/>
                  <w:tcBorders>
                    <w:top w:val="nil"/>
                    <w:left w:val="nil"/>
                    <w:bottom w:val="single" w:sz="8" w:space="0" w:color="auto"/>
                    <w:right w:val="single" w:sz="8" w:space="0" w:color="auto"/>
                  </w:tcBorders>
                  <w:shd w:val="clear" w:color="000000" w:fill="FFFFFF"/>
                  <w:vAlign w:val="center"/>
                  <w:hideMark/>
                </w:tcPr>
                <w:p w14:paraId="361F1A80"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b/>
                      <w:bCs/>
                      <w:color w:val="000000"/>
                      <w:lang w:val="ru-RU" w:eastAsia="ru-RU"/>
                    </w:rPr>
                  </w:pPr>
                  <w:r w:rsidRPr="00466BD5">
                    <w:rPr>
                      <w:rFonts w:ascii="Arial" w:eastAsia="Times New Roman" w:hAnsi="Arial" w:cs="Arial"/>
                      <w:b/>
                      <w:bCs/>
                      <w:color w:val="000000"/>
                      <w:lang w:eastAsia="ru-RU"/>
                    </w:rPr>
                    <w:t>50%</w:t>
                  </w:r>
                </w:p>
              </w:tc>
              <w:tc>
                <w:tcPr>
                  <w:tcW w:w="1720" w:type="dxa"/>
                  <w:tcBorders>
                    <w:top w:val="nil"/>
                    <w:left w:val="nil"/>
                    <w:bottom w:val="single" w:sz="8" w:space="0" w:color="auto"/>
                    <w:right w:val="single" w:sz="8" w:space="0" w:color="auto"/>
                  </w:tcBorders>
                  <w:shd w:val="clear" w:color="000000" w:fill="FFFFFF"/>
                  <w:vAlign w:val="center"/>
                  <w:hideMark/>
                </w:tcPr>
                <w:p w14:paraId="62487A0A"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b/>
                      <w:bCs/>
                      <w:color w:val="000000"/>
                      <w:lang w:val="ru-RU" w:eastAsia="ru-RU"/>
                    </w:rPr>
                  </w:pPr>
                  <w:r w:rsidRPr="00466BD5">
                    <w:rPr>
                      <w:rFonts w:ascii="Arial" w:eastAsia="Times New Roman" w:hAnsi="Arial" w:cs="Arial"/>
                      <w:b/>
                      <w:bCs/>
                      <w:color w:val="000000"/>
                      <w:lang w:eastAsia="ru-RU"/>
                    </w:rPr>
                    <w:t>55%</w:t>
                  </w:r>
                </w:p>
              </w:tc>
              <w:tc>
                <w:tcPr>
                  <w:tcW w:w="1720" w:type="dxa"/>
                  <w:tcBorders>
                    <w:top w:val="nil"/>
                    <w:left w:val="nil"/>
                    <w:bottom w:val="single" w:sz="8" w:space="0" w:color="auto"/>
                    <w:right w:val="single" w:sz="8" w:space="0" w:color="auto"/>
                  </w:tcBorders>
                  <w:shd w:val="clear" w:color="000000" w:fill="FFFFFF"/>
                  <w:vAlign w:val="center"/>
                  <w:hideMark/>
                </w:tcPr>
                <w:p w14:paraId="117EADCC"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b/>
                      <w:bCs/>
                      <w:color w:val="000000"/>
                      <w:lang w:val="ru-RU" w:eastAsia="ru-RU"/>
                    </w:rPr>
                  </w:pPr>
                  <w:r w:rsidRPr="00466BD5">
                    <w:rPr>
                      <w:rFonts w:ascii="Arial" w:eastAsia="Times New Roman" w:hAnsi="Arial" w:cs="Arial"/>
                      <w:b/>
                      <w:bCs/>
                      <w:color w:val="000000"/>
                      <w:lang w:eastAsia="ru-RU"/>
                    </w:rPr>
                    <w:t>60%</w:t>
                  </w:r>
                </w:p>
              </w:tc>
            </w:tr>
            <w:tr w:rsidR="000A67C7" w:rsidRPr="00466BD5" w14:paraId="14A485F3" w14:textId="77777777" w:rsidTr="00D123BA">
              <w:trPr>
                <w:trHeight w:val="360"/>
              </w:trPr>
              <w:tc>
                <w:tcPr>
                  <w:tcW w:w="3060" w:type="dxa"/>
                  <w:tcBorders>
                    <w:top w:val="nil"/>
                    <w:left w:val="single" w:sz="8" w:space="0" w:color="auto"/>
                    <w:bottom w:val="single" w:sz="8" w:space="0" w:color="auto"/>
                    <w:right w:val="single" w:sz="8" w:space="0" w:color="auto"/>
                  </w:tcBorders>
                  <w:shd w:val="clear" w:color="000000" w:fill="FFFFFF"/>
                  <w:vAlign w:val="center"/>
                  <w:hideMark/>
                </w:tcPr>
                <w:p w14:paraId="3DAF567D" w14:textId="77777777" w:rsidR="000A67C7" w:rsidRPr="00466BD5" w:rsidRDefault="000A67C7" w:rsidP="00A26916">
                  <w:pPr>
                    <w:framePr w:hSpace="181" w:wrap="around" w:vAnchor="page" w:hAnchor="margin" w:y="1162"/>
                    <w:spacing w:after="0" w:line="240" w:lineRule="auto"/>
                    <w:rPr>
                      <w:rFonts w:ascii="Arial" w:eastAsia="Times New Roman" w:hAnsi="Arial" w:cs="Arial"/>
                      <w:color w:val="000000"/>
                      <w:lang w:val="ru-RU" w:eastAsia="ru-RU"/>
                    </w:rPr>
                  </w:pPr>
                  <w:r w:rsidRPr="00466BD5">
                    <w:rPr>
                      <w:rFonts w:ascii="Arial" w:eastAsia="Times New Roman" w:hAnsi="Arial" w:cs="Arial"/>
                      <w:color w:val="000000"/>
                      <w:lang w:val="ru-RU" w:eastAsia="ru-RU"/>
                    </w:rPr>
                    <w:t>- индивид. режимы</w:t>
                  </w:r>
                </w:p>
              </w:tc>
              <w:tc>
                <w:tcPr>
                  <w:tcW w:w="1720" w:type="dxa"/>
                  <w:tcBorders>
                    <w:top w:val="nil"/>
                    <w:left w:val="nil"/>
                    <w:bottom w:val="single" w:sz="8" w:space="0" w:color="auto"/>
                    <w:right w:val="single" w:sz="8" w:space="0" w:color="auto"/>
                  </w:tcBorders>
                  <w:shd w:val="clear" w:color="000000" w:fill="FFFFFF"/>
                  <w:vAlign w:val="center"/>
                  <w:hideMark/>
                </w:tcPr>
                <w:p w14:paraId="0A95D341"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660</w:t>
                  </w:r>
                </w:p>
              </w:tc>
              <w:tc>
                <w:tcPr>
                  <w:tcW w:w="1720" w:type="dxa"/>
                  <w:tcBorders>
                    <w:top w:val="nil"/>
                    <w:left w:val="nil"/>
                    <w:bottom w:val="single" w:sz="8" w:space="0" w:color="auto"/>
                    <w:right w:val="single" w:sz="8" w:space="0" w:color="auto"/>
                  </w:tcBorders>
                  <w:shd w:val="clear" w:color="000000" w:fill="FFFFFF"/>
                  <w:vAlign w:val="center"/>
                  <w:hideMark/>
                </w:tcPr>
                <w:p w14:paraId="30D60FEC"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600</w:t>
                  </w:r>
                </w:p>
              </w:tc>
              <w:tc>
                <w:tcPr>
                  <w:tcW w:w="1720" w:type="dxa"/>
                  <w:tcBorders>
                    <w:top w:val="nil"/>
                    <w:left w:val="nil"/>
                    <w:bottom w:val="single" w:sz="8" w:space="0" w:color="auto"/>
                    <w:right w:val="single" w:sz="8" w:space="0" w:color="auto"/>
                  </w:tcBorders>
                  <w:shd w:val="clear" w:color="000000" w:fill="FFFFFF"/>
                  <w:vAlign w:val="center"/>
                  <w:hideMark/>
                </w:tcPr>
                <w:p w14:paraId="1F2DAA20"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540</w:t>
                  </w:r>
                </w:p>
              </w:tc>
              <w:tc>
                <w:tcPr>
                  <w:tcW w:w="1720" w:type="dxa"/>
                  <w:tcBorders>
                    <w:top w:val="nil"/>
                    <w:left w:val="nil"/>
                    <w:bottom w:val="single" w:sz="8" w:space="0" w:color="auto"/>
                    <w:right w:val="single" w:sz="8" w:space="0" w:color="auto"/>
                  </w:tcBorders>
                  <w:shd w:val="clear" w:color="000000" w:fill="FFFFFF"/>
                  <w:vAlign w:val="center"/>
                  <w:hideMark/>
                </w:tcPr>
                <w:p w14:paraId="35E45BDA"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eastAsia="ru-RU"/>
                    </w:rPr>
                    <w:t>480</w:t>
                  </w:r>
                </w:p>
              </w:tc>
            </w:tr>
            <w:tr w:rsidR="000A67C7" w:rsidRPr="00466BD5" w14:paraId="199CB017" w14:textId="77777777" w:rsidTr="00D123BA">
              <w:trPr>
                <w:trHeight w:val="360"/>
              </w:trPr>
              <w:tc>
                <w:tcPr>
                  <w:tcW w:w="3060" w:type="dxa"/>
                  <w:tcBorders>
                    <w:top w:val="nil"/>
                    <w:left w:val="single" w:sz="8" w:space="0" w:color="auto"/>
                    <w:bottom w:val="single" w:sz="8" w:space="0" w:color="auto"/>
                    <w:right w:val="single" w:sz="8" w:space="0" w:color="auto"/>
                  </w:tcBorders>
                  <w:shd w:val="clear" w:color="000000" w:fill="FFFFFF"/>
                  <w:vAlign w:val="center"/>
                  <w:hideMark/>
                </w:tcPr>
                <w:p w14:paraId="06B38742" w14:textId="77777777" w:rsidR="000A67C7" w:rsidRPr="00466BD5" w:rsidRDefault="000A67C7" w:rsidP="00A26916">
                  <w:pPr>
                    <w:framePr w:hSpace="181" w:wrap="around" w:vAnchor="page" w:hAnchor="margin" w:y="1162"/>
                    <w:spacing w:after="0" w:line="240" w:lineRule="auto"/>
                    <w:jc w:val="both"/>
                    <w:rPr>
                      <w:rFonts w:ascii="Arial" w:eastAsia="Times New Roman" w:hAnsi="Arial" w:cs="Arial"/>
                      <w:color w:val="000000"/>
                      <w:lang w:val="ru-RU" w:eastAsia="ru-RU"/>
                    </w:rPr>
                  </w:pPr>
                  <w:r w:rsidRPr="00466BD5">
                    <w:rPr>
                      <w:rFonts w:ascii="Arial" w:eastAsia="Times New Roman" w:hAnsi="Arial" w:cs="Arial"/>
                      <w:color w:val="000000"/>
                      <w:lang w:eastAsia="ru-RU"/>
                    </w:rPr>
                    <w:t> </w:t>
                  </w:r>
                </w:p>
              </w:tc>
              <w:tc>
                <w:tcPr>
                  <w:tcW w:w="1720" w:type="dxa"/>
                  <w:tcBorders>
                    <w:top w:val="nil"/>
                    <w:left w:val="nil"/>
                    <w:bottom w:val="single" w:sz="8" w:space="0" w:color="auto"/>
                    <w:right w:val="single" w:sz="8" w:space="0" w:color="auto"/>
                  </w:tcBorders>
                  <w:shd w:val="clear" w:color="000000" w:fill="FFFFFF"/>
                  <w:vAlign w:val="center"/>
                  <w:hideMark/>
                </w:tcPr>
                <w:p w14:paraId="3058A97F"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b/>
                      <w:bCs/>
                      <w:color w:val="000000"/>
                      <w:lang w:val="ru-RU" w:eastAsia="ru-RU"/>
                    </w:rPr>
                  </w:pPr>
                  <w:r w:rsidRPr="00466BD5">
                    <w:rPr>
                      <w:rFonts w:ascii="Arial" w:eastAsia="Times New Roman" w:hAnsi="Arial" w:cs="Arial"/>
                      <w:b/>
                      <w:bCs/>
                      <w:color w:val="000000"/>
                      <w:lang w:eastAsia="ru-RU"/>
                    </w:rPr>
                    <w:t>55%</w:t>
                  </w:r>
                </w:p>
              </w:tc>
              <w:tc>
                <w:tcPr>
                  <w:tcW w:w="1720" w:type="dxa"/>
                  <w:tcBorders>
                    <w:top w:val="nil"/>
                    <w:left w:val="nil"/>
                    <w:bottom w:val="single" w:sz="8" w:space="0" w:color="auto"/>
                    <w:right w:val="single" w:sz="8" w:space="0" w:color="auto"/>
                  </w:tcBorders>
                  <w:shd w:val="clear" w:color="000000" w:fill="FFFFFF"/>
                  <w:vAlign w:val="center"/>
                  <w:hideMark/>
                </w:tcPr>
                <w:p w14:paraId="546B41A8"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b/>
                      <w:bCs/>
                      <w:color w:val="000000"/>
                      <w:lang w:val="ru-RU" w:eastAsia="ru-RU"/>
                    </w:rPr>
                  </w:pPr>
                  <w:r w:rsidRPr="00466BD5">
                    <w:rPr>
                      <w:rFonts w:ascii="Arial" w:eastAsia="Times New Roman" w:hAnsi="Arial" w:cs="Arial"/>
                      <w:b/>
                      <w:bCs/>
                      <w:color w:val="000000"/>
                      <w:lang w:eastAsia="ru-RU"/>
                    </w:rPr>
                    <w:t>50%</w:t>
                  </w:r>
                </w:p>
              </w:tc>
              <w:tc>
                <w:tcPr>
                  <w:tcW w:w="1720" w:type="dxa"/>
                  <w:tcBorders>
                    <w:top w:val="nil"/>
                    <w:left w:val="nil"/>
                    <w:bottom w:val="single" w:sz="8" w:space="0" w:color="auto"/>
                    <w:right w:val="single" w:sz="8" w:space="0" w:color="auto"/>
                  </w:tcBorders>
                  <w:shd w:val="clear" w:color="000000" w:fill="FFFFFF"/>
                  <w:vAlign w:val="center"/>
                  <w:hideMark/>
                </w:tcPr>
                <w:p w14:paraId="31C29FAD"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b/>
                      <w:bCs/>
                      <w:color w:val="000000"/>
                      <w:lang w:val="ru-RU" w:eastAsia="ru-RU"/>
                    </w:rPr>
                  </w:pPr>
                  <w:r w:rsidRPr="00466BD5">
                    <w:rPr>
                      <w:rFonts w:ascii="Arial" w:eastAsia="Times New Roman" w:hAnsi="Arial" w:cs="Arial"/>
                      <w:b/>
                      <w:bCs/>
                      <w:color w:val="000000"/>
                      <w:lang w:eastAsia="ru-RU"/>
                    </w:rPr>
                    <w:t>45%</w:t>
                  </w:r>
                </w:p>
              </w:tc>
              <w:tc>
                <w:tcPr>
                  <w:tcW w:w="1720" w:type="dxa"/>
                  <w:tcBorders>
                    <w:top w:val="nil"/>
                    <w:left w:val="nil"/>
                    <w:bottom w:val="single" w:sz="8" w:space="0" w:color="auto"/>
                    <w:right w:val="single" w:sz="8" w:space="0" w:color="auto"/>
                  </w:tcBorders>
                  <w:shd w:val="clear" w:color="000000" w:fill="FFFFFF"/>
                  <w:vAlign w:val="center"/>
                  <w:hideMark/>
                </w:tcPr>
                <w:p w14:paraId="12747AEE"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b/>
                      <w:bCs/>
                      <w:color w:val="000000"/>
                      <w:lang w:val="ru-RU" w:eastAsia="ru-RU"/>
                    </w:rPr>
                  </w:pPr>
                  <w:r w:rsidRPr="00466BD5">
                    <w:rPr>
                      <w:rFonts w:ascii="Arial" w:eastAsia="Times New Roman" w:hAnsi="Arial" w:cs="Arial"/>
                      <w:b/>
                      <w:bCs/>
                      <w:color w:val="000000"/>
                      <w:lang w:eastAsia="ru-RU"/>
                    </w:rPr>
                    <w:t>40%</w:t>
                  </w:r>
                </w:p>
              </w:tc>
            </w:tr>
            <w:tr w:rsidR="000A67C7" w:rsidRPr="00A26916" w14:paraId="75798AC5" w14:textId="77777777" w:rsidTr="00D123BA">
              <w:trPr>
                <w:trHeight w:val="360"/>
              </w:trPr>
              <w:tc>
                <w:tcPr>
                  <w:tcW w:w="3060" w:type="dxa"/>
                  <w:tcBorders>
                    <w:top w:val="nil"/>
                    <w:left w:val="single" w:sz="8" w:space="0" w:color="auto"/>
                    <w:bottom w:val="single" w:sz="8" w:space="0" w:color="auto"/>
                    <w:right w:val="single" w:sz="8" w:space="0" w:color="auto"/>
                  </w:tcBorders>
                  <w:shd w:val="clear" w:color="000000" w:fill="DDEBF7"/>
                  <w:vAlign w:val="center"/>
                  <w:hideMark/>
                </w:tcPr>
                <w:p w14:paraId="2B1C1B9A" w14:textId="77777777" w:rsidR="000A67C7" w:rsidRPr="00466BD5" w:rsidRDefault="000A67C7" w:rsidP="00A26916">
                  <w:pPr>
                    <w:framePr w:hSpace="181" w:wrap="around" w:vAnchor="page" w:hAnchor="margin" w:y="1162"/>
                    <w:spacing w:after="0" w:line="240" w:lineRule="auto"/>
                    <w:jc w:val="both"/>
                    <w:rPr>
                      <w:rFonts w:ascii="Arial" w:eastAsia="Times New Roman" w:hAnsi="Arial" w:cs="Arial"/>
                      <w:b/>
                      <w:bCs/>
                      <w:color w:val="000000"/>
                      <w:lang w:val="ru-RU" w:eastAsia="ru-RU"/>
                    </w:rPr>
                  </w:pPr>
                  <w:r w:rsidRPr="00466BD5">
                    <w:rPr>
                      <w:rFonts w:ascii="Arial" w:eastAsia="Times New Roman" w:hAnsi="Arial" w:cs="Arial"/>
                      <w:b/>
                      <w:bCs/>
                      <w:color w:val="000000"/>
                      <w:lang w:val="ru-RU" w:eastAsia="ru-RU"/>
                    </w:rPr>
                    <w:t>МЛУ/РУ-ТБ чувств. ФХ</w:t>
                  </w:r>
                </w:p>
              </w:tc>
              <w:tc>
                <w:tcPr>
                  <w:tcW w:w="1720" w:type="dxa"/>
                  <w:tcBorders>
                    <w:top w:val="nil"/>
                    <w:left w:val="nil"/>
                    <w:bottom w:val="single" w:sz="8" w:space="0" w:color="auto"/>
                    <w:right w:val="single" w:sz="8" w:space="0" w:color="auto"/>
                  </w:tcBorders>
                  <w:shd w:val="clear" w:color="000000" w:fill="DDEBF7"/>
                  <w:vAlign w:val="center"/>
                  <w:hideMark/>
                </w:tcPr>
                <w:p w14:paraId="705BB417" w14:textId="64EE6B75" w:rsidR="000A67C7" w:rsidRPr="00466BD5" w:rsidRDefault="000A67C7" w:rsidP="00A26916">
                  <w:pPr>
                    <w:framePr w:hSpace="181" w:wrap="around" w:vAnchor="page" w:hAnchor="margin" w:y="1162"/>
                    <w:spacing w:after="0" w:line="240" w:lineRule="auto"/>
                    <w:jc w:val="center"/>
                    <w:rPr>
                      <w:rFonts w:ascii="Arial" w:eastAsia="Times New Roman" w:hAnsi="Arial" w:cs="Arial"/>
                      <w:b/>
                      <w:bCs/>
                      <w:color w:val="000000"/>
                      <w:lang w:val="ru-RU" w:eastAsia="ru-RU"/>
                    </w:rPr>
                  </w:pPr>
                  <w:r w:rsidRPr="00466BD5">
                    <w:rPr>
                      <w:rFonts w:ascii="Arial" w:eastAsia="Times New Roman" w:hAnsi="Arial" w:cs="Arial"/>
                      <w:b/>
                      <w:bCs/>
                      <w:color w:val="000000"/>
                      <w:lang w:val="ru-RU" w:eastAsia="ru-RU"/>
                    </w:rPr>
                    <w:t>1</w:t>
                  </w:r>
                  <w:r w:rsidR="00F73148">
                    <w:rPr>
                      <w:rFonts w:ascii="Arial" w:eastAsia="Times New Roman" w:hAnsi="Arial" w:cs="Arial"/>
                      <w:b/>
                      <w:bCs/>
                      <w:color w:val="000000"/>
                      <w:lang w:val="ru-RU" w:eastAsia="ru-RU"/>
                    </w:rPr>
                    <w:t>,</w:t>
                  </w:r>
                  <w:r w:rsidRPr="00466BD5">
                    <w:rPr>
                      <w:rFonts w:ascii="Arial" w:eastAsia="Times New Roman" w:hAnsi="Arial" w:cs="Arial"/>
                      <w:b/>
                      <w:bCs/>
                      <w:color w:val="000000"/>
                      <w:lang w:val="ru-RU" w:eastAsia="ru-RU"/>
                    </w:rPr>
                    <w:t>030</w:t>
                  </w:r>
                </w:p>
              </w:tc>
              <w:tc>
                <w:tcPr>
                  <w:tcW w:w="1720" w:type="dxa"/>
                  <w:tcBorders>
                    <w:top w:val="nil"/>
                    <w:left w:val="nil"/>
                    <w:bottom w:val="single" w:sz="8" w:space="0" w:color="auto"/>
                    <w:right w:val="single" w:sz="8" w:space="0" w:color="auto"/>
                  </w:tcBorders>
                  <w:shd w:val="clear" w:color="000000" w:fill="DDEBF7"/>
                  <w:vAlign w:val="center"/>
                  <w:hideMark/>
                </w:tcPr>
                <w:p w14:paraId="0918CBB2" w14:textId="583CC285" w:rsidR="000A67C7" w:rsidRPr="00466BD5" w:rsidRDefault="000A67C7" w:rsidP="00A26916">
                  <w:pPr>
                    <w:framePr w:hSpace="181" w:wrap="around" w:vAnchor="page" w:hAnchor="margin" w:y="1162"/>
                    <w:spacing w:after="0" w:line="240" w:lineRule="auto"/>
                    <w:jc w:val="center"/>
                    <w:rPr>
                      <w:rFonts w:ascii="Arial" w:eastAsia="Times New Roman" w:hAnsi="Arial" w:cs="Arial"/>
                      <w:b/>
                      <w:bCs/>
                      <w:color w:val="000000"/>
                      <w:lang w:val="ru-RU" w:eastAsia="ru-RU"/>
                    </w:rPr>
                  </w:pPr>
                  <w:r w:rsidRPr="00466BD5">
                    <w:rPr>
                      <w:rFonts w:ascii="Arial" w:eastAsia="Times New Roman" w:hAnsi="Arial" w:cs="Arial"/>
                      <w:b/>
                      <w:bCs/>
                      <w:color w:val="000000"/>
                      <w:lang w:val="ru-RU" w:eastAsia="ru-RU"/>
                    </w:rPr>
                    <w:t>1</w:t>
                  </w:r>
                  <w:r w:rsidR="00F73148">
                    <w:rPr>
                      <w:rFonts w:ascii="Arial" w:eastAsia="Times New Roman" w:hAnsi="Arial" w:cs="Arial"/>
                      <w:b/>
                      <w:bCs/>
                      <w:color w:val="000000"/>
                      <w:lang w:val="ru-RU" w:eastAsia="ru-RU"/>
                    </w:rPr>
                    <w:t>,</w:t>
                  </w:r>
                  <w:r w:rsidRPr="00466BD5">
                    <w:rPr>
                      <w:rFonts w:ascii="Arial" w:eastAsia="Times New Roman" w:hAnsi="Arial" w:cs="Arial"/>
                      <w:b/>
                      <w:bCs/>
                      <w:color w:val="000000"/>
                      <w:lang w:val="ru-RU" w:eastAsia="ru-RU"/>
                    </w:rPr>
                    <w:t>020</w:t>
                  </w:r>
                </w:p>
              </w:tc>
              <w:tc>
                <w:tcPr>
                  <w:tcW w:w="1720" w:type="dxa"/>
                  <w:tcBorders>
                    <w:top w:val="nil"/>
                    <w:left w:val="nil"/>
                    <w:bottom w:val="single" w:sz="8" w:space="0" w:color="auto"/>
                    <w:right w:val="single" w:sz="8" w:space="0" w:color="auto"/>
                  </w:tcBorders>
                  <w:shd w:val="clear" w:color="000000" w:fill="DDEBF7"/>
                  <w:vAlign w:val="center"/>
                  <w:hideMark/>
                </w:tcPr>
                <w:p w14:paraId="174B3087" w14:textId="3851415E" w:rsidR="000A67C7" w:rsidRPr="00466BD5" w:rsidRDefault="000A67C7" w:rsidP="00A26916">
                  <w:pPr>
                    <w:framePr w:hSpace="181" w:wrap="around" w:vAnchor="page" w:hAnchor="margin" w:y="1162"/>
                    <w:spacing w:after="0" w:line="240" w:lineRule="auto"/>
                    <w:jc w:val="center"/>
                    <w:rPr>
                      <w:rFonts w:ascii="Arial" w:eastAsia="Times New Roman" w:hAnsi="Arial" w:cs="Arial"/>
                      <w:b/>
                      <w:bCs/>
                      <w:color w:val="000000"/>
                      <w:lang w:val="ru-RU" w:eastAsia="ru-RU"/>
                    </w:rPr>
                  </w:pPr>
                  <w:r w:rsidRPr="00466BD5">
                    <w:rPr>
                      <w:rFonts w:ascii="Arial" w:eastAsia="Times New Roman" w:hAnsi="Arial" w:cs="Arial"/>
                      <w:b/>
                      <w:bCs/>
                      <w:color w:val="000000"/>
                      <w:lang w:val="ru-RU" w:eastAsia="ru-RU"/>
                    </w:rPr>
                    <w:t>1</w:t>
                  </w:r>
                  <w:r w:rsidR="00F73148">
                    <w:rPr>
                      <w:rFonts w:ascii="Arial" w:eastAsia="Times New Roman" w:hAnsi="Arial" w:cs="Arial"/>
                      <w:b/>
                      <w:bCs/>
                      <w:color w:val="000000"/>
                      <w:lang w:val="ru-RU" w:eastAsia="ru-RU"/>
                    </w:rPr>
                    <w:t>,</w:t>
                  </w:r>
                  <w:r w:rsidRPr="00466BD5">
                    <w:rPr>
                      <w:rFonts w:ascii="Arial" w:eastAsia="Times New Roman" w:hAnsi="Arial" w:cs="Arial"/>
                      <w:b/>
                      <w:bCs/>
                      <w:color w:val="000000"/>
                      <w:lang w:val="ru-RU" w:eastAsia="ru-RU"/>
                    </w:rPr>
                    <w:t>020</w:t>
                  </w:r>
                </w:p>
              </w:tc>
              <w:tc>
                <w:tcPr>
                  <w:tcW w:w="1720" w:type="dxa"/>
                  <w:tcBorders>
                    <w:top w:val="nil"/>
                    <w:left w:val="nil"/>
                    <w:bottom w:val="single" w:sz="8" w:space="0" w:color="auto"/>
                    <w:right w:val="single" w:sz="8" w:space="0" w:color="auto"/>
                  </w:tcBorders>
                  <w:shd w:val="clear" w:color="000000" w:fill="DDEBF7"/>
                  <w:vAlign w:val="center"/>
                  <w:hideMark/>
                </w:tcPr>
                <w:p w14:paraId="3A915BBF" w14:textId="65D01203" w:rsidR="000A67C7" w:rsidRPr="00466BD5" w:rsidRDefault="000A67C7" w:rsidP="00A26916">
                  <w:pPr>
                    <w:framePr w:hSpace="181" w:wrap="around" w:vAnchor="page" w:hAnchor="margin" w:y="1162"/>
                    <w:spacing w:after="0" w:line="240" w:lineRule="auto"/>
                    <w:jc w:val="center"/>
                    <w:rPr>
                      <w:rFonts w:ascii="Arial" w:eastAsia="Times New Roman" w:hAnsi="Arial" w:cs="Arial"/>
                      <w:b/>
                      <w:bCs/>
                      <w:color w:val="000000"/>
                      <w:lang w:val="ru-RU" w:eastAsia="ru-RU"/>
                    </w:rPr>
                  </w:pPr>
                  <w:r w:rsidRPr="00466BD5">
                    <w:rPr>
                      <w:rFonts w:ascii="Arial" w:eastAsia="Times New Roman" w:hAnsi="Arial" w:cs="Arial"/>
                      <w:b/>
                      <w:bCs/>
                      <w:color w:val="000000"/>
                      <w:lang w:val="ru-RU" w:eastAsia="ru-RU"/>
                    </w:rPr>
                    <w:t>1</w:t>
                  </w:r>
                  <w:r w:rsidR="00F73148">
                    <w:rPr>
                      <w:rFonts w:ascii="Arial" w:eastAsia="Times New Roman" w:hAnsi="Arial" w:cs="Arial"/>
                      <w:b/>
                      <w:bCs/>
                      <w:color w:val="000000"/>
                      <w:lang w:val="ru-RU" w:eastAsia="ru-RU"/>
                    </w:rPr>
                    <w:t>,</w:t>
                  </w:r>
                  <w:r w:rsidRPr="00466BD5">
                    <w:rPr>
                      <w:rFonts w:ascii="Arial" w:eastAsia="Times New Roman" w:hAnsi="Arial" w:cs="Arial"/>
                      <w:b/>
                      <w:bCs/>
                      <w:color w:val="000000"/>
                      <w:lang w:val="ru-RU" w:eastAsia="ru-RU"/>
                    </w:rPr>
                    <w:t>020</w:t>
                  </w:r>
                </w:p>
              </w:tc>
            </w:tr>
            <w:tr w:rsidR="000A67C7" w:rsidRPr="00A26916" w14:paraId="3A43FB29" w14:textId="77777777" w:rsidTr="00D123BA">
              <w:trPr>
                <w:trHeight w:val="360"/>
              </w:trPr>
              <w:tc>
                <w:tcPr>
                  <w:tcW w:w="3060" w:type="dxa"/>
                  <w:tcBorders>
                    <w:top w:val="nil"/>
                    <w:left w:val="single" w:sz="8" w:space="0" w:color="auto"/>
                    <w:bottom w:val="single" w:sz="8" w:space="0" w:color="auto"/>
                    <w:right w:val="single" w:sz="8" w:space="0" w:color="auto"/>
                  </w:tcBorders>
                  <w:shd w:val="clear" w:color="000000" w:fill="FFFFFF"/>
                  <w:vAlign w:val="center"/>
                  <w:hideMark/>
                </w:tcPr>
                <w:p w14:paraId="52CDA658" w14:textId="77777777" w:rsidR="000A67C7" w:rsidRPr="00466BD5" w:rsidRDefault="000A67C7" w:rsidP="00A26916">
                  <w:pPr>
                    <w:framePr w:hSpace="181" w:wrap="around" w:vAnchor="page" w:hAnchor="margin" w:y="1162"/>
                    <w:spacing w:after="0" w:line="240" w:lineRule="auto"/>
                    <w:jc w:val="both"/>
                    <w:rPr>
                      <w:rFonts w:ascii="Arial" w:eastAsia="Times New Roman" w:hAnsi="Arial" w:cs="Arial"/>
                      <w:color w:val="000000"/>
                      <w:lang w:val="ru-RU" w:eastAsia="ru-RU"/>
                    </w:rPr>
                  </w:pPr>
                  <w:r w:rsidRPr="00466BD5">
                    <w:rPr>
                      <w:rFonts w:ascii="Arial" w:eastAsia="Times New Roman" w:hAnsi="Arial" w:cs="Arial"/>
                      <w:color w:val="000000"/>
                      <w:lang w:val="ru-RU" w:eastAsia="ru-RU"/>
                    </w:rPr>
                    <w:t>- BPaLM</w:t>
                  </w:r>
                </w:p>
              </w:tc>
              <w:tc>
                <w:tcPr>
                  <w:tcW w:w="1720" w:type="dxa"/>
                  <w:tcBorders>
                    <w:top w:val="nil"/>
                    <w:left w:val="nil"/>
                    <w:bottom w:val="single" w:sz="8" w:space="0" w:color="auto"/>
                    <w:right w:val="single" w:sz="8" w:space="0" w:color="auto"/>
                  </w:tcBorders>
                  <w:shd w:val="clear" w:color="000000" w:fill="FFFFFF"/>
                  <w:vAlign w:val="center"/>
                  <w:hideMark/>
                </w:tcPr>
                <w:p w14:paraId="367364B2"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270</w:t>
                  </w:r>
                </w:p>
              </w:tc>
              <w:tc>
                <w:tcPr>
                  <w:tcW w:w="1720" w:type="dxa"/>
                  <w:tcBorders>
                    <w:top w:val="nil"/>
                    <w:left w:val="nil"/>
                    <w:bottom w:val="single" w:sz="8" w:space="0" w:color="auto"/>
                    <w:right w:val="single" w:sz="8" w:space="0" w:color="auto"/>
                  </w:tcBorders>
                  <w:shd w:val="clear" w:color="000000" w:fill="FFFFFF"/>
                  <w:vAlign w:val="center"/>
                  <w:hideMark/>
                </w:tcPr>
                <w:p w14:paraId="03EADBA2"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330</w:t>
                  </w:r>
                </w:p>
              </w:tc>
              <w:tc>
                <w:tcPr>
                  <w:tcW w:w="1720" w:type="dxa"/>
                  <w:tcBorders>
                    <w:top w:val="nil"/>
                    <w:left w:val="nil"/>
                    <w:bottom w:val="single" w:sz="8" w:space="0" w:color="auto"/>
                    <w:right w:val="single" w:sz="8" w:space="0" w:color="auto"/>
                  </w:tcBorders>
                  <w:shd w:val="clear" w:color="000000" w:fill="FFFFFF"/>
                  <w:vAlign w:val="center"/>
                  <w:hideMark/>
                </w:tcPr>
                <w:p w14:paraId="63F87698"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390</w:t>
                  </w:r>
                </w:p>
              </w:tc>
              <w:tc>
                <w:tcPr>
                  <w:tcW w:w="1720" w:type="dxa"/>
                  <w:tcBorders>
                    <w:top w:val="nil"/>
                    <w:left w:val="nil"/>
                    <w:bottom w:val="single" w:sz="8" w:space="0" w:color="auto"/>
                    <w:right w:val="single" w:sz="8" w:space="0" w:color="auto"/>
                  </w:tcBorders>
                  <w:shd w:val="clear" w:color="000000" w:fill="FFFFFF"/>
                  <w:vAlign w:val="center"/>
                  <w:hideMark/>
                </w:tcPr>
                <w:p w14:paraId="4DEA8D85"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420</w:t>
                  </w:r>
                </w:p>
              </w:tc>
            </w:tr>
            <w:tr w:rsidR="000A67C7" w:rsidRPr="00A26916" w14:paraId="20B398F3" w14:textId="77777777" w:rsidTr="00D123BA">
              <w:trPr>
                <w:trHeight w:val="360"/>
              </w:trPr>
              <w:tc>
                <w:tcPr>
                  <w:tcW w:w="3060" w:type="dxa"/>
                  <w:tcBorders>
                    <w:top w:val="nil"/>
                    <w:left w:val="single" w:sz="8" w:space="0" w:color="auto"/>
                    <w:bottom w:val="single" w:sz="8" w:space="0" w:color="auto"/>
                    <w:right w:val="single" w:sz="8" w:space="0" w:color="auto"/>
                  </w:tcBorders>
                  <w:shd w:val="clear" w:color="000000" w:fill="FFFFFF"/>
                  <w:vAlign w:val="center"/>
                  <w:hideMark/>
                </w:tcPr>
                <w:p w14:paraId="5D07378C" w14:textId="77777777" w:rsidR="000A67C7" w:rsidRPr="00466BD5" w:rsidRDefault="000A67C7" w:rsidP="00A26916">
                  <w:pPr>
                    <w:framePr w:hSpace="181" w:wrap="around" w:vAnchor="page" w:hAnchor="margin" w:y="1162"/>
                    <w:spacing w:after="0" w:line="240" w:lineRule="auto"/>
                    <w:jc w:val="both"/>
                    <w:rPr>
                      <w:rFonts w:ascii="Arial" w:eastAsia="Times New Roman" w:hAnsi="Arial" w:cs="Arial"/>
                      <w:color w:val="000000"/>
                      <w:lang w:val="ru-RU" w:eastAsia="ru-RU"/>
                    </w:rPr>
                  </w:pPr>
                  <w:r w:rsidRPr="00466BD5">
                    <w:rPr>
                      <w:rFonts w:ascii="Arial" w:eastAsia="Times New Roman" w:hAnsi="Arial" w:cs="Arial"/>
                      <w:color w:val="000000"/>
                      <w:lang w:val="ru-RU" w:eastAsia="ru-RU"/>
                    </w:rPr>
                    <w:t>- КРЛ (9-мес.)</w:t>
                  </w:r>
                </w:p>
              </w:tc>
              <w:tc>
                <w:tcPr>
                  <w:tcW w:w="1720" w:type="dxa"/>
                  <w:tcBorders>
                    <w:top w:val="nil"/>
                    <w:left w:val="nil"/>
                    <w:bottom w:val="single" w:sz="8" w:space="0" w:color="auto"/>
                    <w:right w:val="single" w:sz="8" w:space="0" w:color="auto"/>
                  </w:tcBorders>
                  <w:shd w:val="clear" w:color="000000" w:fill="FFFFFF"/>
                  <w:vAlign w:val="center"/>
                  <w:hideMark/>
                </w:tcPr>
                <w:p w14:paraId="78EAE606"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5</w:t>
                  </w:r>
                </w:p>
              </w:tc>
              <w:tc>
                <w:tcPr>
                  <w:tcW w:w="1720" w:type="dxa"/>
                  <w:tcBorders>
                    <w:top w:val="nil"/>
                    <w:left w:val="nil"/>
                    <w:bottom w:val="single" w:sz="8" w:space="0" w:color="auto"/>
                    <w:right w:val="single" w:sz="8" w:space="0" w:color="auto"/>
                  </w:tcBorders>
                  <w:shd w:val="clear" w:color="000000" w:fill="FFFFFF"/>
                  <w:vAlign w:val="center"/>
                  <w:hideMark/>
                </w:tcPr>
                <w:p w14:paraId="66877128"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5</w:t>
                  </w:r>
                </w:p>
              </w:tc>
              <w:tc>
                <w:tcPr>
                  <w:tcW w:w="1720" w:type="dxa"/>
                  <w:tcBorders>
                    <w:top w:val="nil"/>
                    <w:left w:val="nil"/>
                    <w:bottom w:val="single" w:sz="8" w:space="0" w:color="auto"/>
                    <w:right w:val="single" w:sz="8" w:space="0" w:color="auto"/>
                  </w:tcBorders>
                  <w:shd w:val="clear" w:color="000000" w:fill="FFFFFF"/>
                  <w:vAlign w:val="center"/>
                  <w:hideMark/>
                </w:tcPr>
                <w:p w14:paraId="750D0AD5"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5</w:t>
                  </w:r>
                </w:p>
              </w:tc>
              <w:tc>
                <w:tcPr>
                  <w:tcW w:w="1720" w:type="dxa"/>
                  <w:tcBorders>
                    <w:top w:val="nil"/>
                    <w:left w:val="nil"/>
                    <w:bottom w:val="single" w:sz="8" w:space="0" w:color="auto"/>
                    <w:right w:val="single" w:sz="8" w:space="0" w:color="auto"/>
                  </w:tcBorders>
                  <w:shd w:val="clear" w:color="000000" w:fill="FFFFFF"/>
                  <w:vAlign w:val="center"/>
                  <w:hideMark/>
                </w:tcPr>
                <w:p w14:paraId="10657E86"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5</w:t>
                  </w:r>
                </w:p>
              </w:tc>
            </w:tr>
            <w:tr w:rsidR="000A67C7" w:rsidRPr="00A26916" w14:paraId="37508065" w14:textId="77777777" w:rsidTr="00D123BA">
              <w:trPr>
                <w:trHeight w:val="360"/>
              </w:trPr>
              <w:tc>
                <w:tcPr>
                  <w:tcW w:w="3060" w:type="dxa"/>
                  <w:tcBorders>
                    <w:top w:val="nil"/>
                    <w:left w:val="single" w:sz="8" w:space="0" w:color="auto"/>
                    <w:bottom w:val="single" w:sz="8" w:space="0" w:color="auto"/>
                    <w:right w:val="single" w:sz="8" w:space="0" w:color="auto"/>
                  </w:tcBorders>
                  <w:shd w:val="clear" w:color="000000" w:fill="FFFFFF"/>
                  <w:vAlign w:val="center"/>
                  <w:hideMark/>
                </w:tcPr>
                <w:p w14:paraId="24FF5395" w14:textId="77777777" w:rsidR="000A67C7" w:rsidRPr="00466BD5" w:rsidRDefault="000A67C7" w:rsidP="00A26916">
                  <w:pPr>
                    <w:framePr w:hSpace="181" w:wrap="around" w:vAnchor="page" w:hAnchor="margin" w:y="1162"/>
                    <w:spacing w:after="0" w:line="240" w:lineRule="auto"/>
                    <w:jc w:val="both"/>
                    <w:rPr>
                      <w:rFonts w:ascii="Arial" w:eastAsia="Times New Roman" w:hAnsi="Arial" w:cs="Arial"/>
                      <w:color w:val="000000"/>
                      <w:lang w:val="ru-RU" w:eastAsia="ru-RU"/>
                    </w:rPr>
                  </w:pPr>
                  <w:r w:rsidRPr="00466BD5">
                    <w:rPr>
                      <w:rFonts w:ascii="Arial" w:eastAsia="Times New Roman" w:hAnsi="Arial" w:cs="Arial"/>
                      <w:color w:val="000000"/>
                      <w:lang w:val="ru-RU" w:eastAsia="ru-RU"/>
                    </w:rPr>
                    <w:t>- дети до 25 кг</w:t>
                  </w:r>
                </w:p>
              </w:tc>
              <w:tc>
                <w:tcPr>
                  <w:tcW w:w="1720" w:type="dxa"/>
                  <w:tcBorders>
                    <w:top w:val="nil"/>
                    <w:left w:val="nil"/>
                    <w:bottom w:val="single" w:sz="8" w:space="0" w:color="auto"/>
                    <w:right w:val="single" w:sz="8" w:space="0" w:color="auto"/>
                  </w:tcBorders>
                  <w:shd w:val="clear" w:color="000000" w:fill="FFFFFF"/>
                  <w:vAlign w:val="center"/>
                  <w:hideMark/>
                </w:tcPr>
                <w:p w14:paraId="72364288"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5</w:t>
                  </w:r>
                </w:p>
              </w:tc>
              <w:tc>
                <w:tcPr>
                  <w:tcW w:w="1720" w:type="dxa"/>
                  <w:tcBorders>
                    <w:top w:val="nil"/>
                    <w:left w:val="nil"/>
                    <w:bottom w:val="single" w:sz="8" w:space="0" w:color="auto"/>
                    <w:right w:val="single" w:sz="8" w:space="0" w:color="auto"/>
                  </w:tcBorders>
                  <w:shd w:val="clear" w:color="000000" w:fill="FFFFFF"/>
                  <w:vAlign w:val="center"/>
                  <w:hideMark/>
                </w:tcPr>
                <w:p w14:paraId="26A35F95"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5</w:t>
                  </w:r>
                </w:p>
              </w:tc>
              <w:tc>
                <w:tcPr>
                  <w:tcW w:w="1720" w:type="dxa"/>
                  <w:tcBorders>
                    <w:top w:val="nil"/>
                    <w:left w:val="nil"/>
                    <w:bottom w:val="single" w:sz="8" w:space="0" w:color="auto"/>
                    <w:right w:val="single" w:sz="8" w:space="0" w:color="auto"/>
                  </w:tcBorders>
                  <w:shd w:val="clear" w:color="000000" w:fill="FFFFFF"/>
                  <w:vAlign w:val="center"/>
                  <w:hideMark/>
                </w:tcPr>
                <w:p w14:paraId="64969A7D"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5</w:t>
                  </w:r>
                </w:p>
              </w:tc>
              <w:tc>
                <w:tcPr>
                  <w:tcW w:w="1720" w:type="dxa"/>
                  <w:tcBorders>
                    <w:top w:val="nil"/>
                    <w:left w:val="nil"/>
                    <w:bottom w:val="single" w:sz="8" w:space="0" w:color="auto"/>
                    <w:right w:val="single" w:sz="8" w:space="0" w:color="auto"/>
                  </w:tcBorders>
                  <w:shd w:val="clear" w:color="000000" w:fill="FFFFFF"/>
                  <w:vAlign w:val="center"/>
                  <w:hideMark/>
                </w:tcPr>
                <w:p w14:paraId="00B19291"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5</w:t>
                  </w:r>
                </w:p>
              </w:tc>
            </w:tr>
            <w:tr w:rsidR="000A67C7" w:rsidRPr="00A26916" w14:paraId="3BE32664" w14:textId="77777777" w:rsidTr="00D123BA">
              <w:trPr>
                <w:trHeight w:val="360"/>
              </w:trPr>
              <w:tc>
                <w:tcPr>
                  <w:tcW w:w="3060" w:type="dxa"/>
                  <w:tcBorders>
                    <w:top w:val="nil"/>
                    <w:left w:val="single" w:sz="8" w:space="0" w:color="auto"/>
                    <w:bottom w:val="single" w:sz="8" w:space="0" w:color="auto"/>
                    <w:right w:val="single" w:sz="8" w:space="0" w:color="auto"/>
                  </w:tcBorders>
                  <w:shd w:val="clear" w:color="000000" w:fill="FFFFFF"/>
                  <w:vAlign w:val="center"/>
                  <w:hideMark/>
                </w:tcPr>
                <w:p w14:paraId="265A739E" w14:textId="77777777" w:rsidR="000A67C7" w:rsidRPr="00466BD5" w:rsidRDefault="000A67C7" w:rsidP="00A26916">
                  <w:pPr>
                    <w:framePr w:hSpace="181" w:wrap="around" w:vAnchor="page" w:hAnchor="margin" w:y="1162"/>
                    <w:spacing w:after="0" w:line="240" w:lineRule="auto"/>
                    <w:jc w:val="both"/>
                    <w:rPr>
                      <w:rFonts w:ascii="Arial" w:eastAsia="Times New Roman" w:hAnsi="Arial" w:cs="Arial"/>
                      <w:color w:val="000000"/>
                      <w:lang w:val="ru-RU" w:eastAsia="ru-RU"/>
                    </w:rPr>
                  </w:pPr>
                  <w:r w:rsidRPr="00466BD5">
                    <w:rPr>
                      <w:rFonts w:ascii="Arial" w:eastAsia="Times New Roman" w:hAnsi="Arial" w:cs="Arial"/>
                      <w:color w:val="000000"/>
                      <w:lang w:val="ru-RU" w:eastAsia="ru-RU"/>
                    </w:rPr>
                    <w:t>- мКРЛ*</w:t>
                  </w:r>
                </w:p>
              </w:tc>
              <w:tc>
                <w:tcPr>
                  <w:tcW w:w="1720" w:type="dxa"/>
                  <w:tcBorders>
                    <w:top w:val="nil"/>
                    <w:left w:val="nil"/>
                    <w:bottom w:val="single" w:sz="8" w:space="0" w:color="auto"/>
                    <w:right w:val="single" w:sz="8" w:space="0" w:color="auto"/>
                  </w:tcBorders>
                  <w:shd w:val="clear" w:color="000000" w:fill="FFFFFF"/>
                  <w:vAlign w:val="center"/>
                  <w:hideMark/>
                </w:tcPr>
                <w:p w14:paraId="771239EE"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140</w:t>
                  </w:r>
                </w:p>
              </w:tc>
              <w:tc>
                <w:tcPr>
                  <w:tcW w:w="1720" w:type="dxa"/>
                  <w:tcBorders>
                    <w:top w:val="nil"/>
                    <w:left w:val="nil"/>
                    <w:bottom w:val="single" w:sz="8" w:space="0" w:color="auto"/>
                    <w:right w:val="single" w:sz="8" w:space="0" w:color="auto"/>
                  </w:tcBorders>
                  <w:shd w:val="clear" w:color="000000" w:fill="FFFFFF"/>
                  <w:vAlign w:val="center"/>
                  <w:hideMark/>
                </w:tcPr>
                <w:p w14:paraId="11454EE2"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140</w:t>
                  </w:r>
                </w:p>
              </w:tc>
              <w:tc>
                <w:tcPr>
                  <w:tcW w:w="1720" w:type="dxa"/>
                  <w:tcBorders>
                    <w:top w:val="nil"/>
                    <w:left w:val="nil"/>
                    <w:bottom w:val="single" w:sz="8" w:space="0" w:color="auto"/>
                    <w:right w:val="single" w:sz="8" w:space="0" w:color="auto"/>
                  </w:tcBorders>
                  <w:shd w:val="clear" w:color="000000" w:fill="FFFFFF"/>
                  <w:vAlign w:val="center"/>
                  <w:hideMark/>
                </w:tcPr>
                <w:p w14:paraId="2AEFEB7A"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140</w:t>
                  </w:r>
                </w:p>
              </w:tc>
              <w:tc>
                <w:tcPr>
                  <w:tcW w:w="1720" w:type="dxa"/>
                  <w:tcBorders>
                    <w:top w:val="nil"/>
                    <w:left w:val="nil"/>
                    <w:bottom w:val="single" w:sz="8" w:space="0" w:color="auto"/>
                    <w:right w:val="single" w:sz="8" w:space="0" w:color="auto"/>
                  </w:tcBorders>
                  <w:shd w:val="clear" w:color="000000" w:fill="FFFFFF"/>
                  <w:vAlign w:val="center"/>
                  <w:hideMark/>
                </w:tcPr>
                <w:p w14:paraId="512963B6"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170</w:t>
                  </w:r>
                </w:p>
              </w:tc>
            </w:tr>
            <w:tr w:rsidR="000A67C7" w:rsidRPr="00A26916" w14:paraId="3BA5D5DC" w14:textId="77777777" w:rsidTr="00D123BA">
              <w:trPr>
                <w:trHeight w:val="360"/>
              </w:trPr>
              <w:tc>
                <w:tcPr>
                  <w:tcW w:w="3060" w:type="dxa"/>
                  <w:tcBorders>
                    <w:top w:val="nil"/>
                    <w:left w:val="single" w:sz="8" w:space="0" w:color="auto"/>
                    <w:bottom w:val="single" w:sz="8" w:space="0" w:color="auto"/>
                    <w:right w:val="single" w:sz="8" w:space="0" w:color="auto"/>
                  </w:tcBorders>
                  <w:shd w:val="clear" w:color="000000" w:fill="FFFFFF"/>
                  <w:vAlign w:val="center"/>
                  <w:hideMark/>
                </w:tcPr>
                <w:p w14:paraId="1444AC0A" w14:textId="77777777" w:rsidR="000A67C7" w:rsidRPr="00466BD5" w:rsidRDefault="000A67C7" w:rsidP="00A26916">
                  <w:pPr>
                    <w:framePr w:hSpace="181" w:wrap="around" w:vAnchor="page" w:hAnchor="margin" w:y="1162"/>
                    <w:spacing w:after="0" w:line="240" w:lineRule="auto"/>
                    <w:jc w:val="both"/>
                    <w:rPr>
                      <w:rFonts w:ascii="Arial" w:eastAsia="Times New Roman" w:hAnsi="Arial" w:cs="Arial"/>
                      <w:color w:val="000000"/>
                      <w:lang w:val="ru-RU" w:eastAsia="ru-RU"/>
                    </w:rPr>
                  </w:pPr>
                  <w:r w:rsidRPr="00466BD5">
                    <w:rPr>
                      <w:rFonts w:ascii="Arial" w:eastAsia="Times New Roman" w:hAnsi="Arial" w:cs="Arial"/>
                      <w:color w:val="000000"/>
                      <w:lang w:val="ru-RU" w:eastAsia="ru-RU"/>
                    </w:rPr>
                    <w:t>- мКРЛ* до 25 кг</w:t>
                  </w:r>
                </w:p>
              </w:tc>
              <w:tc>
                <w:tcPr>
                  <w:tcW w:w="1720" w:type="dxa"/>
                  <w:tcBorders>
                    <w:top w:val="nil"/>
                    <w:left w:val="nil"/>
                    <w:bottom w:val="single" w:sz="8" w:space="0" w:color="auto"/>
                    <w:right w:val="single" w:sz="8" w:space="0" w:color="auto"/>
                  </w:tcBorders>
                  <w:shd w:val="clear" w:color="000000" w:fill="FFFFFF"/>
                  <w:vAlign w:val="center"/>
                  <w:hideMark/>
                </w:tcPr>
                <w:p w14:paraId="2988A9B7"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10</w:t>
                  </w:r>
                </w:p>
              </w:tc>
              <w:tc>
                <w:tcPr>
                  <w:tcW w:w="1720" w:type="dxa"/>
                  <w:tcBorders>
                    <w:top w:val="nil"/>
                    <w:left w:val="nil"/>
                    <w:bottom w:val="single" w:sz="8" w:space="0" w:color="auto"/>
                    <w:right w:val="single" w:sz="8" w:space="0" w:color="auto"/>
                  </w:tcBorders>
                  <w:shd w:val="clear" w:color="000000" w:fill="FFFFFF"/>
                  <w:vAlign w:val="center"/>
                  <w:hideMark/>
                </w:tcPr>
                <w:p w14:paraId="7AE3A027"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10</w:t>
                  </w:r>
                </w:p>
              </w:tc>
              <w:tc>
                <w:tcPr>
                  <w:tcW w:w="1720" w:type="dxa"/>
                  <w:tcBorders>
                    <w:top w:val="nil"/>
                    <w:left w:val="nil"/>
                    <w:bottom w:val="single" w:sz="8" w:space="0" w:color="auto"/>
                    <w:right w:val="single" w:sz="8" w:space="0" w:color="auto"/>
                  </w:tcBorders>
                  <w:shd w:val="clear" w:color="000000" w:fill="FFFFFF"/>
                  <w:vAlign w:val="center"/>
                  <w:hideMark/>
                </w:tcPr>
                <w:p w14:paraId="0983EDBC"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10</w:t>
                  </w:r>
                </w:p>
              </w:tc>
              <w:tc>
                <w:tcPr>
                  <w:tcW w:w="1720" w:type="dxa"/>
                  <w:tcBorders>
                    <w:top w:val="nil"/>
                    <w:left w:val="nil"/>
                    <w:bottom w:val="single" w:sz="8" w:space="0" w:color="auto"/>
                    <w:right w:val="single" w:sz="8" w:space="0" w:color="auto"/>
                  </w:tcBorders>
                  <w:shd w:val="clear" w:color="000000" w:fill="FFFFFF"/>
                  <w:vAlign w:val="center"/>
                  <w:hideMark/>
                </w:tcPr>
                <w:p w14:paraId="2543F8A0"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10</w:t>
                  </w:r>
                </w:p>
              </w:tc>
            </w:tr>
            <w:tr w:rsidR="000A67C7" w:rsidRPr="00A26916" w14:paraId="536FBFB1" w14:textId="77777777" w:rsidTr="00D123BA">
              <w:trPr>
                <w:trHeight w:val="360"/>
              </w:trPr>
              <w:tc>
                <w:tcPr>
                  <w:tcW w:w="3060" w:type="dxa"/>
                  <w:tcBorders>
                    <w:top w:val="nil"/>
                    <w:left w:val="single" w:sz="8" w:space="0" w:color="auto"/>
                    <w:bottom w:val="single" w:sz="8" w:space="0" w:color="auto"/>
                    <w:right w:val="single" w:sz="8" w:space="0" w:color="auto"/>
                  </w:tcBorders>
                  <w:shd w:val="clear" w:color="000000" w:fill="FFFFFF"/>
                  <w:vAlign w:val="center"/>
                  <w:hideMark/>
                </w:tcPr>
                <w:p w14:paraId="640A3A8D" w14:textId="77777777" w:rsidR="000A67C7" w:rsidRPr="00466BD5" w:rsidRDefault="000A67C7" w:rsidP="00A26916">
                  <w:pPr>
                    <w:framePr w:hSpace="181" w:wrap="around" w:vAnchor="page" w:hAnchor="margin" w:y="1162"/>
                    <w:spacing w:after="0" w:line="240" w:lineRule="auto"/>
                    <w:jc w:val="both"/>
                    <w:rPr>
                      <w:rFonts w:ascii="Arial" w:eastAsia="Times New Roman" w:hAnsi="Arial" w:cs="Arial"/>
                      <w:color w:val="000000"/>
                      <w:lang w:val="ru-RU" w:eastAsia="ru-RU"/>
                    </w:rPr>
                  </w:pPr>
                  <w:r w:rsidRPr="00466BD5">
                    <w:rPr>
                      <w:rFonts w:ascii="Arial" w:eastAsia="Times New Roman" w:hAnsi="Arial" w:cs="Arial"/>
                      <w:color w:val="000000"/>
                      <w:lang w:val="ru-RU" w:eastAsia="ru-RU"/>
                    </w:rPr>
                    <w:t>- индивид. режимы</w:t>
                  </w:r>
                </w:p>
              </w:tc>
              <w:tc>
                <w:tcPr>
                  <w:tcW w:w="1720" w:type="dxa"/>
                  <w:tcBorders>
                    <w:top w:val="nil"/>
                    <w:left w:val="nil"/>
                    <w:bottom w:val="single" w:sz="8" w:space="0" w:color="auto"/>
                    <w:right w:val="single" w:sz="8" w:space="0" w:color="auto"/>
                  </w:tcBorders>
                  <w:shd w:val="clear" w:color="000000" w:fill="FFFFFF"/>
                  <w:vAlign w:val="center"/>
                  <w:hideMark/>
                </w:tcPr>
                <w:p w14:paraId="7775270F"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600</w:t>
                  </w:r>
                </w:p>
              </w:tc>
              <w:tc>
                <w:tcPr>
                  <w:tcW w:w="1720" w:type="dxa"/>
                  <w:tcBorders>
                    <w:top w:val="nil"/>
                    <w:left w:val="nil"/>
                    <w:bottom w:val="single" w:sz="8" w:space="0" w:color="auto"/>
                    <w:right w:val="single" w:sz="8" w:space="0" w:color="auto"/>
                  </w:tcBorders>
                  <w:shd w:val="clear" w:color="000000" w:fill="FFFFFF"/>
                  <w:vAlign w:val="center"/>
                  <w:hideMark/>
                </w:tcPr>
                <w:p w14:paraId="6468639B"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530</w:t>
                  </w:r>
                </w:p>
              </w:tc>
              <w:tc>
                <w:tcPr>
                  <w:tcW w:w="1720" w:type="dxa"/>
                  <w:tcBorders>
                    <w:top w:val="nil"/>
                    <w:left w:val="nil"/>
                    <w:bottom w:val="single" w:sz="8" w:space="0" w:color="auto"/>
                    <w:right w:val="single" w:sz="8" w:space="0" w:color="auto"/>
                  </w:tcBorders>
                  <w:shd w:val="clear" w:color="000000" w:fill="FFFFFF"/>
                  <w:vAlign w:val="center"/>
                  <w:hideMark/>
                </w:tcPr>
                <w:p w14:paraId="13C22693"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470</w:t>
                  </w:r>
                </w:p>
              </w:tc>
              <w:tc>
                <w:tcPr>
                  <w:tcW w:w="1720" w:type="dxa"/>
                  <w:tcBorders>
                    <w:top w:val="nil"/>
                    <w:left w:val="nil"/>
                    <w:bottom w:val="single" w:sz="8" w:space="0" w:color="auto"/>
                    <w:right w:val="single" w:sz="8" w:space="0" w:color="auto"/>
                  </w:tcBorders>
                  <w:shd w:val="clear" w:color="000000" w:fill="FFFFFF"/>
                  <w:vAlign w:val="center"/>
                  <w:hideMark/>
                </w:tcPr>
                <w:p w14:paraId="1A4E9325"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410</w:t>
                  </w:r>
                </w:p>
              </w:tc>
            </w:tr>
            <w:tr w:rsidR="000A67C7" w:rsidRPr="00A26916" w14:paraId="4B97AA99" w14:textId="77777777" w:rsidTr="00D123BA">
              <w:trPr>
                <w:trHeight w:val="360"/>
              </w:trPr>
              <w:tc>
                <w:tcPr>
                  <w:tcW w:w="3060" w:type="dxa"/>
                  <w:tcBorders>
                    <w:top w:val="nil"/>
                    <w:left w:val="single" w:sz="8" w:space="0" w:color="auto"/>
                    <w:bottom w:val="single" w:sz="8" w:space="0" w:color="auto"/>
                    <w:right w:val="single" w:sz="8" w:space="0" w:color="auto"/>
                  </w:tcBorders>
                  <w:shd w:val="clear" w:color="000000" w:fill="DDEBF7"/>
                  <w:vAlign w:val="center"/>
                  <w:hideMark/>
                </w:tcPr>
                <w:p w14:paraId="0119CD8F" w14:textId="77777777" w:rsidR="000A67C7" w:rsidRPr="00466BD5" w:rsidRDefault="000A67C7" w:rsidP="00A26916">
                  <w:pPr>
                    <w:framePr w:hSpace="181" w:wrap="around" w:vAnchor="page" w:hAnchor="margin" w:y="1162"/>
                    <w:spacing w:after="0" w:line="240" w:lineRule="auto"/>
                    <w:jc w:val="both"/>
                    <w:rPr>
                      <w:rFonts w:ascii="Arial" w:eastAsia="Times New Roman" w:hAnsi="Arial" w:cs="Arial"/>
                      <w:b/>
                      <w:bCs/>
                      <w:color w:val="000000"/>
                      <w:lang w:val="ru-RU" w:eastAsia="ru-RU"/>
                    </w:rPr>
                  </w:pPr>
                  <w:r w:rsidRPr="00466BD5">
                    <w:rPr>
                      <w:rFonts w:ascii="Arial" w:eastAsia="Times New Roman" w:hAnsi="Arial" w:cs="Arial"/>
                      <w:b/>
                      <w:bCs/>
                      <w:color w:val="000000"/>
                      <w:lang w:val="ru-RU" w:eastAsia="ru-RU"/>
                    </w:rPr>
                    <w:lastRenderedPageBreak/>
                    <w:t>Пре-ШЛУ/ШЛУ-ТБ</w:t>
                  </w:r>
                </w:p>
              </w:tc>
              <w:tc>
                <w:tcPr>
                  <w:tcW w:w="1720" w:type="dxa"/>
                  <w:tcBorders>
                    <w:top w:val="nil"/>
                    <w:left w:val="nil"/>
                    <w:bottom w:val="single" w:sz="8" w:space="0" w:color="auto"/>
                    <w:right w:val="single" w:sz="8" w:space="0" w:color="auto"/>
                  </w:tcBorders>
                  <w:shd w:val="clear" w:color="000000" w:fill="DDEBF7"/>
                  <w:vAlign w:val="center"/>
                  <w:hideMark/>
                </w:tcPr>
                <w:p w14:paraId="55EF9BC6"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b/>
                      <w:bCs/>
                      <w:color w:val="000000"/>
                      <w:lang w:val="ru-RU" w:eastAsia="ru-RU"/>
                    </w:rPr>
                  </w:pPr>
                  <w:r w:rsidRPr="00466BD5">
                    <w:rPr>
                      <w:rFonts w:ascii="Arial" w:eastAsia="Times New Roman" w:hAnsi="Arial" w:cs="Arial"/>
                      <w:b/>
                      <w:bCs/>
                      <w:color w:val="000000"/>
                      <w:lang w:val="ru-RU" w:eastAsia="ru-RU"/>
                    </w:rPr>
                    <w:t>170</w:t>
                  </w:r>
                </w:p>
              </w:tc>
              <w:tc>
                <w:tcPr>
                  <w:tcW w:w="1720" w:type="dxa"/>
                  <w:tcBorders>
                    <w:top w:val="nil"/>
                    <w:left w:val="nil"/>
                    <w:bottom w:val="single" w:sz="8" w:space="0" w:color="auto"/>
                    <w:right w:val="single" w:sz="8" w:space="0" w:color="auto"/>
                  </w:tcBorders>
                  <w:shd w:val="clear" w:color="000000" w:fill="DDEBF7"/>
                  <w:vAlign w:val="center"/>
                  <w:hideMark/>
                </w:tcPr>
                <w:p w14:paraId="6437D6F1"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b/>
                      <w:bCs/>
                      <w:color w:val="000000"/>
                      <w:lang w:val="ru-RU" w:eastAsia="ru-RU"/>
                    </w:rPr>
                  </w:pPr>
                  <w:r w:rsidRPr="00466BD5">
                    <w:rPr>
                      <w:rFonts w:ascii="Arial" w:eastAsia="Times New Roman" w:hAnsi="Arial" w:cs="Arial"/>
                      <w:b/>
                      <w:bCs/>
                      <w:color w:val="000000"/>
                      <w:lang w:val="ru-RU" w:eastAsia="ru-RU"/>
                    </w:rPr>
                    <w:t>180</w:t>
                  </w:r>
                </w:p>
              </w:tc>
              <w:tc>
                <w:tcPr>
                  <w:tcW w:w="1720" w:type="dxa"/>
                  <w:tcBorders>
                    <w:top w:val="nil"/>
                    <w:left w:val="nil"/>
                    <w:bottom w:val="single" w:sz="8" w:space="0" w:color="auto"/>
                    <w:right w:val="single" w:sz="8" w:space="0" w:color="auto"/>
                  </w:tcBorders>
                  <w:shd w:val="clear" w:color="000000" w:fill="DDEBF7"/>
                  <w:vAlign w:val="center"/>
                  <w:hideMark/>
                </w:tcPr>
                <w:p w14:paraId="4D3DC2F4"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b/>
                      <w:bCs/>
                      <w:color w:val="000000"/>
                      <w:lang w:val="ru-RU" w:eastAsia="ru-RU"/>
                    </w:rPr>
                  </w:pPr>
                  <w:r w:rsidRPr="00466BD5">
                    <w:rPr>
                      <w:rFonts w:ascii="Arial" w:eastAsia="Times New Roman" w:hAnsi="Arial" w:cs="Arial"/>
                      <w:b/>
                      <w:bCs/>
                      <w:color w:val="000000"/>
                      <w:lang w:val="ru-RU" w:eastAsia="ru-RU"/>
                    </w:rPr>
                    <w:t>180</w:t>
                  </w:r>
                </w:p>
              </w:tc>
              <w:tc>
                <w:tcPr>
                  <w:tcW w:w="1720" w:type="dxa"/>
                  <w:tcBorders>
                    <w:top w:val="nil"/>
                    <w:left w:val="nil"/>
                    <w:bottom w:val="single" w:sz="8" w:space="0" w:color="auto"/>
                    <w:right w:val="single" w:sz="8" w:space="0" w:color="auto"/>
                  </w:tcBorders>
                  <w:shd w:val="clear" w:color="000000" w:fill="DDEBF7"/>
                  <w:vAlign w:val="center"/>
                  <w:hideMark/>
                </w:tcPr>
                <w:p w14:paraId="556CD797"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b/>
                      <w:bCs/>
                      <w:color w:val="000000"/>
                      <w:lang w:val="ru-RU" w:eastAsia="ru-RU"/>
                    </w:rPr>
                  </w:pPr>
                  <w:r w:rsidRPr="00466BD5">
                    <w:rPr>
                      <w:rFonts w:ascii="Arial" w:eastAsia="Times New Roman" w:hAnsi="Arial" w:cs="Arial"/>
                      <w:b/>
                      <w:bCs/>
                      <w:color w:val="000000"/>
                      <w:lang w:val="ru-RU" w:eastAsia="ru-RU"/>
                    </w:rPr>
                    <w:t>180</w:t>
                  </w:r>
                </w:p>
              </w:tc>
            </w:tr>
            <w:tr w:rsidR="000A67C7" w:rsidRPr="00A26916" w14:paraId="669F1B9C" w14:textId="77777777" w:rsidTr="00D123BA">
              <w:trPr>
                <w:trHeight w:val="360"/>
              </w:trPr>
              <w:tc>
                <w:tcPr>
                  <w:tcW w:w="3060" w:type="dxa"/>
                  <w:tcBorders>
                    <w:top w:val="nil"/>
                    <w:left w:val="single" w:sz="8" w:space="0" w:color="auto"/>
                    <w:bottom w:val="single" w:sz="8" w:space="0" w:color="auto"/>
                    <w:right w:val="single" w:sz="8" w:space="0" w:color="auto"/>
                  </w:tcBorders>
                  <w:shd w:val="clear" w:color="000000" w:fill="FFFFFF"/>
                  <w:vAlign w:val="center"/>
                  <w:hideMark/>
                </w:tcPr>
                <w:p w14:paraId="14789B42" w14:textId="77777777" w:rsidR="000A67C7" w:rsidRPr="00466BD5" w:rsidRDefault="000A67C7" w:rsidP="00A26916">
                  <w:pPr>
                    <w:framePr w:hSpace="181" w:wrap="around" w:vAnchor="page" w:hAnchor="margin" w:y="1162"/>
                    <w:spacing w:after="0" w:line="240" w:lineRule="auto"/>
                    <w:jc w:val="both"/>
                    <w:rPr>
                      <w:rFonts w:ascii="Arial" w:eastAsia="Times New Roman" w:hAnsi="Arial" w:cs="Arial"/>
                      <w:color w:val="000000"/>
                      <w:lang w:val="ru-RU" w:eastAsia="ru-RU"/>
                    </w:rPr>
                  </w:pPr>
                  <w:r w:rsidRPr="00466BD5">
                    <w:rPr>
                      <w:rFonts w:ascii="Arial" w:eastAsia="Times New Roman" w:hAnsi="Arial" w:cs="Arial"/>
                      <w:color w:val="000000"/>
                      <w:lang w:val="ru-RU" w:eastAsia="ru-RU"/>
                    </w:rPr>
                    <w:t>- из них BPaL</w:t>
                  </w:r>
                </w:p>
              </w:tc>
              <w:tc>
                <w:tcPr>
                  <w:tcW w:w="1720" w:type="dxa"/>
                  <w:tcBorders>
                    <w:top w:val="nil"/>
                    <w:left w:val="nil"/>
                    <w:bottom w:val="single" w:sz="8" w:space="0" w:color="auto"/>
                    <w:right w:val="single" w:sz="8" w:space="0" w:color="auto"/>
                  </w:tcBorders>
                  <w:shd w:val="clear" w:color="000000" w:fill="FFFFFF"/>
                  <w:vAlign w:val="center"/>
                  <w:hideMark/>
                </w:tcPr>
                <w:p w14:paraId="71E8E720"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110</w:t>
                  </w:r>
                </w:p>
              </w:tc>
              <w:tc>
                <w:tcPr>
                  <w:tcW w:w="1720" w:type="dxa"/>
                  <w:tcBorders>
                    <w:top w:val="nil"/>
                    <w:left w:val="nil"/>
                    <w:bottom w:val="single" w:sz="8" w:space="0" w:color="auto"/>
                    <w:right w:val="single" w:sz="8" w:space="0" w:color="auto"/>
                  </w:tcBorders>
                  <w:shd w:val="clear" w:color="000000" w:fill="FFFFFF"/>
                  <w:vAlign w:val="center"/>
                  <w:hideMark/>
                </w:tcPr>
                <w:p w14:paraId="0EF7A0A7"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110</w:t>
                  </w:r>
                </w:p>
              </w:tc>
              <w:tc>
                <w:tcPr>
                  <w:tcW w:w="1720" w:type="dxa"/>
                  <w:tcBorders>
                    <w:top w:val="nil"/>
                    <w:left w:val="nil"/>
                    <w:bottom w:val="single" w:sz="8" w:space="0" w:color="auto"/>
                    <w:right w:val="single" w:sz="8" w:space="0" w:color="auto"/>
                  </w:tcBorders>
                  <w:shd w:val="clear" w:color="000000" w:fill="FFFFFF"/>
                  <w:vAlign w:val="center"/>
                  <w:hideMark/>
                </w:tcPr>
                <w:p w14:paraId="4CDADB0B"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110</w:t>
                  </w:r>
                </w:p>
              </w:tc>
              <w:tc>
                <w:tcPr>
                  <w:tcW w:w="1720" w:type="dxa"/>
                  <w:tcBorders>
                    <w:top w:val="nil"/>
                    <w:left w:val="nil"/>
                    <w:bottom w:val="single" w:sz="8" w:space="0" w:color="auto"/>
                    <w:right w:val="single" w:sz="8" w:space="0" w:color="auto"/>
                  </w:tcBorders>
                  <w:shd w:val="clear" w:color="000000" w:fill="FFFFFF"/>
                  <w:vAlign w:val="center"/>
                  <w:hideMark/>
                </w:tcPr>
                <w:p w14:paraId="03120D91" w14:textId="77777777" w:rsidR="000A67C7" w:rsidRPr="00466BD5" w:rsidRDefault="000A67C7" w:rsidP="00A26916">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110</w:t>
                  </w:r>
                </w:p>
              </w:tc>
            </w:tr>
          </w:tbl>
          <w:p w14:paraId="00F328C3" w14:textId="1E1BAECB" w:rsidR="000A67C7" w:rsidRDefault="000A67C7" w:rsidP="000A67C7">
            <w:pPr>
              <w:pStyle w:val="af1"/>
              <w:jc w:val="both"/>
              <w:cnfStyle w:val="000000000000" w:firstRow="0" w:lastRow="0" w:firstColumn="0" w:lastColumn="0" w:oddVBand="0" w:evenVBand="0" w:oddHBand="0" w:evenHBand="0" w:firstRowFirstColumn="0" w:firstRowLastColumn="0" w:lastRowFirstColumn="0" w:lastRowLastColumn="0"/>
              <w:rPr>
                <w:sz w:val="24"/>
                <w:szCs w:val="24"/>
                <w:lang w:val="ru-RU"/>
              </w:rPr>
            </w:pPr>
            <w:r>
              <w:rPr>
                <w:sz w:val="24"/>
                <w:szCs w:val="24"/>
                <w:lang w:val="ru-RU"/>
              </w:rPr>
              <w:t>* мКРЛ применяются в условиях операционного исследования</w:t>
            </w:r>
          </w:p>
          <w:p w14:paraId="0B6F7957" w14:textId="79EF68E1" w:rsidR="000A67C7" w:rsidRDefault="000A67C7" w:rsidP="00842BCB">
            <w:pPr>
              <w:pStyle w:val="a1"/>
              <w:jc w:val="both"/>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Эффективность лечения МЛУ-ТБ по Кыргызской Республике составляет 71,7%</w:t>
            </w:r>
            <w:r w:rsidRPr="00E20151">
              <w:rPr>
                <w:sz w:val="22"/>
                <w:szCs w:val="20"/>
                <w:lang w:val="ru-RU"/>
              </w:rPr>
              <w:t xml:space="preserve"> (</w:t>
            </w:r>
            <w:r>
              <w:rPr>
                <w:sz w:val="22"/>
                <w:szCs w:val="20"/>
                <w:lang w:val="ru-RU"/>
              </w:rPr>
              <w:t>цель: 80% к 2025 году</w:t>
            </w:r>
            <w:r w:rsidRPr="00E20151">
              <w:rPr>
                <w:sz w:val="22"/>
                <w:szCs w:val="20"/>
                <w:lang w:val="ru-RU"/>
              </w:rPr>
              <w:t>)</w:t>
            </w:r>
            <w:r>
              <w:rPr>
                <w:sz w:val="22"/>
                <w:szCs w:val="20"/>
                <w:lang w:val="ru-RU"/>
              </w:rPr>
              <w:t xml:space="preserve">. </w:t>
            </w:r>
            <w:r w:rsidR="005B166B" w:rsidRPr="005B166B">
              <w:rPr>
                <w:lang w:val="ru-RU"/>
              </w:rPr>
              <w:t xml:space="preserve"> </w:t>
            </w:r>
            <w:r w:rsidR="005B166B" w:rsidRPr="005B166B">
              <w:rPr>
                <w:sz w:val="22"/>
                <w:szCs w:val="20"/>
                <w:lang w:val="ru-RU"/>
              </w:rPr>
              <w:t xml:space="preserve">Главные проблемы в реализации противотуберкулезных мероприятий: </w:t>
            </w:r>
            <w:r w:rsidR="005B166B">
              <w:rPr>
                <w:sz w:val="22"/>
                <w:szCs w:val="20"/>
                <w:lang w:val="ru-RU"/>
              </w:rPr>
              <w:t>м</w:t>
            </w:r>
            <w:r>
              <w:rPr>
                <w:sz w:val="22"/>
                <w:szCs w:val="20"/>
                <w:lang w:val="ru-RU"/>
              </w:rPr>
              <w:t>едленное расширение модели помощи, ориентированной на нужды людей - переход на амбулаторное лечение (8,1% в 2021 г.), низкий уровень компетенции на уровне ПСМП. Недостаточные меры поддержки пациентов на амбулаторном этапе (в настоящее время пациенты с МЛУ-ТБ получают 1</w:t>
            </w:r>
            <w:r w:rsidR="00F73148">
              <w:rPr>
                <w:sz w:val="22"/>
                <w:szCs w:val="20"/>
                <w:lang w:val="ru-RU"/>
              </w:rPr>
              <w:t>,</w:t>
            </w:r>
            <w:r>
              <w:rPr>
                <w:sz w:val="22"/>
                <w:szCs w:val="20"/>
                <w:lang w:val="ru-RU"/>
              </w:rPr>
              <w:t xml:space="preserve">000 сомов, или около 13 долл. США в месяц), материальные выплаты для пациентов с МЛУ-ТБ не включены в пакет государственных гарантий. </w:t>
            </w:r>
          </w:p>
          <w:p w14:paraId="4E8EB06F" w14:textId="77777777" w:rsidR="000A67C7" w:rsidRDefault="000A67C7" w:rsidP="000A67C7">
            <w:pPr>
              <w:pStyle w:val="a1"/>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 xml:space="preserve">Система кейс-менеджмента реализуется только при поддержке международных организаций. </w:t>
            </w:r>
          </w:p>
          <w:p w14:paraId="43CF171F" w14:textId="53136FA6" w:rsidR="009F051F" w:rsidRPr="008B08A2" w:rsidRDefault="000A67C7" w:rsidP="000A67C7">
            <w:pPr>
              <w:pStyle w:val="a1"/>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Государственный бюджет не покрывает всей стоимости противотуберкулезных препаратов второго ряда.</w:t>
            </w:r>
          </w:p>
        </w:tc>
      </w:tr>
      <w:tr w:rsidR="009F051F" w:rsidRPr="00937F79" w14:paraId="77A72B99" w14:textId="77777777" w:rsidTr="00595E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5660AC05" w14:textId="77777777" w:rsidR="009F051F" w:rsidRDefault="009F051F" w:rsidP="00595E29">
            <w:pPr>
              <w:pStyle w:val="a1"/>
            </w:pPr>
            <w:r>
              <w:rPr>
                <w:lang w:val="ru-RU"/>
              </w:rPr>
              <w:lastRenderedPageBreak/>
              <w:t>Запрашиваемая сумма</w:t>
            </w:r>
          </w:p>
        </w:tc>
        <w:tc>
          <w:tcPr>
            <w:tcW w:w="13025" w:type="dxa"/>
          </w:tcPr>
          <w:p w14:paraId="55B40EC3" w14:textId="77777777" w:rsidR="009F051F" w:rsidRPr="00937F79" w:rsidRDefault="009F051F" w:rsidP="00595E29">
            <w:pPr>
              <w:pStyle w:val="a1"/>
              <w:cnfStyle w:val="000000100000" w:firstRow="0" w:lastRow="0" w:firstColumn="0" w:lastColumn="0" w:oddVBand="0" w:evenVBand="0" w:oddHBand="1" w:evenHBand="0" w:firstRowFirstColumn="0" w:firstRowLastColumn="0" w:lastRowFirstColumn="0" w:lastRowLastColumn="0"/>
              <w:rPr>
                <w:sz w:val="22"/>
                <w:szCs w:val="20"/>
                <w:lang w:val="ru-RU"/>
              </w:rPr>
            </w:pPr>
            <w:r>
              <w:rPr>
                <w:sz w:val="22"/>
                <w:szCs w:val="20"/>
                <w:lang w:val="ru-RU"/>
              </w:rPr>
              <w:t xml:space="preserve">В основной бюджет: </w:t>
            </w:r>
            <w:r w:rsidRPr="0072220A">
              <w:rPr>
                <w:sz w:val="22"/>
                <w:szCs w:val="20"/>
                <w:highlight w:val="yellow"/>
                <w:lang w:val="ru-RU"/>
              </w:rPr>
              <w:t>______</w:t>
            </w:r>
            <w:r>
              <w:rPr>
                <w:sz w:val="22"/>
                <w:szCs w:val="20"/>
                <w:lang w:val="ru-RU"/>
              </w:rPr>
              <w:t xml:space="preserve"> </w:t>
            </w:r>
            <w:r w:rsidRPr="0072220A">
              <w:rPr>
                <w:sz w:val="22"/>
                <w:szCs w:val="20"/>
                <w:lang w:val="ru-RU"/>
              </w:rPr>
              <w:t xml:space="preserve">долл. США. </w:t>
            </w:r>
            <w:r w:rsidRPr="0072220A">
              <w:rPr>
                <w:sz w:val="22"/>
                <w:szCs w:val="20"/>
                <w:lang w:val="en-US"/>
              </w:rPr>
              <w:t>PAAR</w:t>
            </w:r>
            <w:r w:rsidRPr="0072220A">
              <w:rPr>
                <w:sz w:val="22"/>
                <w:szCs w:val="20"/>
                <w:lang w:val="ru-RU"/>
              </w:rPr>
              <w:t xml:space="preserve">: </w:t>
            </w:r>
            <w:r w:rsidRPr="0072220A">
              <w:rPr>
                <w:sz w:val="22"/>
                <w:szCs w:val="20"/>
                <w:highlight w:val="yellow"/>
                <w:lang w:val="ru-RU"/>
              </w:rPr>
              <w:t>______</w:t>
            </w:r>
            <w:r w:rsidRPr="0072220A">
              <w:rPr>
                <w:sz w:val="22"/>
                <w:szCs w:val="20"/>
                <w:lang w:val="ru-RU"/>
              </w:rPr>
              <w:t xml:space="preserve"> долл. США.</w:t>
            </w:r>
          </w:p>
        </w:tc>
      </w:tr>
      <w:tr w:rsidR="009F051F" w:rsidRPr="00A26916" w14:paraId="23843C54" w14:textId="77777777" w:rsidTr="00595E29">
        <w:tc>
          <w:tcPr>
            <w:cnfStyle w:val="001000000000" w:firstRow="0" w:lastRow="0" w:firstColumn="1" w:lastColumn="0" w:oddVBand="0" w:evenVBand="0" w:oddHBand="0" w:evenHBand="0" w:firstRowFirstColumn="0" w:firstRowLastColumn="0" w:lastRowFirstColumn="0" w:lastRowLastColumn="0"/>
            <w:tcW w:w="2138" w:type="dxa"/>
          </w:tcPr>
          <w:p w14:paraId="634087D6" w14:textId="77777777" w:rsidR="009F051F" w:rsidRDefault="009F051F" w:rsidP="00595E29">
            <w:pPr>
              <w:pStyle w:val="a1"/>
            </w:pPr>
            <w:r>
              <w:rPr>
                <w:lang w:val="ru-RU"/>
              </w:rPr>
              <w:t>Ожидаемый результат</w:t>
            </w:r>
          </w:p>
        </w:tc>
        <w:tc>
          <w:tcPr>
            <w:tcW w:w="13025" w:type="dxa"/>
          </w:tcPr>
          <w:p w14:paraId="2FCF876A" w14:textId="77777777" w:rsidR="000A67C7" w:rsidRDefault="000A67C7" w:rsidP="000A67C7">
            <w:pPr>
              <w:pStyle w:val="a1"/>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 xml:space="preserve">Расширены программы скрининга с увеличением количества выявления туберкулеза среди уязвимых групп населения; расширение расследования контактов, в том числе с привлечением НПО (в трех регионах); внедрение новой технологии рентген-обследования с применением ИИ. </w:t>
            </w:r>
          </w:p>
          <w:p w14:paraId="478AB1D8" w14:textId="77777777" w:rsidR="000A67C7" w:rsidRDefault="000A67C7" w:rsidP="000A67C7">
            <w:pPr>
              <w:pStyle w:val="a1"/>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 xml:space="preserve">Все люди с положительным результатом скрининга на ТБ тестируются с помощью </w:t>
            </w:r>
            <w:r>
              <w:rPr>
                <w:sz w:val="22"/>
                <w:szCs w:val="20"/>
                <w:lang w:val="en-US"/>
              </w:rPr>
              <w:t>Xpert</w:t>
            </w:r>
            <w:r>
              <w:rPr>
                <w:sz w:val="22"/>
                <w:szCs w:val="20"/>
                <w:lang w:val="ru-RU"/>
              </w:rPr>
              <w:t xml:space="preserve">; все люди с ТБ имеют результаты тестирования на рифампицин, все люди с МЛУ-ТБ имеют результаты тестирования на фторхинолон. Все пациенты с МЛУ-ТБ имеют результаты теста на все препараты, использующиеся в режиме лечения. </w:t>
            </w:r>
          </w:p>
          <w:p w14:paraId="6FA6F908" w14:textId="77777777" w:rsidR="005B166B" w:rsidRDefault="000A67C7" w:rsidP="000A67C7">
            <w:pPr>
              <w:pStyle w:val="a1"/>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 xml:space="preserve">Все пациенты с МЛУ-ТБ получают эффективное лечение препаратами второго ряда гарантированного качества (включая в местах лишения свободы), включая постепенный переход на новые укороченные режимы лечения МЛУ-ТБ, рекомендованные ВОЗ. </w:t>
            </w:r>
            <w:r w:rsidR="005B166B" w:rsidRPr="005B166B">
              <w:rPr>
                <w:lang w:val="ru-RU"/>
              </w:rPr>
              <w:t xml:space="preserve"> </w:t>
            </w:r>
            <w:r w:rsidR="005B166B" w:rsidRPr="005B166B">
              <w:rPr>
                <w:sz w:val="22"/>
                <w:szCs w:val="20"/>
                <w:lang w:val="ru-RU"/>
              </w:rPr>
              <w:t xml:space="preserve">Дети обеспечены детскими дозировками ПТП </w:t>
            </w:r>
          </w:p>
          <w:p w14:paraId="4E6E1022" w14:textId="7F3A038B" w:rsidR="000A67C7" w:rsidRDefault="000A67C7" w:rsidP="000A67C7">
            <w:pPr>
              <w:pStyle w:val="a1"/>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 xml:space="preserve">Расширяется применение модели помощи, ориентированной на нужды людей с МЛУ-ТБ: видеосопровождения лечения для 40-60% пациентов; пациенты получают материальную помощь в размере 2,5 долл. США на период амбулаторного лечения. </w:t>
            </w:r>
          </w:p>
          <w:p w14:paraId="6F6DBE24" w14:textId="77777777" w:rsidR="000A67C7" w:rsidRDefault="000A67C7" w:rsidP="000A67C7">
            <w:pPr>
              <w:pStyle w:val="a1"/>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Эффективность лечения МЛУ-ТБ достигнет 80% в соответствии с целями Регионального плана по борьбе с ТБ для Европейского региона ВОЗ.</w:t>
            </w:r>
          </w:p>
          <w:p w14:paraId="1B443A7B" w14:textId="60246A74" w:rsidR="009F051F" w:rsidRPr="004F0212" w:rsidRDefault="000A67C7" w:rsidP="000A67C7">
            <w:pPr>
              <w:pStyle w:val="a1"/>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lastRenderedPageBreak/>
              <w:t>Возрастает доля государственного финансирования закупок ПТП 2-го ряда до 26% стоимости.</w:t>
            </w:r>
          </w:p>
        </w:tc>
      </w:tr>
    </w:tbl>
    <w:p w14:paraId="57B9257A" w14:textId="77777777" w:rsidR="007C0483" w:rsidRDefault="007C0483" w:rsidP="007E2465">
      <w:pPr>
        <w:pStyle w:val="a1"/>
        <w:rPr>
          <w:i/>
          <w:iCs/>
          <w:lang w:val="ru-RU"/>
        </w:rPr>
      </w:pPr>
    </w:p>
    <w:p w14:paraId="0CE4BC89" w14:textId="77777777" w:rsidR="009F051F" w:rsidRDefault="009F051F" w:rsidP="007E2465">
      <w:pPr>
        <w:pStyle w:val="a1"/>
        <w:rPr>
          <w:i/>
          <w:iCs/>
          <w:lang w:val="ru-RU"/>
        </w:rPr>
      </w:pPr>
    </w:p>
    <w:p w14:paraId="03BD5E18" w14:textId="77777777" w:rsidR="009F051F" w:rsidRDefault="009F051F" w:rsidP="007E2465">
      <w:pPr>
        <w:pStyle w:val="a1"/>
        <w:rPr>
          <w:i/>
          <w:iCs/>
          <w:lang w:val="ru-RU"/>
        </w:rPr>
      </w:pPr>
    </w:p>
    <w:p w14:paraId="7D14BEA3" w14:textId="77777777" w:rsidR="009F051F" w:rsidRDefault="009F051F" w:rsidP="007E2465">
      <w:pPr>
        <w:pStyle w:val="a1"/>
        <w:rPr>
          <w:i/>
          <w:iCs/>
          <w:lang w:val="ru-RU"/>
        </w:rPr>
      </w:pPr>
    </w:p>
    <w:p w14:paraId="3D7A676A" w14:textId="77777777" w:rsidR="009F051F" w:rsidRDefault="009F051F" w:rsidP="007E2465">
      <w:pPr>
        <w:pStyle w:val="a1"/>
        <w:rPr>
          <w:i/>
          <w:iCs/>
          <w:lang w:val="ru-RU"/>
        </w:rPr>
      </w:pPr>
    </w:p>
    <w:p w14:paraId="1585EF22" w14:textId="6ECCAF9F" w:rsidR="009F051F" w:rsidRPr="00743DE9" w:rsidRDefault="009F051F" w:rsidP="007E2465">
      <w:pPr>
        <w:pStyle w:val="a1"/>
        <w:rPr>
          <w:i/>
          <w:iCs/>
          <w:lang w:val="ru-RU"/>
        </w:rPr>
        <w:sectPr w:rsidR="009F051F" w:rsidRPr="00743DE9" w:rsidSect="00BC09CD">
          <w:headerReference w:type="first" r:id="rId24"/>
          <w:footerReference w:type="first" r:id="rId25"/>
          <w:pgSz w:w="16838" w:h="11906" w:orient="landscape" w:code="9"/>
          <w:pgMar w:top="851" w:right="851" w:bottom="1871" w:left="851" w:header="288" w:footer="288" w:gutter="0"/>
          <w:cols w:space="708"/>
          <w:titlePg/>
          <w:docGrid w:linePitch="360"/>
        </w:sectPr>
      </w:pPr>
    </w:p>
    <w:p w14:paraId="08FCA0F7" w14:textId="7CC238AB" w:rsidR="00EC37CA" w:rsidRPr="00B87D32" w:rsidRDefault="002822E8" w:rsidP="002822E8">
      <w:pPr>
        <w:pStyle w:val="a1"/>
        <w:spacing w:before="240"/>
        <w:jc w:val="both"/>
        <w:rPr>
          <w:color w:val="000000" w:themeColor="text1"/>
          <w:lang w:val="ru-RU"/>
        </w:rPr>
      </w:pPr>
      <w:r>
        <w:rPr>
          <w:color w:val="000000" w:themeColor="text1"/>
          <w:lang w:val="ru-RU"/>
        </w:rPr>
        <w:lastRenderedPageBreak/>
        <w:t xml:space="preserve">Б. </w:t>
      </w:r>
      <w:r w:rsidR="00726705" w:rsidRPr="0032193F">
        <w:rPr>
          <w:color w:val="000000" w:themeColor="text1"/>
          <w:lang w:val="ru-RU"/>
        </w:rPr>
        <w:t xml:space="preserve">Если </w:t>
      </w:r>
      <w:r w:rsidR="00C809F4" w:rsidRPr="0032193F">
        <w:rPr>
          <w:color w:val="000000" w:themeColor="text1"/>
          <w:lang w:val="ru-RU"/>
        </w:rPr>
        <w:t xml:space="preserve">при получении финансирования от Глобального фонда </w:t>
      </w:r>
      <w:r w:rsidR="00726705" w:rsidRPr="0032193F">
        <w:rPr>
          <w:color w:val="000000" w:themeColor="text1"/>
          <w:lang w:val="ru-RU"/>
        </w:rPr>
        <w:t xml:space="preserve">вы следуете схеме </w:t>
      </w:r>
      <w:bookmarkStart w:id="4" w:name="_Hlk123066630"/>
      <w:r w:rsidR="00726705" w:rsidRPr="0032193F">
        <w:rPr>
          <w:color w:val="000000" w:themeColor="text1"/>
          <w:lang w:val="ru-RU"/>
        </w:rPr>
        <w:t>«оплата в зависимости от результатов»</w:t>
      </w:r>
      <w:bookmarkEnd w:id="4"/>
      <w:r w:rsidR="00C809F4" w:rsidRPr="0032193F">
        <w:rPr>
          <w:color w:val="000000" w:themeColor="text1"/>
          <w:lang w:val="ru-RU"/>
        </w:rPr>
        <w:t>, представьте информацию о достижении целевых показателей / этапов, пред</w:t>
      </w:r>
      <w:r w:rsidR="0032193F" w:rsidRPr="0032193F">
        <w:rPr>
          <w:color w:val="000000" w:themeColor="text1"/>
          <w:lang w:val="ru-RU"/>
        </w:rPr>
        <w:t>по</w:t>
      </w:r>
      <w:r w:rsidR="00C809F4" w:rsidRPr="0032193F">
        <w:rPr>
          <w:color w:val="000000" w:themeColor="text1"/>
          <w:lang w:val="ru-RU"/>
        </w:rPr>
        <w:t>лагаемых целях и суммах</w:t>
      </w:r>
      <w:r w:rsidR="0032193F" w:rsidRPr="0032193F">
        <w:rPr>
          <w:color w:val="000000" w:themeColor="text1"/>
          <w:lang w:val="ru-RU"/>
        </w:rPr>
        <w:t>. Расскажите</w:t>
      </w:r>
      <w:r w:rsidR="0032193F" w:rsidRPr="00B87D32">
        <w:rPr>
          <w:color w:val="000000" w:themeColor="text1"/>
          <w:lang w:val="ru-RU"/>
        </w:rPr>
        <w:t xml:space="preserve">, </w:t>
      </w:r>
      <w:r w:rsidR="0032193F" w:rsidRPr="0032193F">
        <w:rPr>
          <w:color w:val="000000" w:themeColor="text1"/>
          <w:lang w:val="ru-RU"/>
        </w:rPr>
        <w:t>как</w:t>
      </w:r>
      <w:r w:rsidR="0032193F" w:rsidRPr="00B87D32">
        <w:rPr>
          <w:color w:val="000000" w:themeColor="text1"/>
          <w:lang w:val="ru-RU"/>
        </w:rPr>
        <w:t xml:space="preserve"> </w:t>
      </w:r>
      <w:r w:rsidR="0032193F" w:rsidRPr="0032193F">
        <w:rPr>
          <w:color w:val="000000" w:themeColor="text1"/>
          <w:lang w:val="ru-RU"/>
        </w:rPr>
        <w:t>будет</w:t>
      </w:r>
      <w:r w:rsidR="0032193F" w:rsidRPr="00B87D32">
        <w:rPr>
          <w:color w:val="000000" w:themeColor="text1"/>
          <w:lang w:val="ru-RU"/>
        </w:rPr>
        <w:t xml:space="preserve"> </w:t>
      </w:r>
      <w:r w:rsidR="0032193F" w:rsidRPr="0032193F">
        <w:rPr>
          <w:color w:val="000000" w:themeColor="text1"/>
          <w:lang w:val="ru-RU"/>
        </w:rPr>
        <w:t>обеспечиваться</w:t>
      </w:r>
      <w:r w:rsidR="0032193F" w:rsidRPr="00B87D32">
        <w:rPr>
          <w:color w:val="000000" w:themeColor="text1"/>
          <w:lang w:val="ru-RU"/>
        </w:rPr>
        <w:t xml:space="preserve"> </w:t>
      </w:r>
      <w:r w:rsidR="0032193F" w:rsidRPr="0032193F">
        <w:rPr>
          <w:color w:val="000000" w:themeColor="text1"/>
          <w:lang w:val="ru-RU"/>
        </w:rPr>
        <w:t>точность</w:t>
      </w:r>
      <w:r w:rsidR="0032193F" w:rsidRPr="00B87D32">
        <w:rPr>
          <w:color w:val="000000" w:themeColor="text1"/>
          <w:lang w:val="ru-RU"/>
        </w:rPr>
        <w:t xml:space="preserve"> </w:t>
      </w:r>
      <w:r w:rsidR="0032193F" w:rsidRPr="0032193F">
        <w:rPr>
          <w:color w:val="000000" w:themeColor="text1"/>
          <w:lang w:val="ru-RU"/>
        </w:rPr>
        <w:t>и</w:t>
      </w:r>
      <w:r w:rsidR="0032193F" w:rsidRPr="00B87D32">
        <w:rPr>
          <w:color w:val="000000" w:themeColor="text1"/>
          <w:lang w:val="ru-RU"/>
        </w:rPr>
        <w:t xml:space="preserve"> </w:t>
      </w:r>
      <w:r w:rsidR="0032193F" w:rsidRPr="0032193F">
        <w:rPr>
          <w:color w:val="000000" w:themeColor="text1"/>
          <w:lang w:val="ru-RU"/>
        </w:rPr>
        <w:t>достоверность</w:t>
      </w:r>
      <w:r w:rsidR="0032193F" w:rsidRPr="00B87D32">
        <w:rPr>
          <w:color w:val="000000" w:themeColor="text1"/>
          <w:lang w:val="ru-RU"/>
        </w:rPr>
        <w:t xml:space="preserve"> </w:t>
      </w:r>
      <w:r w:rsidR="0032193F" w:rsidRPr="0032193F">
        <w:rPr>
          <w:color w:val="000000" w:themeColor="text1"/>
          <w:lang w:val="ru-RU"/>
        </w:rPr>
        <w:t>результатов</w:t>
      </w:r>
      <w:r w:rsidR="0032193F" w:rsidRPr="00B87D32">
        <w:rPr>
          <w:color w:val="000000" w:themeColor="text1"/>
          <w:lang w:val="ru-RU"/>
        </w:rPr>
        <w:t xml:space="preserve"> </w:t>
      </w:r>
      <w:r w:rsidR="0032193F" w:rsidRPr="0032193F">
        <w:rPr>
          <w:color w:val="000000" w:themeColor="text1"/>
          <w:lang w:val="ru-RU"/>
        </w:rPr>
        <w:t>в</w:t>
      </w:r>
      <w:r w:rsidR="0032193F" w:rsidRPr="00B87D32">
        <w:rPr>
          <w:color w:val="000000" w:themeColor="text1"/>
          <w:lang w:val="ru-RU"/>
        </w:rPr>
        <w:t xml:space="preserve"> </w:t>
      </w:r>
      <w:r w:rsidR="0032193F" w:rsidRPr="0032193F">
        <w:rPr>
          <w:color w:val="000000" w:themeColor="text1"/>
          <w:lang w:val="ru-RU"/>
        </w:rPr>
        <w:t>отчетах</w:t>
      </w:r>
      <w:r w:rsidR="00EC37CA" w:rsidRPr="00B87D32">
        <w:rPr>
          <w:rFonts w:ascii="Arial" w:eastAsia="Times New Roman" w:hAnsi="Arial" w:cs="Arial"/>
          <w:szCs w:val="24"/>
          <w:lang w:val="ru-RU" w:eastAsia="es-ES"/>
        </w:rPr>
        <w:t>.</w:t>
      </w:r>
    </w:p>
    <w:tbl>
      <w:tblPr>
        <w:tblpPr w:leftFromText="180" w:rightFromText="180" w:vertAnchor="text" w:horzAnchor="margin" w:tblpY="100"/>
        <w:tblW w:w="1510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917"/>
        <w:gridCol w:w="786"/>
        <w:gridCol w:w="655"/>
        <w:gridCol w:w="655"/>
        <w:gridCol w:w="656"/>
        <w:gridCol w:w="3145"/>
        <w:gridCol w:w="1253"/>
        <w:gridCol w:w="5037"/>
      </w:tblGrid>
      <w:tr w:rsidR="004E5CD1" w:rsidRPr="000262F9" w14:paraId="7EDE068F" w14:textId="77777777" w:rsidTr="004E5CD1">
        <w:trPr>
          <w:trHeight w:val="365"/>
          <w:tblHeader/>
        </w:trPr>
        <w:tc>
          <w:tcPr>
            <w:tcW w:w="2917" w:type="dxa"/>
            <w:vMerge w:val="restart"/>
            <w:tcBorders>
              <w:top w:val="single" w:sz="6" w:space="0" w:color="808080"/>
              <w:left w:val="single" w:sz="6" w:space="0" w:color="808080"/>
              <w:bottom w:val="single" w:sz="6" w:space="0" w:color="808080"/>
              <w:right w:val="single" w:sz="6" w:space="0" w:color="808080"/>
            </w:tcBorders>
            <w:shd w:val="clear" w:color="auto" w:fill="F9FBFD"/>
            <w:vAlign w:val="center"/>
            <w:hideMark/>
          </w:tcPr>
          <w:p w14:paraId="49CA17D2" w14:textId="77777777" w:rsidR="004E5CD1" w:rsidRPr="000262F9" w:rsidRDefault="004E5CD1" w:rsidP="004E5CD1">
            <w:pPr>
              <w:spacing w:after="0" w:line="240" w:lineRule="auto"/>
              <w:jc w:val="center"/>
              <w:textAlignment w:val="baseline"/>
              <w:rPr>
                <w:rFonts w:ascii="Times New Roman" w:eastAsia="Times New Roman" w:hAnsi="Times New Roman" w:cs="Times New Roman"/>
                <w:sz w:val="24"/>
                <w:szCs w:val="24"/>
                <w:lang w:val="es-ES" w:eastAsia="es-ES"/>
              </w:rPr>
            </w:pPr>
            <w:r>
              <w:rPr>
                <w:rFonts w:ascii="Arial" w:eastAsia="Times New Roman" w:hAnsi="Arial" w:cs="Arial"/>
                <w:sz w:val="20"/>
                <w:szCs w:val="20"/>
                <w:lang w:val="ru-RU" w:eastAsia="es-ES"/>
              </w:rPr>
              <w:t>Показатели</w:t>
            </w:r>
            <w:r w:rsidRPr="00866444">
              <w:rPr>
                <w:rFonts w:ascii="Arial" w:eastAsia="Times New Roman" w:hAnsi="Arial" w:cs="Arial"/>
                <w:sz w:val="20"/>
                <w:szCs w:val="20"/>
                <w:lang w:val="ru-RU" w:eastAsia="es-ES"/>
              </w:rPr>
              <w:t xml:space="preserve"> </w:t>
            </w:r>
            <w:r>
              <w:rPr>
                <w:rFonts w:ascii="Arial" w:eastAsia="Times New Roman" w:hAnsi="Arial" w:cs="Arial"/>
                <w:sz w:val="20"/>
                <w:szCs w:val="20"/>
                <w:lang w:val="ru-RU" w:eastAsia="es-ES"/>
              </w:rPr>
              <w:t>или</w:t>
            </w:r>
            <w:r w:rsidRPr="00866444">
              <w:rPr>
                <w:rFonts w:ascii="Arial" w:eastAsia="Times New Roman" w:hAnsi="Arial" w:cs="Arial"/>
                <w:sz w:val="20"/>
                <w:szCs w:val="20"/>
                <w:lang w:val="ru-RU" w:eastAsia="es-ES"/>
              </w:rPr>
              <w:t xml:space="preserve"> </w:t>
            </w:r>
            <w:r>
              <w:rPr>
                <w:rFonts w:ascii="Arial" w:eastAsia="Times New Roman" w:hAnsi="Arial" w:cs="Arial"/>
                <w:sz w:val="20"/>
                <w:szCs w:val="20"/>
                <w:lang w:val="ru-RU" w:eastAsia="es-ES"/>
              </w:rPr>
              <w:t>этапы</w:t>
            </w:r>
            <w:r w:rsidRPr="00866444">
              <w:rPr>
                <w:rFonts w:ascii="Arial" w:eastAsia="Times New Roman" w:hAnsi="Arial" w:cs="Arial"/>
                <w:sz w:val="20"/>
                <w:szCs w:val="20"/>
                <w:lang w:val="ru-RU" w:eastAsia="es-ES"/>
              </w:rPr>
              <w:t xml:space="preserve"> </w:t>
            </w:r>
            <w:r>
              <w:rPr>
                <w:rFonts w:ascii="Arial" w:eastAsia="Times New Roman" w:hAnsi="Arial" w:cs="Arial"/>
                <w:sz w:val="20"/>
                <w:szCs w:val="20"/>
                <w:lang w:val="ru-RU" w:eastAsia="es-ES"/>
              </w:rPr>
              <w:t>хода</w:t>
            </w:r>
            <w:r w:rsidRPr="00866444">
              <w:rPr>
                <w:rFonts w:ascii="Arial" w:eastAsia="Times New Roman" w:hAnsi="Arial" w:cs="Arial"/>
                <w:sz w:val="20"/>
                <w:szCs w:val="20"/>
                <w:lang w:val="ru-RU" w:eastAsia="es-ES"/>
              </w:rPr>
              <w:t xml:space="preserve"> </w:t>
            </w:r>
            <w:r>
              <w:rPr>
                <w:rFonts w:ascii="Arial" w:eastAsia="Times New Roman" w:hAnsi="Arial" w:cs="Arial"/>
                <w:sz w:val="20"/>
                <w:szCs w:val="20"/>
                <w:lang w:val="ru-RU" w:eastAsia="es-ES"/>
              </w:rPr>
              <w:t>выполнения работ</w:t>
            </w:r>
          </w:p>
        </w:tc>
        <w:tc>
          <w:tcPr>
            <w:tcW w:w="2752" w:type="dxa"/>
            <w:gridSpan w:val="4"/>
            <w:tcBorders>
              <w:top w:val="single" w:sz="6" w:space="0" w:color="808080"/>
              <w:left w:val="single" w:sz="6" w:space="0" w:color="808080"/>
              <w:bottom w:val="single" w:sz="6" w:space="0" w:color="808080"/>
              <w:right w:val="single" w:sz="6" w:space="0" w:color="808080"/>
            </w:tcBorders>
            <w:shd w:val="clear" w:color="auto" w:fill="F9FBFD"/>
            <w:vAlign w:val="center"/>
            <w:hideMark/>
          </w:tcPr>
          <w:p w14:paraId="6900B777" w14:textId="77777777" w:rsidR="004E5CD1" w:rsidRPr="000262F9" w:rsidRDefault="004E5CD1" w:rsidP="004E5CD1">
            <w:pPr>
              <w:spacing w:after="0" w:line="240" w:lineRule="auto"/>
              <w:jc w:val="center"/>
              <w:textAlignment w:val="baseline"/>
              <w:rPr>
                <w:rFonts w:ascii="Times New Roman" w:eastAsia="Times New Roman" w:hAnsi="Times New Roman" w:cs="Times New Roman"/>
                <w:sz w:val="24"/>
                <w:szCs w:val="24"/>
                <w:lang w:val="es-ES" w:eastAsia="es-ES"/>
              </w:rPr>
            </w:pPr>
            <w:r>
              <w:rPr>
                <w:rFonts w:ascii="Arial" w:eastAsia="Times New Roman" w:hAnsi="Arial" w:cs="Arial"/>
                <w:sz w:val="20"/>
                <w:szCs w:val="20"/>
                <w:lang w:val="ru-RU" w:eastAsia="es-ES"/>
              </w:rPr>
              <w:t>Цели</w:t>
            </w:r>
          </w:p>
        </w:tc>
        <w:tc>
          <w:tcPr>
            <w:tcW w:w="3145" w:type="dxa"/>
            <w:vMerge w:val="restart"/>
            <w:tcBorders>
              <w:top w:val="single" w:sz="6" w:space="0" w:color="808080"/>
              <w:left w:val="single" w:sz="6" w:space="0" w:color="808080"/>
              <w:right w:val="single" w:sz="6" w:space="0" w:color="808080"/>
            </w:tcBorders>
            <w:shd w:val="clear" w:color="auto" w:fill="F9FBFD"/>
            <w:vAlign w:val="center"/>
            <w:hideMark/>
          </w:tcPr>
          <w:p w14:paraId="5B8B4AD0" w14:textId="77777777" w:rsidR="004E5CD1" w:rsidRPr="00D73E02" w:rsidRDefault="004E5CD1" w:rsidP="004E5CD1">
            <w:pPr>
              <w:spacing w:after="0" w:line="240" w:lineRule="auto"/>
              <w:jc w:val="center"/>
              <w:textAlignment w:val="baseline"/>
              <w:rPr>
                <w:rFonts w:ascii="Times New Roman" w:eastAsia="Times New Roman" w:hAnsi="Times New Roman" w:cs="Times New Roman"/>
                <w:sz w:val="24"/>
                <w:szCs w:val="24"/>
                <w:lang w:val="ru-RU" w:eastAsia="es-ES"/>
              </w:rPr>
            </w:pPr>
            <w:r>
              <w:rPr>
                <w:rFonts w:ascii="Arial" w:eastAsia="Times New Roman" w:hAnsi="Arial" w:cs="Arial"/>
                <w:sz w:val="20"/>
                <w:szCs w:val="20"/>
                <w:lang w:val="ru-RU" w:eastAsia="es-ES"/>
              </w:rPr>
              <w:t>Обоснование</w:t>
            </w:r>
            <w:r w:rsidRPr="00D73E02">
              <w:rPr>
                <w:rFonts w:ascii="Arial" w:eastAsia="Times New Roman" w:hAnsi="Arial" w:cs="Arial"/>
                <w:sz w:val="20"/>
                <w:szCs w:val="20"/>
                <w:lang w:val="ru-RU" w:eastAsia="es-ES"/>
              </w:rPr>
              <w:t xml:space="preserve"> </w:t>
            </w:r>
            <w:r>
              <w:rPr>
                <w:rFonts w:ascii="Arial" w:eastAsia="Times New Roman" w:hAnsi="Arial" w:cs="Arial"/>
                <w:sz w:val="20"/>
                <w:szCs w:val="20"/>
                <w:lang w:val="ru-RU" w:eastAsia="es-ES"/>
              </w:rPr>
              <w:t>для</w:t>
            </w:r>
            <w:r w:rsidRPr="00D73E02">
              <w:rPr>
                <w:rFonts w:ascii="Arial" w:eastAsia="Times New Roman" w:hAnsi="Arial" w:cs="Arial"/>
                <w:sz w:val="20"/>
                <w:szCs w:val="20"/>
                <w:lang w:val="ru-RU" w:eastAsia="es-ES"/>
              </w:rPr>
              <w:t xml:space="preserve"> </w:t>
            </w:r>
            <w:r>
              <w:rPr>
                <w:rFonts w:ascii="Arial" w:eastAsia="Times New Roman" w:hAnsi="Arial" w:cs="Arial"/>
                <w:sz w:val="20"/>
                <w:szCs w:val="20"/>
                <w:lang w:val="ru-RU" w:eastAsia="es-ES"/>
              </w:rPr>
              <w:t>выбора</w:t>
            </w:r>
            <w:r w:rsidRPr="00D73E02">
              <w:rPr>
                <w:rFonts w:ascii="Arial" w:eastAsia="Times New Roman" w:hAnsi="Arial" w:cs="Arial"/>
                <w:sz w:val="20"/>
                <w:szCs w:val="20"/>
                <w:lang w:val="ru-RU" w:eastAsia="es-ES"/>
              </w:rPr>
              <w:t xml:space="preserve"> </w:t>
            </w:r>
            <w:r>
              <w:rPr>
                <w:rFonts w:ascii="Arial" w:eastAsia="Times New Roman" w:hAnsi="Arial" w:cs="Arial"/>
                <w:sz w:val="20"/>
                <w:szCs w:val="20"/>
                <w:lang w:val="ru-RU" w:eastAsia="es-ES"/>
              </w:rPr>
              <w:t>целевых</w:t>
            </w:r>
            <w:r w:rsidRPr="00D73E02">
              <w:rPr>
                <w:rFonts w:ascii="Arial" w:eastAsia="Times New Roman" w:hAnsi="Arial" w:cs="Arial"/>
                <w:sz w:val="20"/>
                <w:szCs w:val="20"/>
                <w:lang w:val="ru-RU" w:eastAsia="es-ES"/>
              </w:rPr>
              <w:t xml:space="preserve"> </w:t>
            </w:r>
            <w:r>
              <w:rPr>
                <w:rFonts w:ascii="Arial" w:eastAsia="Times New Roman" w:hAnsi="Arial" w:cs="Arial"/>
                <w:sz w:val="20"/>
                <w:szCs w:val="20"/>
                <w:lang w:val="ru-RU" w:eastAsia="es-ES"/>
              </w:rPr>
              <w:t>показателей</w:t>
            </w:r>
            <w:r w:rsidRPr="00D73E02">
              <w:rPr>
                <w:rFonts w:ascii="Arial" w:eastAsia="Times New Roman" w:hAnsi="Arial" w:cs="Arial"/>
                <w:sz w:val="20"/>
                <w:szCs w:val="20"/>
                <w:lang w:val="ru-RU" w:eastAsia="es-ES"/>
              </w:rPr>
              <w:t xml:space="preserve"> / </w:t>
            </w:r>
            <w:r>
              <w:rPr>
                <w:rFonts w:ascii="Arial" w:eastAsia="Times New Roman" w:hAnsi="Arial" w:cs="Arial"/>
                <w:sz w:val="20"/>
                <w:szCs w:val="20"/>
                <w:lang w:val="ru-RU" w:eastAsia="es-ES"/>
              </w:rPr>
              <w:t>этапов</w:t>
            </w:r>
            <w:r w:rsidRPr="00D73E02">
              <w:rPr>
                <w:rFonts w:ascii="Arial" w:eastAsia="Times New Roman" w:hAnsi="Arial" w:cs="Arial"/>
                <w:sz w:val="20"/>
                <w:szCs w:val="20"/>
                <w:lang w:val="ru-RU" w:eastAsia="es-ES"/>
              </w:rPr>
              <w:br/>
            </w:r>
          </w:p>
        </w:tc>
        <w:tc>
          <w:tcPr>
            <w:tcW w:w="1253" w:type="dxa"/>
            <w:vMerge w:val="restart"/>
            <w:tcBorders>
              <w:top w:val="single" w:sz="6" w:space="0" w:color="808080"/>
              <w:left w:val="single" w:sz="6" w:space="0" w:color="808080"/>
              <w:right w:val="single" w:sz="6" w:space="0" w:color="808080"/>
            </w:tcBorders>
            <w:shd w:val="clear" w:color="auto" w:fill="F9FBFD"/>
            <w:vAlign w:val="center"/>
          </w:tcPr>
          <w:p w14:paraId="09C1EDB3" w14:textId="77777777" w:rsidR="004E5CD1" w:rsidRPr="00406193" w:rsidRDefault="004E5CD1" w:rsidP="004E5CD1">
            <w:pPr>
              <w:spacing w:after="0" w:line="240" w:lineRule="auto"/>
              <w:jc w:val="center"/>
              <w:textAlignment w:val="baseline"/>
              <w:rPr>
                <w:rFonts w:ascii="Arial" w:eastAsia="Times New Roman" w:hAnsi="Arial" w:cs="Arial"/>
                <w:sz w:val="20"/>
                <w:szCs w:val="20"/>
                <w:lang w:eastAsia="es-ES"/>
              </w:rPr>
            </w:pPr>
            <w:r>
              <w:rPr>
                <w:rFonts w:ascii="Arial" w:eastAsia="Times New Roman" w:hAnsi="Arial" w:cs="Arial"/>
                <w:sz w:val="20"/>
                <w:szCs w:val="20"/>
                <w:lang w:val="ru-RU" w:eastAsia="es-ES"/>
              </w:rPr>
              <w:t>Запрашива-емая сумма</w:t>
            </w:r>
            <w:r>
              <w:rPr>
                <w:rFonts w:ascii="Arial" w:eastAsia="Times New Roman" w:hAnsi="Arial" w:cs="Arial"/>
                <w:sz w:val="20"/>
                <w:szCs w:val="20"/>
                <w:lang w:eastAsia="es-ES"/>
              </w:rPr>
              <w:t xml:space="preserve"> </w:t>
            </w:r>
          </w:p>
        </w:tc>
        <w:tc>
          <w:tcPr>
            <w:tcW w:w="5037" w:type="dxa"/>
            <w:vMerge w:val="restart"/>
            <w:tcBorders>
              <w:top w:val="single" w:sz="6" w:space="0" w:color="808080"/>
              <w:left w:val="single" w:sz="6" w:space="0" w:color="808080"/>
              <w:right w:val="single" w:sz="6" w:space="0" w:color="808080"/>
            </w:tcBorders>
            <w:shd w:val="clear" w:color="auto" w:fill="F9FBFD"/>
            <w:vAlign w:val="center"/>
          </w:tcPr>
          <w:p w14:paraId="6FC8A139" w14:textId="77777777" w:rsidR="004E5CD1" w:rsidRPr="00406193" w:rsidRDefault="004E5CD1" w:rsidP="004E5CD1">
            <w:pPr>
              <w:spacing w:after="0" w:line="240" w:lineRule="auto"/>
              <w:jc w:val="center"/>
              <w:textAlignment w:val="baseline"/>
              <w:rPr>
                <w:sz w:val="20"/>
                <w:szCs w:val="18"/>
              </w:rPr>
            </w:pPr>
            <w:r>
              <w:rPr>
                <w:rFonts w:ascii="Arial" w:eastAsia="Times New Roman" w:hAnsi="Arial" w:cs="Arial"/>
                <w:sz w:val="20"/>
                <w:szCs w:val="20"/>
                <w:lang w:val="ru-RU" w:eastAsia="es-ES"/>
              </w:rPr>
              <w:t>Ожидаемый результат</w:t>
            </w:r>
          </w:p>
        </w:tc>
      </w:tr>
      <w:tr w:rsidR="004E5CD1" w:rsidRPr="000262F9" w14:paraId="79F5BB9B" w14:textId="77777777" w:rsidTr="004E5CD1">
        <w:trPr>
          <w:trHeight w:val="365"/>
          <w:tblHeader/>
        </w:trPr>
        <w:tc>
          <w:tcPr>
            <w:tcW w:w="2917" w:type="dxa"/>
            <w:vMerge/>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26AE89B9" w14:textId="77777777" w:rsidR="004E5CD1" w:rsidRPr="000262F9" w:rsidRDefault="004E5CD1" w:rsidP="004E5CD1">
            <w:pPr>
              <w:spacing w:after="0" w:line="240" w:lineRule="auto"/>
              <w:jc w:val="center"/>
              <w:rPr>
                <w:rFonts w:ascii="Times New Roman" w:eastAsia="Times New Roman" w:hAnsi="Times New Roman" w:cs="Times New Roman"/>
                <w:sz w:val="24"/>
                <w:szCs w:val="24"/>
                <w:lang w:eastAsia="es-ES"/>
              </w:rPr>
            </w:pPr>
          </w:p>
        </w:tc>
        <w:tc>
          <w:tcPr>
            <w:tcW w:w="786" w:type="dxa"/>
            <w:tcBorders>
              <w:top w:val="single" w:sz="6" w:space="0" w:color="808080"/>
              <w:left w:val="single" w:sz="6" w:space="0" w:color="808080"/>
              <w:bottom w:val="single" w:sz="6" w:space="0" w:color="808080"/>
              <w:right w:val="single" w:sz="6" w:space="0" w:color="808080"/>
            </w:tcBorders>
            <w:shd w:val="clear" w:color="auto" w:fill="F9FBFD"/>
            <w:vAlign w:val="center"/>
            <w:hideMark/>
          </w:tcPr>
          <w:p w14:paraId="10E635BB" w14:textId="77777777" w:rsidR="004E5CD1" w:rsidRPr="00866444" w:rsidRDefault="004E5CD1" w:rsidP="004E5CD1">
            <w:pPr>
              <w:spacing w:after="0" w:line="240" w:lineRule="auto"/>
              <w:jc w:val="center"/>
              <w:textAlignment w:val="baseline"/>
              <w:rPr>
                <w:rFonts w:ascii="Times New Roman" w:eastAsia="Times New Roman" w:hAnsi="Times New Roman" w:cs="Times New Roman"/>
                <w:sz w:val="20"/>
                <w:szCs w:val="24"/>
                <w:lang w:val="es-ES" w:eastAsia="es-ES"/>
              </w:rPr>
            </w:pPr>
            <w:r w:rsidRPr="00866444">
              <w:rPr>
                <w:rFonts w:ascii="Arial" w:eastAsia="Times New Roman" w:hAnsi="Arial" w:cs="Arial"/>
                <w:sz w:val="20"/>
                <w:szCs w:val="20"/>
                <w:lang w:val="ru-RU" w:eastAsia="es-ES"/>
              </w:rPr>
              <w:t>Исход-ные</w:t>
            </w:r>
          </w:p>
        </w:tc>
        <w:tc>
          <w:tcPr>
            <w:tcW w:w="655" w:type="dxa"/>
            <w:tcBorders>
              <w:top w:val="single" w:sz="6" w:space="0" w:color="808080"/>
              <w:left w:val="single" w:sz="6" w:space="0" w:color="808080"/>
              <w:bottom w:val="single" w:sz="6" w:space="0" w:color="808080"/>
              <w:right w:val="single" w:sz="6" w:space="0" w:color="808080"/>
            </w:tcBorders>
            <w:shd w:val="clear" w:color="auto" w:fill="F9FBFD"/>
            <w:vAlign w:val="center"/>
            <w:hideMark/>
          </w:tcPr>
          <w:p w14:paraId="6AA81143" w14:textId="77777777" w:rsidR="004E5CD1" w:rsidRPr="000262F9" w:rsidRDefault="004E5CD1" w:rsidP="004E5CD1">
            <w:pPr>
              <w:spacing w:after="0" w:line="240" w:lineRule="auto"/>
              <w:jc w:val="center"/>
              <w:textAlignment w:val="baseline"/>
              <w:rPr>
                <w:rFonts w:ascii="Times New Roman" w:eastAsia="Times New Roman" w:hAnsi="Times New Roman" w:cs="Times New Roman"/>
                <w:sz w:val="24"/>
                <w:szCs w:val="24"/>
                <w:lang w:val="es-ES" w:eastAsia="es-ES"/>
              </w:rPr>
            </w:pPr>
            <w:r>
              <w:rPr>
                <w:rFonts w:ascii="Arial" w:eastAsia="Times New Roman" w:hAnsi="Arial" w:cs="Arial"/>
                <w:sz w:val="20"/>
                <w:szCs w:val="20"/>
                <w:lang w:val="ru-RU" w:eastAsia="es-ES"/>
              </w:rPr>
              <w:t xml:space="preserve">Год </w:t>
            </w:r>
            <w:r w:rsidRPr="000262F9">
              <w:rPr>
                <w:rFonts w:ascii="Arial" w:eastAsia="Times New Roman" w:hAnsi="Arial" w:cs="Arial"/>
                <w:sz w:val="20"/>
                <w:szCs w:val="20"/>
                <w:lang w:eastAsia="es-ES"/>
              </w:rPr>
              <w:t>1</w:t>
            </w:r>
          </w:p>
        </w:tc>
        <w:tc>
          <w:tcPr>
            <w:tcW w:w="655" w:type="dxa"/>
            <w:tcBorders>
              <w:top w:val="single" w:sz="6" w:space="0" w:color="808080"/>
              <w:left w:val="single" w:sz="6" w:space="0" w:color="808080"/>
              <w:bottom w:val="single" w:sz="6" w:space="0" w:color="808080"/>
              <w:right w:val="single" w:sz="6" w:space="0" w:color="808080"/>
            </w:tcBorders>
            <w:shd w:val="clear" w:color="auto" w:fill="F9FBFD"/>
            <w:vAlign w:val="center"/>
            <w:hideMark/>
          </w:tcPr>
          <w:p w14:paraId="4CAB185F" w14:textId="77777777" w:rsidR="004E5CD1" w:rsidRPr="000262F9" w:rsidRDefault="004E5CD1" w:rsidP="004E5CD1">
            <w:pPr>
              <w:spacing w:after="0" w:line="240" w:lineRule="auto"/>
              <w:jc w:val="center"/>
              <w:textAlignment w:val="baseline"/>
              <w:rPr>
                <w:rFonts w:ascii="Times New Roman" w:eastAsia="Times New Roman" w:hAnsi="Times New Roman" w:cs="Times New Roman"/>
                <w:sz w:val="24"/>
                <w:szCs w:val="24"/>
                <w:lang w:val="es-ES" w:eastAsia="es-ES"/>
              </w:rPr>
            </w:pPr>
            <w:r>
              <w:rPr>
                <w:rFonts w:ascii="Arial" w:eastAsia="Times New Roman" w:hAnsi="Arial" w:cs="Arial"/>
                <w:sz w:val="20"/>
                <w:szCs w:val="20"/>
                <w:lang w:val="ru-RU" w:eastAsia="es-ES"/>
              </w:rPr>
              <w:t xml:space="preserve">Год </w:t>
            </w:r>
            <w:r w:rsidRPr="000262F9">
              <w:rPr>
                <w:rFonts w:ascii="Arial" w:eastAsia="Times New Roman" w:hAnsi="Arial" w:cs="Arial"/>
                <w:sz w:val="20"/>
                <w:szCs w:val="20"/>
                <w:lang w:eastAsia="es-ES"/>
              </w:rPr>
              <w:t>2</w:t>
            </w:r>
          </w:p>
        </w:tc>
        <w:tc>
          <w:tcPr>
            <w:tcW w:w="656" w:type="dxa"/>
            <w:tcBorders>
              <w:top w:val="single" w:sz="6" w:space="0" w:color="808080"/>
              <w:left w:val="single" w:sz="6" w:space="0" w:color="808080"/>
              <w:bottom w:val="single" w:sz="6" w:space="0" w:color="808080"/>
              <w:right w:val="single" w:sz="6" w:space="0" w:color="808080"/>
            </w:tcBorders>
            <w:shd w:val="clear" w:color="auto" w:fill="F9FBFD"/>
            <w:vAlign w:val="center"/>
            <w:hideMark/>
          </w:tcPr>
          <w:p w14:paraId="5AD2D6F7" w14:textId="77777777" w:rsidR="004E5CD1" w:rsidRPr="000262F9" w:rsidRDefault="004E5CD1" w:rsidP="004E5CD1">
            <w:pPr>
              <w:spacing w:after="0" w:line="240" w:lineRule="auto"/>
              <w:jc w:val="center"/>
              <w:textAlignment w:val="baseline"/>
              <w:rPr>
                <w:rFonts w:ascii="Times New Roman" w:eastAsia="Times New Roman" w:hAnsi="Times New Roman" w:cs="Times New Roman"/>
                <w:sz w:val="24"/>
                <w:szCs w:val="24"/>
                <w:lang w:val="es-ES" w:eastAsia="es-ES"/>
              </w:rPr>
            </w:pPr>
            <w:r>
              <w:rPr>
                <w:rFonts w:ascii="Arial" w:eastAsia="Times New Roman" w:hAnsi="Arial" w:cs="Arial"/>
                <w:sz w:val="20"/>
                <w:szCs w:val="20"/>
                <w:lang w:val="ru-RU" w:eastAsia="es-ES"/>
              </w:rPr>
              <w:t xml:space="preserve">Год </w:t>
            </w:r>
            <w:r w:rsidRPr="000262F9">
              <w:rPr>
                <w:rFonts w:ascii="Arial" w:eastAsia="Times New Roman" w:hAnsi="Arial" w:cs="Arial"/>
                <w:sz w:val="20"/>
                <w:szCs w:val="20"/>
                <w:lang w:eastAsia="es-ES"/>
              </w:rPr>
              <w:t>3</w:t>
            </w:r>
          </w:p>
        </w:tc>
        <w:tc>
          <w:tcPr>
            <w:tcW w:w="3145" w:type="dxa"/>
            <w:vMerge/>
            <w:tcBorders>
              <w:left w:val="single" w:sz="6" w:space="0" w:color="808080"/>
              <w:bottom w:val="single" w:sz="6" w:space="0" w:color="808080"/>
              <w:right w:val="single" w:sz="6" w:space="0" w:color="808080"/>
            </w:tcBorders>
            <w:shd w:val="clear" w:color="auto" w:fill="auto"/>
            <w:vAlign w:val="center"/>
            <w:hideMark/>
          </w:tcPr>
          <w:p w14:paraId="658DB57E" w14:textId="77777777" w:rsidR="004E5CD1" w:rsidRPr="000262F9" w:rsidRDefault="004E5CD1" w:rsidP="004E5CD1">
            <w:pPr>
              <w:spacing w:after="0" w:line="240" w:lineRule="auto"/>
              <w:jc w:val="center"/>
              <w:rPr>
                <w:rFonts w:ascii="Times New Roman" w:eastAsia="Times New Roman" w:hAnsi="Times New Roman" w:cs="Times New Roman"/>
                <w:sz w:val="24"/>
                <w:szCs w:val="24"/>
                <w:lang w:val="es-ES" w:eastAsia="es-ES"/>
              </w:rPr>
            </w:pPr>
          </w:p>
        </w:tc>
        <w:tc>
          <w:tcPr>
            <w:tcW w:w="1253" w:type="dxa"/>
            <w:vMerge/>
            <w:tcBorders>
              <w:left w:val="single" w:sz="6" w:space="0" w:color="808080"/>
              <w:bottom w:val="single" w:sz="6" w:space="0" w:color="808080"/>
              <w:right w:val="single" w:sz="6" w:space="0" w:color="808080"/>
            </w:tcBorders>
          </w:tcPr>
          <w:p w14:paraId="087894F8" w14:textId="77777777" w:rsidR="004E5CD1" w:rsidRPr="007B07AB" w:rsidRDefault="004E5CD1" w:rsidP="004E5CD1">
            <w:pPr>
              <w:spacing w:after="0" w:line="240" w:lineRule="auto"/>
              <w:jc w:val="center"/>
              <w:rPr>
                <w:rFonts w:ascii="Arial" w:eastAsia="Times New Roman" w:hAnsi="Arial" w:cs="Arial"/>
                <w:sz w:val="20"/>
                <w:szCs w:val="20"/>
                <w:lang w:val="es-ES" w:eastAsia="es-ES"/>
              </w:rPr>
            </w:pPr>
          </w:p>
        </w:tc>
        <w:tc>
          <w:tcPr>
            <w:tcW w:w="5037" w:type="dxa"/>
            <w:vMerge/>
            <w:tcBorders>
              <w:left w:val="single" w:sz="6" w:space="0" w:color="808080"/>
              <w:bottom w:val="single" w:sz="6" w:space="0" w:color="808080"/>
              <w:right w:val="single" w:sz="6" w:space="0" w:color="808080"/>
            </w:tcBorders>
          </w:tcPr>
          <w:p w14:paraId="14F79AAE" w14:textId="77777777" w:rsidR="004E5CD1" w:rsidRPr="007B07AB" w:rsidRDefault="004E5CD1" w:rsidP="004E5CD1">
            <w:pPr>
              <w:spacing w:after="0" w:line="240" w:lineRule="auto"/>
              <w:jc w:val="center"/>
              <w:rPr>
                <w:rFonts w:ascii="Arial" w:eastAsia="Times New Roman" w:hAnsi="Arial" w:cs="Arial"/>
                <w:sz w:val="20"/>
                <w:szCs w:val="20"/>
                <w:lang w:val="es-ES" w:eastAsia="es-ES"/>
              </w:rPr>
            </w:pPr>
          </w:p>
        </w:tc>
      </w:tr>
      <w:tr w:rsidR="004E5CD1" w:rsidRPr="000262F9" w14:paraId="7ABCE085" w14:textId="77777777" w:rsidTr="004E5CD1">
        <w:trPr>
          <w:trHeight w:val="452"/>
        </w:trPr>
        <w:tc>
          <w:tcPr>
            <w:tcW w:w="2917"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632B2490" w14:textId="77777777" w:rsidR="004E5CD1" w:rsidRPr="000262F9" w:rsidRDefault="004E5CD1" w:rsidP="004E5CD1">
            <w:pPr>
              <w:spacing w:after="0" w:line="240" w:lineRule="auto"/>
              <w:ind w:left="60" w:right="-60"/>
              <w:jc w:val="center"/>
              <w:textAlignment w:val="baseline"/>
              <w:rPr>
                <w:rFonts w:ascii="Times New Roman" w:eastAsia="Times New Roman" w:hAnsi="Times New Roman" w:cs="Times New Roman"/>
                <w:sz w:val="24"/>
                <w:szCs w:val="24"/>
                <w:lang w:val="es-ES" w:eastAsia="es-ES"/>
              </w:rPr>
            </w:pPr>
          </w:p>
        </w:tc>
        <w:tc>
          <w:tcPr>
            <w:tcW w:w="786" w:type="dxa"/>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0926A0E0" w14:textId="77777777" w:rsidR="004E5CD1" w:rsidRPr="000262F9" w:rsidRDefault="004E5CD1" w:rsidP="004E5CD1">
            <w:pPr>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655" w:type="dxa"/>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29F66ED1" w14:textId="77777777" w:rsidR="004E5CD1" w:rsidRPr="000262F9" w:rsidRDefault="004E5CD1" w:rsidP="004E5CD1">
            <w:pPr>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655" w:type="dxa"/>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6E061FAA" w14:textId="77777777" w:rsidR="004E5CD1" w:rsidRPr="000262F9" w:rsidRDefault="004E5CD1" w:rsidP="004E5CD1">
            <w:pPr>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656"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7BF9B17E" w14:textId="77777777" w:rsidR="004E5CD1" w:rsidRPr="000262F9" w:rsidRDefault="004E5CD1" w:rsidP="004E5CD1">
            <w:pPr>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3145"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351B2EFA" w14:textId="77777777" w:rsidR="004E5CD1" w:rsidRPr="000262F9" w:rsidRDefault="004E5CD1" w:rsidP="004E5CD1">
            <w:pPr>
              <w:spacing w:after="0" w:line="240" w:lineRule="auto"/>
              <w:jc w:val="center"/>
              <w:textAlignment w:val="baseline"/>
              <w:rPr>
                <w:rFonts w:ascii="Times New Roman" w:eastAsia="Times New Roman" w:hAnsi="Times New Roman" w:cs="Times New Roman"/>
                <w:sz w:val="24"/>
                <w:szCs w:val="24"/>
                <w:lang w:val="es-ES" w:eastAsia="es-ES"/>
              </w:rPr>
            </w:pPr>
          </w:p>
        </w:tc>
        <w:tc>
          <w:tcPr>
            <w:tcW w:w="1253" w:type="dxa"/>
            <w:tcBorders>
              <w:top w:val="single" w:sz="6" w:space="0" w:color="808080"/>
              <w:left w:val="single" w:sz="6" w:space="0" w:color="808080"/>
              <w:bottom w:val="single" w:sz="6" w:space="0" w:color="808080"/>
              <w:right w:val="single" w:sz="6" w:space="0" w:color="808080"/>
            </w:tcBorders>
          </w:tcPr>
          <w:p w14:paraId="6EE5FE91" w14:textId="77777777" w:rsidR="004E5CD1" w:rsidRPr="000262F9" w:rsidRDefault="004E5CD1" w:rsidP="004E5CD1">
            <w:pPr>
              <w:spacing w:after="0" w:line="240" w:lineRule="auto"/>
              <w:jc w:val="center"/>
              <w:textAlignment w:val="baseline"/>
              <w:rPr>
                <w:rFonts w:ascii="Arial" w:eastAsia="Times New Roman" w:hAnsi="Arial" w:cs="Arial"/>
                <w:sz w:val="20"/>
                <w:szCs w:val="20"/>
                <w:lang w:val="es-ES" w:eastAsia="es-ES"/>
              </w:rPr>
            </w:pPr>
          </w:p>
        </w:tc>
        <w:tc>
          <w:tcPr>
            <w:tcW w:w="5037" w:type="dxa"/>
            <w:tcBorders>
              <w:top w:val="single" w:sz="6" w:space="0" w:color="808080"/>
              <w:left w:val="single" w:sz="6" w:space="0" w:color="808080"/>
              <w:bottom w:val="single" w:sz="6" w:space="0" w:color="808080"/>
              <w:right w:val="single" w:sz="6" w:space="0" w:color="808080"/>
            </w:tcBorders>
          </w:tcPr>
          <w:p w14:paraId="0863E10A" w14:textId="77777777" w:rsidR="004E5CD1" w:rsidRPr="000262F9" w:rsidRDefault="004E5CD1" w:rsidP="004E5CD1">
            <w:pPr>
              <w:spacing w:after="0" w:line="240" w:lineRule="auto"/>
              <w:jc w:val="center"/>
              <w:textAlignment w:val="baseline"/>
              <w:rPr>
                <w:rFonts w:ascii="Arial" w:eastAsia="Times New Roman" w:hAnsi="Arial" w:cs="Arial"/>
                <w:sz w:val="20"/>
                <w:szCs w:val="20"/>
                <w:lang w:val="es-ES" w:eastAsia="es-ES"/>
              </w:rPr>
            </w:pPr>
          </w:p>
        </w:tc>
      </w:tr>
      <w:tr w:rsidR="004E5CD1" w:rsidRPr="000262F9" w14:paraId="60AD694F" w14:textId="77777777" w:rsidTr="004E5CD1">
        <w:trPr>
          <w:trHeight w:val="400"/>
        </w:trPr>
        <w:tc>
          <w:tcPr>
            <w:tcW w:w="2917"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3AFE4EBF" w14:textId="77777777" w:rsidR="004E5CD1" w:rsidRPr="000262F9" w:rsidRDefault="004E5CD1" w:rsidP="004E5CD1">
            <w:pPr>
              <w:spacing w:after="0" w:line="240" w:lineRule="auto"/>
              <w:ind w:left="60"/>
              <w:jc w:val="center"/>
              <w:textAlignment w:val="baseline"/>
              <w:rPr>
                <w:rFonts w:ascii="Times New Roman" w:eastAsia="Times New Roman" w:hAnsi="Times New Roman" w:cs="Times New Roman"/>
                <w:sz w:val="24"/>
                <w:szCs w:val="24"/>
                <w:lang w:val="es-ES" w:eastAsia="es-ES"/>
              </w:rPr>
            </w:pPr>
          </w:p>
        </w:tc>
        <w:tc>
          <w:tcPr>
            <w:tcW w:w="786" w:type="dxa"/>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491FB5C0" w14:textId="77777777" w:rsidR="004E5CD1" w:rsidRPr="000262F9" w:rsidRDefault="004E5CD1" w:rsidP="004E5CD1">
            <w:pPr>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655" w:type="dxa"/>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608C61B6" w14:textId="77777777" w:rsidR="004E5CD1" w:rsidRPr="000262F9" w:rsidRDefault="004E5CD1" w:rsidP="004E5CD1">
            <w:pPr>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655" w:type="dxa"/>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048D7097" w14:textId="77777777" w:rsidR="004E5CD1" w:rsidRPr="000262F9" w:rsidRDefault="004E5CD1" w:rsidP="004E5CD1">
            <w:pPr>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656"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412512CB" w14:textId="77777777" w:rsidR="004E5CD1" w:rsidRPr="000262F9" w:rsidRDefault="004E5CD1" w:rsidP="004E5CD1">
            <w:pPr>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3145"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464EC997" w14:textId="77777777" w:rsidR="004E5CD1" w:rsidRPr="000262F9" w:rsidRDefault="004E5CD1" w:rsidP="004E5CD1">
            <w:pPr>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1253" w:type="dxa"/>
            <w:tcBorders>
              <w:top w:val="single" w:sz="6" w:space="0" w:color="808080"/>
              <w:left w:val="single" w:sz="6" w:space="0" w:color="808080"/>
              <w:bottom w:val="single" w:sz="6" w:space="0" w:color="808080"/>
              <w:right w:val="single" w:sz="6" w:space="0" w:color="808080"/>
            </w:tcBorders>
          </w:tcPr>
          <w:p w14:paraId="57988982" w14:textId="77777777" w:rsidR="004E5CD1" w:rsidRPr="000262F9" w:rsidRDefault="004E5CD1" w:rsidP="004E5CD1">
            <w:pPr>
              <w:spacing w:after="0" w:line="240" w:lineRule="auto"/>
              <w:ind w:right="-60"/>
              <w:jc w:val="center"/>
              <w:textAlignment w:val="baseline"/>
              <w:rPr>
                <w:rFonts w:ascii="Arial" w:eastAsia="Times New Roman" w:hAnsi="Arial" w:cs="Arial"/>
                <w:sz w:val="20"/>
                <w:szCs w:val="20"/>
                <w:lang w:val="es-ES" w:eastAsia="es-ES"/>
              </w:rPr>
            </w:pPr>
          </w:p>
        </w:tc>
        <w:tc>
          <w:tcPr>
            <w:tcW w:w="5037" w:type="dxa"/>
            <w:tcBorders>
              <w:top w:val="single" w:sz="6" w:space="0" w:color="808080"/>
              <w:left w:val="single" w:sz="6" w:space="0" w:color="808080"/>
              <w:bottom w:val="single" w:sz="6" w:space="0" w:color="808080"/>
              <w:right w:val="single" w:sz="6" w:space="0" w:color="808080"/>
            </w:tcBorders>
          </w:tcPr>
          <w:p w14:paraId="11E03066" w14:textId="77777777" w:rsidR="004E5CD1" w:rsidRPr="000262F9" w:rsidRDefault="004E5CD1" w:rsidP="004E5CD1">
            <w:pPr>
              <w:spacing w:after="0" w:line="240" w:lineRule="auto"/>
              <w:ind w:right="-60"/>
              <w:jc w:val="center"/>
              <w:textAlignment w:val="baseline"/>
              <w:rPr>
                <w:rFonts w:ascii="Arial" w:eastAsia="Times New Roman" w:hAnsi="Arial" w:cs="Arial"/>
                <w:sz w:val="20"/>
                <w:szCs w:val="20"/>
                <w:lang w:val="es-ES" w:eastAsia="es-ES"/>
              </w:rPr>
            </w:pPr>
          </w:p>
        </w:tc>
      </w:tr>
      <w:tr w:rsidR="004E5CD1" w:rsidRPr="000262F9" w14:paraId="3094E9B0" w14:textId="77777777" w:rsidTr="004E5CD1">
        <w:trPr>
          <w:trHeight w:val="400"/>
        </w:trPr>
        <w:tc>
          <w:tcPr>
            <w:tcW w:w="2917"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77ADD4A3" w14:textId="77777777" w:rsidR="004E5CD1" w:rsidRPr="000262F9" w:rsidRDefault="004E5CD1" w:rsidP="004E5CD1">
            <w:pPr>
              <w:spacing w:after="0" w:line="240" w:lineRule="auto"/>
              <w:ind w:left="60"/>
              <w:jc w:val="center"/>
              <w:textAlignment w:val="baseline"/>
              <w:rPr>
                <w:rFonts w:ascii="Times New Roman" w:eastAsia="Times New Roman" w:hAnsi="Times New Roman" w:cs="Times New Roman"/>
                <w:sz w:val="24"/>
                <w:szCs w:val="24"/>
                <w:lang w:val="es-ES" w:eastAsia="es-ES"/>
              </w:rPr>
            </w:pPr>
          </w:p>
        </w:tc>
        <w:tc>
          <w:tcPr>
            <w:tcW w:w="786" w:type="dxa"/>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62C3625B" w14:textId="77777777" w:rsidR="004E5CD1" w:rsidRPr="000262F9" w:rsidRDefault="004E5CD1" w:rsidP="004E5CD1">
            <w:pPr>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655" w:type="dxa"/>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7CA121AF" w14:textId="77777777" w:rsidR="004E5CD1" w:rsidRPr="000262F9" w:rsidRDefault="004E5CD1" w:rsidP="004E5CD1">
            <w:pPr>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655" w:type="dxa"/>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4C96349A" w14:textId="77777777" w:rsidR="004E5CD1" w:rsidRPr="000262F9" w:rsidRDefault="004E5CD1" w:rsidP="004E5CD1">
            <w:pPr>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656"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396CE5DE" w14:textId="77777777" w:rsidR="004E5CD1" w:rsidRPr="000262F9" w:rsidRDefault="004E5CD1" w:rsidP="004E5CD1">
            <w:pPr>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3145"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21BB3B09" w14:textId="77777777" w:rsidR="004E5CD1" w:rsidRPr="000262F9" w:rsidRDefault="004E5CD1" w:rsidP="004E5CD1">
            <w:pPr>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1253" w:type="dxa"/>
            <w:tcBorders>
              <w:top w:val="single" w:sz="6" w:space="0" w:color="808080"/>
              <w:left w:val="single" w:sz="6" w:space="0" w:color="808080"/>
              <w:bottom w:val="single" w:sz="6" w:space="0" w:color="808080"/>
              <w:right w:val="single" w:sz="6" w:space="0" w:color="808080"/>
            </w:tcBorders>
          </w:tcPr>
          <w:p w14:paraId="26D48364" w14:textId="77777777" w:rsidR="004E5CD1" w:rsidRPr="000262F9" w:rsidRDefault="004E5CD1" w:rsidP="004E5CD1">
            <w:pPr>
              <w:spacing w:after="0" w:line="240" w:lineRule="auto"/>
              <w:ind w:right="-60"/>
              <w:jc w:val="center"/>
              <w:textAlignment w:val="baseline"/>
              <w:rPr>
                <w:rFonts w:ascii="Arial" w:eastAsia="Times New Roman" w:hAnsi="Arial" w:cs="Arial"/>
                <w:sz w:val="20"/>
                <w:szCs w:val="20"/>
                <w:lang w:val="es-ES" w:eastAsia="es-ES"/>
              </w:rPr>
            </w:pPr>
          </w:p>
        </w:tc>
        <w:tc>
          <w:tcPr>
            <w:tcW w:w="5037" w:type="dxa"/>
            <w:tcBorders>
              <w:top w:val="single" w:sz="6" w:space="0" w:color="808080"/>
              <w:left w:val="single" w:sz="6" w:space="0" w:color="808080"/>
              <w:bottom w:val="single" w:sz="6" w:space="0" w:color="808080"/>
              <w:right w:val="single" w:sz="6" w:space="0" w:color="808080"/>
            </w:tcBorders>
          </w:tcPr>
          <w:p w14:paraId="41C152DE" w14:textId="77777777" w:rsidR="004E5CD1" w:rsidRPr="000262F9" w:rsidRDefault="004E5CD1" w:rsidP="004E5CD1">
            <w:pPr>
              <w:spacing w:after="0" w:line="240" w:lineRule="auto"/>
              <w:ind w:right="-60"/>
              <w:jc w:val="center"/>
              <w:textAlignment w:val="baseline"/>
              <w:rPr>
                <w:rFonts w:ascii="Arial" w:eastAsia="Times New Roman" w:hAnsi="Arial" w:cs="Arial"/>
                <w:sz w:val="20"/>
                <w:szCs w:val="20"/>
                <w:lang w:val="es-ES" w:eastAsia="es-ES"/>
              </w:rPr>
            </w:pPr>
          </w:p>
        </w:tc>
      </w:tr>
      <w:tr w:rsidR="004E5CD1" w:rsidRPr="000262F9" w14:paraId="2D032315" w14:textId="77777777" w:rsidTr="004E5CD1">
        <w:trPr>
          <w:trHeight w:val="313"/>
        </w:trPr>
        <w:tc>
          <w:tcPr>
            <w:tcW w:w="2917"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5BD5D303" w14:textId="77777777" w:rsidR="004E5CD1" w:rsidRPr="000262F9" w:rsidRDefault="004E5CD1" w:rsidP="004E5CD1">
            <w:pPr>
              <w:spacing w:after="0" w:line="240" w:lineRule="auto"/>
              <w:ind w:left="60"/>
              <w:jc w:val="center"/>
              <w:textAlignment w:val="baseline"/>
              <w:rPr>
                <w:rFonts w:ascii="Times New Roman" w:eastAsia="Times New Roman" w:hAnsi="Times New Roman" w:cs="Times New Roman"/>
                <w:sz w:val="24"/>
                <w:szCs w:val="24"/>
                <w:lang w:val="es-ES" w:eastAsia="es-ES"/>
              </w:rPr>
            </w:pPr>
            <w:r>
              <w:rPr>
                <w:rFonts w:ascii="Arial" w:eastAsia="Times New Roman" w:hAnsi="Arial" w:cs="Arial"/>
                <w:i/>
                <w:iCs/>
                <w:sz w:val="18"/>
                <w:szCs w:val="18"/>
                <w:lang w:val="ru-RU" w:eastAsia="es-ES"/>
              </w:rPr>
              <w:t>Добавляйте необходимые строки</w:t>
            </w:r>
          </w:p>
        </w:tc>
        <w:tc>
          <w:tcPr>
            <w:tcW w:w="786" w:type="dxa"/>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350CFE45" w14:textId="77777777" w:rsidR="004E5CD1" w:rsidRPr="000262F9" w:rsidRDefault="004E5CD1" w:rsidP="004E5CD1">
            <w:pPr>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655" w:type="dxa"/>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4E837149" w14:textId="77777777" w:rsidR="004E5CD1" w:rsidRPr="000262F9" w:rsidRDefault="004E5CD1" w:rsidP="004E5CD1">
            <w:pPr>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655" w:type="dxa"/>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239DDDA8" w14:textId="77777777" w:rsidR="004E5CD1" w:rsidRPr="000262F9" w:rsidRDefault="004E5CD1" w:rsidP="004E5CD1">
            <w:pPr>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656"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7A4D2B3A" w14:textId="77777777" w:rsidR="004E5CD1" w:rsidRPr="000262F9" w:rsidRDefault="004E5CD1" w:rsidP="004E5CD1">
            <w:pPr>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3145"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7D804EEC" w14:textId="77777777" w:rsidR="004E5CD1" w:rsidRPr="000262F9" w:rsidRDefault="004E5CD1" w:rsidP="004E5CD1">
            <w:pPr>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1253" w:type="dxa"/>
            <w:tcBorders>
              <w:top w:val="single" w:sz="6" w:space="0" w:color="808080"/>
              <w:left w:val="single" w:sz="6" w:space="0" w:color="808080"/>
              <w:bottom w:val="single" w:sz="6" w:space="0" w:color="808080"/>
              <w:right w:val="single" w:sz="6" w:space="0" w:color="808080"/>
            </w:tcBorders>
          </w:tcPr>
          <w:p w14:paraId="3E60A181" w14:textId="77777777" w:rsidR="004E5CD1" w:rsidRPr="000262F9" w:rsidRDefault="004E5CD1" w:rsidP="004E5CD1">
            <w:pPr>
              <w:spacing w:after="0" w:line="240" w:lineRule="auto"/>
              <w:ind w:right="-60"/>
              <w:jc w:val="center"/>
              <w:textAlignment w:val="baseline"/>
              <w:rPr>
                <w:rFonts w:ascii="Arial" w:eastAsia="Times New Roman" w:hAnsi="Arial" w:cs="Arial"/>
                <w:sz w:val="20"/>
                <w:szCs w:val="20"/>
                <w:lang w:val="es-ES" w:eastAsia="es-ES"/>
              </w:rPr>
            </w:pPr>
          </w:p>
        </w:tc>
        <w:tc>
          <w:tcPr>
            <w:tcW w:w="5037" w:type="dxa"/>
            <w:tcBorders>
              <w:top w:val="single" w:sz="6" w:space="0" w:color="808080"/>
              <w:left w:val="single" w:sz="6" w:space="0" w:color="808080"/>
              <w:bottom w:val="single" w:sz="6" w:space="0" w:color="808080"/>
              <w:right w:val="single" w:sz="6" w:space="0" w:color="808080"/>
            </w:tcBorders>
          </w:tcPr>
          <w:p w14:paraId="1C20AFC0" w14:textId="77777777" w:rsidR="004E5CD1" w:rsidRPr="000262F9" w:rsidRDefault="004E5CD1" w:rsidP="004E5CD1">
            <w:pPr>
              <w:spacing w:after="0" w:line="240" w:lineRule="auto"/>
              <w:ind w:right="-60"/>
              <w:jc w:val="center"/>
              <w:textAlignment w:val="baseline"/>
              <w:rPr>
                <w:rFonts w:ascii="Arial" w:eastAsia="Times New Roman" w:hAnsi="Arial" w:cs="Arial"/>
                <w:sz w:val="20"/>
                <w:szCs w:val="20"/>
                <w:lang w:val="es-ES" w:eastAsia="es-ES"/>
              </w:rPr>
            </w:pPr>
          </w:p>
        </w:tc>
      </w:tr>
    </w:tbl>
    <w:p w14:paraId="108BA645" w14:textId="2BDEBF86" w:rsidR="00F40BA5" w:rsidRPr="006064D5" w:rsidRDefault="00FC6149" w:rsidP="00540E8C">
      <w:pPr>
        <w:pStyle w:val="a1"/>
        <w:rPr>
          <w:i/>
          <w:iCs/>
          <w:sz w:val="20"/>
          <w:szCs w:val="18"/>
          <w:lang w:val="ru-RU"/>
        </w:rPr>
      </w:pPr>
      <w:r>
        <w:rPr>
          <w:i/>
          <w:iCs/>
          <w:sz w:val="20"/>
          <w:szCs w:val="18"/>
          <w:lang w:val="ru-RU"/>
        </w:rPr>
        <w:t>Страны</w:t>
      </w:r>
      <w:r w:rsidRPr="006064D5">
        <w:rPr>
          <w:i/>
          <w:iCs/>
          <w:sz w:val="20"/>
          <w:szCs w:val="18"/>
          <w:lang w:val="ru-RU"/>
        </w:rPr>
        <w:t xml:space="preserve"> </w:t>
      </w:r>
      <w:r>
        <w:rPr>
          <w:i/>
          <w:iCs/>
          <w:sz w:val="20"/>
          <w:szCs w:val="18"/>
          <w:lang w:val="ru-RU"/>
        </w:rPr>
        <w:t>должны</w:t>
      </w:r>
      <w:r w:rsidRPr="006064D5">
        <w:rPr>
          <w:i/>
          <w:iCs/>
          <w:sz w:val="20"/>
          <w:szCs w:val="18"/>
          <w:lang w:val="ru-RU"/>
        </w:rPr>
        <w:t xml:space="preserve"> </w:t>
      </w:r>
      <w:r>
        <w:rPr>
          <w:i/>
          <w:iCs/>
          <w:sz w:val="20"/>
          <w:szCs w:val="18"/>
          <w:lang w:val="ru-RU"/>
        </w:rPr>
        <w:t>обсудить</w:t>
      </w:r>
      <w:r w:rsidRPr="006064D5">
        <w:rPr>
          <w:i/>
          <w:iCs/>
          <w:sz w:val="20"/>
          <w:szCs w:val="18"/>
          <w:lang w:val="ru-RU"/>
        </w:rPr>
        <w:t xml:space="preserve"> </w:t>
      </w:r>
      <w:r>
        <w:rPr>
          <w:i/>
          <w:iCs/>
          <w:sz w:val="20"/>
          <w:szCs w:val="18"/>
          <w:lang w:val="ru-RU"/>
        </w:rPr>
        <w:t>с</w:t>
      </w:r>
      <w:r w:rsidRPr="006064D5">
        <w:rPr>
          <w:i/>
          <w:iCs/>
          <w:sz w:val="20"/>
          <w:szCs w:val="18"/>
          <w:lang w:val="ru-RU"/>
        </w:rPr>
        <w:t xml:space="preserve"> </w:t>
      </w:r>
      <w:r>
        <w:rPr>
          <w:i/>
          <w:iCs/>
          <w:sz w:val="20"/>
          <w:szCs w:val="18"/>
          <w:lang w:val="ru-RU"/>
        </w:rPr>
        <w:t>их</w:t>
      </w:r>
      <w:r w:rsidRPr="006064D5">
        <w:rPr>
          <w:i/>
          <w:iCs/>
          <w:sz w:val="20"/>
          <w:szCs w:val="18"/>
          <w:lang w:val="ru-RU"/>
        </w:rPr>
        <w:t xml:space="preserve"> </w:t>
      </w:r>
      <w:r>
        <w:rPr>
          <w:i/>
          <w:iCs/>
          <w:sz w:val="20"/>
          <w:szCs w:val="18"/>
          <w:lang w:val="ru-RU"/>
        </w:rPr>
        <w:t>страновыми</w:t>
      </w:r>
      <w:r w:rsidRPr="006064D5">
        <w:rPr>
          <w:i/>
          <w:iCs/>
          <w:sz w:val="20"/>
          <w:szCs w:val="18"/>
          <w:lang w:val="ru-RU"/>
        </w:rPr>
        <w:t xml:space="preserve"> </w:t>
      </w:r>
      <w:r>
        <w:rPr>
          <w:i/>
          <w:iCs/>
          <w:sz w:val="20"/>
          <w:szCs w:val="18"/>
          <w:lang w:val="ru-RU"/>
        </w:rPr>
        <w:t>группами</w:t>
      </w:r>
      <w:r w:rsidRPr="006064D5">
        <w:rPr>
          <w:i/>
          <w:iCs/>
          <w:sz w:val="20"/>
          <w:szCs w:val="18"/>
          <w:lang w:val="ru-RU"/>
        </w:rPr>
        <w:t xml:space="preserve">, </w:t>
      </w:r>
      <w:r>
        <w:rPr>
          <w:i/>
          <w:iCs/>
          <w:sz w:val="20"/>
          <w:szCs w:val="18"/>
          <w:lang w:val="ru-RU"/>
        </w:rPr>
        <w:t>рассматривают</w:t>
      </w:r>
      <w:r w:rsidRPr="006064D5">
        <w:rPr>
          <w:i/>
          <w:iCs/>
          <w:sz w:val="20"/>
          <w:szCs w:val="18"/>
          <w:lang w:val="ru-RU"/>
        </w:rPr>
        <w:t xml:space="preserve"> </w:t>
      </w:r>
      <w:r>
        <w:rPr>
          <w:i/>
          <w:iCs/>
          <w:sz w:val="20"/>
          <w:szCs w:val="18"/>
          <w:lang w:val="ru-RU"/>
        </w:rPr>
        <w:t>ли</w:t>
      </w:r>
      <w:r w:rsidRPr="006064D5">
        <w:rPr>
          <w:i/>
          <w:iCs/>
          <w:sz w:val="20"/>
          <w:szCs w:val="18"/>
          <w:lang w:val="ru-RU"/>
        </w:rPr>
        <w:t xml:space="preserve"> </w:t>
      </w:r>
      <w:r>
        <w:rPr>
          <w:i/>
          <w:iCs/>
          <w:sz w:val="20"/>
          <w:szCs w:val="18"/>
          <w:lang w:val="ru-RU"/>
        </w:rPr>
        <w:t>они</w:t>
      </w:r>
      <w:r w:rsidRPr="006064D5">
        <w:rPr>
          <w:i/>
          <w:iCs/>
          <w:sz w:val="20"/>
          <w:szCs w:val="18"/>
          <w:lang w:val="ru-RU"/>
        </w:rPr>
        <w:t xml:space="preserve"> </w:t>
      </w:r>
      <w:r>
        <w:rPr>
          <w:i/>
          <w:iCs/>
          <w:sz w:val="20"/>
          <w:szCs w:val="18"/>
          <w:lang w:val="ru-RU"/>
        </w:rPr>
        <w:t>возможность</w:t>
      </w:r>
      <w:r w:rsidRPr="006064D5">
        <w:rPr>
          <w:i/>
          <w:iCs/>
          <w:sz w:val="20"/>
          <w:szCs w:val="18"/>
          <w:lang w:val="ru-RU"/>
        </w:rPr>
        <w:t xml:space="preserve"> </w:t>
      </w:r>
      <w:r w:rsidR="00C7198D">
        <w:rPr>
          <w:i/>
          <w:iCs/>
          <w:sz w:val="20"/>
          <w:szCs w:val="18"/>
          <w:lang w:val="ru-RU"/>
        </w:rPr>
        <w:t>составления</w:t>
      </w:r>
      <w:r w:rsidR="00C7198D" w:rsidRPr="006064D5">
        <w:rPr>
          <w:i/>
          <w:iCs/>
          <w:sz w:val="20"/>
          <w:szCs w:val="18"/>
          <w:lang w:val="ru-RU"/>
        </w:rPr>
        <w:t xml:space="preserve"> </w:t>
      </w:r>
      <w:r w:rsidR="00C7198D">
        <w:rPr>
          <w:i/>
          <w:iCs/>
          <w:sz w:val="20"/>
          <w:szCs w:val="18"/>
          <w:lang w:val="ru-RU"/>
        </w:rPr>
        <w:t>заявки</w:t>
      </w:r>
      <w:r w:rsidR="00C7198D" w:rsidRPr="006064D5">
        <w:rPr>
          <w:i/>
          <w:iCs/>
          <w:sz w:val="20"/>
          <w:szCs w:val="18"/>
          <w:lang w:val="ru-RU"/>
        </w:rPr>
        <w:t xml:space="preserve"> </w:t>
      </w:r>
      <w:r w:rsidR="00C7198D">
        <w:rPr>
          <w:i/>
          <w:iCs/>
          <w:sz w:val="20"/>
          <w:szCs w:val="18"/>
          <w:lang w:val="ru-RU"/>
        </w:rPr>
        <w:t>по</w:t>
      </w:r>
      <w:r w:rsidR="00C7198D" w:rsidRPr="006064D5">
        <w:rPr>
          <w:i/>
          <w:iCs/>
          <w:sz w:val="20"/>
          <w:szCs w:val="18"/>
          <w:lang w:val="ru-RU"/>
        </w:rPr>
        <w:t xml:space="preserve"> </w:t>
      </w:r>
      <w:r>
        <w:rPr>
          <w:i/>
          <w:iCs/>
          <w:sz w:val="20"/>
          <w:szCs w:val="18"/>
          <w:lang w:val="ru-RU"/>
        </w:rPr>
        <w:t>схеме</w:t>
      </w:r>
      <w:r w:rsidRPr="006064D5">
        <w:rPr>
          <w:i/>
          <w:iCs/>
          <w:sz w:val="20"/>
          <w:szCs w:val="18"/>
          <w:lang w:val="ru-RU"/>
        </w:rPr>
        <w:t xml:space="preserve"> «</w:t>
      </w:r>
      <w:r w:rsidRPr="00FC6149">
        <w:rPr>
          <w:i/>
          <w:iCs/>
          <w:sz w:val="20"/>
          <w:szCs w:val="18"/>
          <w:lang w:val="ru-RU"/>
        </w:rPr>
        <w:t>оплата</w:t>
      </w:r>
      <w:r w:rsidRPr="006064D5">
        <w:rPr>
          <w:i/>
          <w:iCs/>
          <w:sz w:val="20"/>
          <w:szCs w:val="18"/>
          <w:lang w:val="ru-RU"/>
        </w:rPr>
        <w:t xml:space="preserve"> </w:t>
      </w:r>
      <w:r w:rsidRPr="00FC6149">
        <w:rPr>
          <w:i/>
          <w:iCs/>
          <w:sz w:val="20"/>
          <w:szCs w:val="18"/>
          <w:lang w:val="ru-RU"/>
        </w:rPr>
        <w:t>в</w:t>
      </w:r>
      <w:r w:rsidRPr="006064D5">
        <w:rPr>
          <w:i/>
          <w:iCs/>
          <w:sz w:val="20"/>
          <w:szCs w:val="18"/>
          <w:lang w:val="ru-RU"/>
        </w:rPr>
        <w:t xml:space="preserve"> </w:t>
      </w:r>
      <w:r w:rsidRPr="00FC6149">
        <w:rPr>
          <w:i/>
          <w:iCs/>
          <w:sz w:val="20"/>
          <w:szCs w:val="18"/>
          <w:lang w:val="ru-RU"/>
        </w:rPr>
        <w:t>зависимости</w:t>
      </w:r>
      <w:r w:rsidRPr="006064D5">
        <w:rPr>
          <w:i/>
          <w:iCs/>
          <w:sz w:val="20"/>
          <w:szCs w:val="18"/>
          <w:lang w:val="ru-RU"/>
        </w:rPr>
        <w:t xml:space="preserve"> </w:t>
      </w:r>
      <w:r w:rsidRPr="00FC6149">
        <w:rPr>
          <w:i/>
          <w:iCs/>
          <w:sz w:val="20"/>
          <w:szCs w:val="18"/>
          <w:lang w:val="ru-RU"/>
        </w:rPr>
        <w:t>от</w:t>
      </w:r>
      <w:r w:rsidRPr="006064D5">
        <w:rPr>
          <w:i/>
          <w:iCs/>
          <w:sz w:val="20"/>
          <w:szCs w:val="18"/>
          <w:lang w:val="ru-RU"/>
        </w:rPr>
        <w:t xml:space="preserve"> </w:t>
      </w:r>
      <w:r w:rsidRPr="00FC6149">
        <w:rPr>
          <w:i/>
          <w:iCs/>
          <w:sz w:val="20"/>
          <w:szCs w:val="18"/>
          <w:lang w:val="ru-RU"/>
        </w:rPr>
        <w:t>результатов</w:t>
      </w:r>
      <w:r w:rsidRPr="006064D5">
        <w:rPr>
          <w:i/>
          <w:iCs/>
          <w:sz w:val="20"/>
          <w:szCs w:val="18"/>
          <w:lang w:val="ru-RU"/>
        </w:rPr>
        <w:t>»</w:t>
      </w:r>
      <w:r w:rsidR="00540E8C" w:rsidRPr="006064D5">
        <w:rPr>
          <w:i/>
          <w:iCs/>
          <w:sz w:val="20"/>
          <w:szCs w:val="18"/>
          <w:lang w:val="ru-RU"/>
        </w:rPr>
        <w:t>.</w:t>
      </w:r>
    </w:p>
    <w:p w14:paraId="20EA2674" w14:textId="77777777" w:rsidR="00F40BA5" w:rsidRPr="006064D5" w:rsidRDefault="00F40BA5">
      <w:pPr>
        <w:spacing w:after="200"/>
        <w:rPr>
          <w:i/>
          <w:iCs/>
          <w:sz w:val="20"/>
          <w:szCs w:val="18"/>
          <w:lang w:val="ru-RU"/>
        </w:rPr>
      </w:pPr>
      <w:r w:rsidRPr="006064D5">
        <w:rPr>
          <w:i/>
          <w:iCs/>
          <w:sz w:val="20"/>
          <w:szCs w:val="18"/>
          <w:lang w:val="ru-RU"/>
        </w:rPr>
        <w:br w:type="page"/>
      </w:r>
    </w:p>
    <w:p w14:paraId="6B9E4603" w14:textId="35BC80A1" w:rsidR="00C8692C" w:rsidRPr="006064D5" w:rsidRDefault="00C8692C" w:rsidP="00D33685">
      <w:pPr>
        <w:spacing w:after="0" w:line="240" w:lineRule="auto"/>
        <w:rPr>
          <w:rFonts w:ascii="Arial" w:hAnsi="Arial" w:cs="Arial"/>
          <w:color w:val="000000" w:themeColor="text1"/>
          <w:lang w:val="ru-RU"/>
        </w:rPr>
        <w:sectPr w:rsidR="00C8692C" w:rsidRPr="006064D5" w:rsidSect="00BC09CD">
          <w:pgSz w:w="16838" w:h="11906" w:orient="landscape" w:code="9"/>
          <w:pgMar w:top="851" w:right="851" w:bottom="1871" w:left="851" w:header="288" w:footer="288" w:gutter="0"/>
          <w:cols w:space="708"/>
          <w:titlePg/>
          <w:docGrid w:linePitch="360"/>
        </w:sectPr>
      </w:pPr>
    </w:p>
    <w:p w14:paraId="7E80A99A" w14:textId="29651C83" w:rsidR="00C74C44" w:rsidRDefault="006064D5" w:rsidP="00D8578B">
      <w:pPr>
        <w:pStyle w:val="a1"/>
        <w:numPr>
          <w:ilvl w:val="1"/>
          <w:numId w:val="12"/>
        </w:numPr>
        <w:jc w:val="both"/>
        <w:rPr>
          <w:color w:val="000000" w:themeColor="text1"/>
          <w:lang w:val="ru-RU"/>
        </w:rPr>
      </w:pPr>
      <w:r w:rsidRPr="007A03C6">
        <w:rPr>
          <w:b/>
          <w:bCs/>
          <w:color w:val="000000" w:themeColor="text1"/>
          <w:lang w:val="ru-RU"/>
        </w:rPr>
        <w:lastRenderedPageBreak/>
        <w:t>Обоснование</w:t>
      </w:r>
      <w:r w:rsidR="008767F7" w:rsidRPr="004E5CD1">
        <w:rPr>
          <w:b/>
          <w:bCs/>
          <w:color w:val="000000" w:themeColor="text1"/>
          <w:lang w:val="ru-RU"/>
        </w:rPr>
        <w:t>.</w:t>
      </w:r>
      <w:r w:rsidR="00C74C44" w:rsidRPr="004E5CD1">
        <w:rPr>
          <w:b/>
          <w:bCs/>
          <w:color w:val="000000" w:themeColor="text1"/>
          <w:lang w:val="ru-RU"/>
        </w:rPr>
        <w:t xml:space="preserve"> </w:t>
      </w:r>
      <w:r w:rsidR="008767F7" w:rsidRPr="007A03C6">
        <w:rPr>
          <w:bCs/>
          <w:color w:val="000000" w:themeColor="text1"/>
          <w:lang w:val="ru-RU"/>
        </w:rPr>
        <w:t>Дайте краткую сводную информацию о соответствующей эпидемиологической обстановке и тенденциях, системах здравоохранения и потребностях сообществ</w:t>
      </w:r>
      <w:r w:rsidR="007A03C6" w:rsidRPr="007A03C6">
        <w:rPr>
          <w:bCs/>
          <w:color w:val="000000" w:themeColor="text1"/>
          <w:lang w:val="ru-RU"/>
        </w:rPr>
        <w:t xml:space="preserve"> в качестве обоснования для представленной выше заявки</w:t>
      </w:r>
      <w:r w:rsidR="00C74C44" w:rsidRPr="007A03C6">
        <w:rPr>
          <w:color w:val="000000" w:themeColor="text1"/>
          <w:lang w:val="ru-RU"/>
        </w:rPr>
        <w:t>.</w:t>
      </w:r>
      <w:r w:rsidR="001E5FFA">
        <w:rPr>
          <w:color w:val="000000" w:themeColor="text1"/>
          <w:lang w:val="ru-RU"/>
        </w:rPr>
        <w:t xml:space="preserve"> </w:t>
      </w:r>
      <w:r w:rsidR="001E5FFA" w:rsidRPr="00DE1713">
        <w:rPr>
          <w:i/>
          <w:iCs/>
          <w:color w:val="EE0C3D" w:themeColor="accent1"/>
          <w:sz w:val="20"/>
          <w:szCs w:val="20"/>
          <w:lang w:val="ru-RU"/>
        </w:rPr>
        <w:t>– 4 страницы</w:t>
      </w:r>
      <w:r w:rsidR="009F051F" w:rsidRPr="00DE1713">
        <w:rPr>
          <w:i/>
          <w:iCs/>
          <w:color w:val="EE0C3D" w:themeColor="accent1"/>
          <w:sz w:val="20"/>
          <w:szCs w:val="20"/>
          <w:lang w:val="ru-RU"/>
        </w:rPr>
        <w:t xml:space="preserve"> + до 4 страниц дополнительно на компонент (ВИЧ, ТБ, УСЗ) – итого до 16 страниц</w:t>
      </w:r>
    </w:p>
    <w:p w14:paraId="1F1C8A8B" w14:textId="137AF61D" w:rsidR="00324C26" w:rsidRPr="00324C26" w:rsidRDefault="007E2A7A" w:rsidP="00DD5017">
      <w:pPr>
        <w:pStyle w:val="a1"/>
        <w:widowControl w:val="0"/>
        <w:spacing w:line="240" w:lineRule="auto"/>
        <w:jc w:val="both"/>
        <w:rPr>
          <w:b/>
          <w:bCs/>
          <w:color w:val="000000" w:themeColor="text1"/>
          <w:lang w:val="ru-RU"/>
        </w:rPr>
      </w:pPr>
      <w:r>
        <w:rPr>
          <w:b/>
          <w:bCs/>
          <w:color w:val="000000" w:themeColor="text1"/>
          <w:lang w:val="ru-RU"/>
        </w:rPr>
        <w:t>ВИЧ</w:t>
      </w:r>
    </w:p>
    <w:p w14:paraId="41D85681" w14:textId="7074A320" w:rsidR="000169CB" w:rsidRPr="003D28CC" w:rsidRDefault="000169CB" w:rsidP="000169CB">
      <w:pPr>
        <w:widowControl w:val="0"/>
        <w:spacing w:line="240" w:lineRule="auto"/>
        <w:jc w:val="both"/>
        <w:rPr>
          <w:lang w:val="ru"/>
        </w:rPr>
      </w:pPr>
      <w:r w:rsidRPr="003D28CC">
        <w:rPr>
          <w:lang w:val="ru"/>
        </w:rPr>
        <w:t>В Восточной Европе и Центральной Азии, где расположена Кыргызская Республика, наблюдается самый быстрый рост эпидемии ВИЧ в мире: по оценкам, в 2021 году число новых случаев ВИЧ-инфекции составит 160,000 (130,000-180,000</w:t>
      </w:r>
      <w:r>
        <w:rPr>
          <w:lang w:val="ru"/>
        </w:rPr>
        <w:t>)</w:t>
      </w:r>
      <w:r w:rsidRPr="003D28CC">
        <w:rPr>
          <w:lang w:val="ru"/>
        </w:rPr>
        <w:t>.</w:t>
      </w:r>
      <w:r w:rsidRPr="003D28CC">
        <w:rPr>
          <w:sz w:val="20"/>
          <w:szCs w:val="20"/>
          <w:vertAlign w:val="superscript"/>
          <w:lang w:val="ru"/>
        </w:rPr>
        <w:footnoteReference w:id="34"/>
      </w:r>
    </w:p>
    <w:p w14:paraId="237B62D0" w14:textId="77777777" w:rsidR="000169CB" w:rsidRDefault="000169CB" w:rsidP="000169CB">
      <w:pPr>
        <w:widowControl w:val="0"/>
        <w:spacing w:line="240" w:lineRule="auto"/>
        <w:jc w:val="both"/>
        <w:rPr>
          <w:lang w:val="ru"/>
        </w:rPr>
      </w:pPr>
      <w:r w:rsidRPr="003D28CC">
        <w:rPr>
          <w:lang w:val="ru"/>
        </w:rPr>
        <w:t>В Кыргызской Республике число новых случаев ВИЧ-инфекции остается стабильным или немного снижается в течение десятилетия, а число ЛЖВ увеличивается с 5,300 (4,900-5,900) в 2010 году до 10,000 (9,300-11,000) в 2021 году. Несмотря на прогресс в охвате и эффективности программ, основные показатели "эпидемического процесса" указывают на стагнацию (см. график A ниже).</w:t>
      </w:r>
    </w:p>
    <w:p w14:paraId="4F8A9822" w14:textId="77777777" w:rsidR="000169CB" w:rsidRPr="003D28CC" w:rsidRDefault="000169CB" w:rsidP="000169CB">
      <w:pPr>
        <w:widowControl w:val="0"/>
        <w:spacing w:line="240" w:lineRule="auto"/>
        <w:jc w:val="both"/>
        <w:rPr>
          <w:sz w:val="20"/>
          <w:lang w:val="ru-RU"/>
        </w:rPr>
      </w:pPr>
      <w:r w:rsidRPr="003D28CC">
        <w:rPr>
          <w:lang w:val="ru"/>
        </w:rPr>
        <w:t>График A: Показатели эпидемического процесса для КР (2021)</w:t>
      </w:r>
      <w:r>
        <w:rPr>
          <w:rStyle w:val="aff1"/>
          <w:sz w:val="20"/>
          <w:lang w:val="en"/>
        </w:rPr>
        <w:footnoteReference w:id="35"/>
      </w:r>
    </w:p>
    <w:p w14:paraId="12FB30A3" w14:textId="77777777" w:rsidR="000169CB" w:rsidRDefault="000169CB" w:rsidP="000169CB">
      <w:pPr>
        <w:widowControl w:val="0"/>
        <w:tabs>
          <w:tab w:val="left" w:pos="9639"/>
          <w:tab w:val="left" w:pos="10773"/>
        </w:tabs>
        <w:spacing w:line="240" w:lineRule="auto"/>
        <w:jc w:val="both"/>
        <w:rPr>
          <w:sz w:val="20"/>
          <w:lang w:val="en"/>
        </w:rPr>
      </w:pPr>
      <w:r w:rsidRPr="00932419">
        <w:rPr>
          <w:noProof/>
          <w:sz w:val="20"/>
          <w:lang w:val="ru-RU" w:eastAsia="ru-RU"/>
        </w:rPr>
        <w:drawing>
          <wp:inline distT="0" distB="0" distL="0" distR="0" wp14:anchorId="484C0CBE" wp14:editId="2891A234">
            <wp:extent cx="2622433" cy="1393811"/>
            <wp:effectExtent l="25400" t="25400" r="19685" b="292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745104" cy="1459010"/>
                    </a:xfrm>
                    <a:prstGeom prst="rect">
                      <a:avLst/>
                    </a:prstGeom>
                    <a:ln w="15875">
                      <a:solidFill>
                        <a:schemeClr val="accent1"/>
                      </a:solidFill>
                    </a:ln>
                  </pic:spPr>
                </pic:pic>
              </a:graphicData>
            </a:graphic>
          </wp:inline>
        </w:drawing>
      </w:r>
    </w:p>
    <w:p w14:paraId="4985A05A" w14:textId="77777777" w:rsidR="000169CB" w:rsidRPr="003D28CC" w:rsidRDefault="000169CB" w:rsidP="000169CB">
      <w:pPr>
        <w:widowControl w:val="0"/>
        <w:spacing w:line="240" w:lineRule="auto"/>
        <w:jc w:val="both"/>
        <w:rPr>
          <w:lang w:val="ru"/>
        </w:rPr>
      </w:pPr>
      <w:r w:rsidRPr="003D28CC">
        <w:rPr>
          <w:lang w:val="ru"/>
        </w:rPr>
        <w:t>Диагностика ВИЧ-инфекции осуществляется на основании приказов, инструкций и клинических протоколов, утвержденных Министерством здравоохранения КР. В стране действует упрощенный алгоритм тестирования на ВИЧ (без использования метода иммунного блоттинга), в соответствии с рекомендациями ВОЗ.</w:t>
      </w:r>
    </w:p>
    <w:p w14:paraId="26656CF2" w14:textId="098849C5" w:rsidR="000169CB" w:rsidRPr="003D28CC" w:rsidRDefault="000169CB" w:rsidP="000169CB">
      <w:pPr>
        <w:widowControl w:val="0"/>
        <w:spacing w:line="240" w:lineRule="auto"/>
        <w:jc w:val="both"/>
        <w:rPr>
          <w:lang w:val="ru"/>
        </w:rPr>
      </w:pPr>
      <w:r w:rsidRPr="003D28CC">
        <w:rPr>
          <w:lang w:val="ru"/>
        </w:rPr>
        <w:t>В 2020 году, в связи с пандемией CОVID-19, объем тестирования на ВИЧ снизился на 12% по сравнению с 2019 годом. Однако, в 2021 и 2022 гг. стране удалось увеличить объемы тестирования, что привело к увеличению выявляемых случаев (2020 – 665, 2021 – 835, 2022 – 1,098 случаев). За 2022 год проведено более 663 тысяч исследований методом ИФА, более 60 тыс. исследовани</w:t>
      </w:r>
      <w:r>
        <w:rPr>
          <w:lang w:val="ru"/>
        </w:rPr>
        <w:t>й</w:t>
      </w:r>
      <w:r w:rsidRPr="003D28CC">
        <w:rPr>
          <w:lang w:val="ru"/>
        </w:rPr>
        <w:t xml:space="preserve"> методом экспресс-тестирования (преимущественно среди КГН, клиентов мобильных пунктов и пациентов с клиническими показаниями). С 2021 года внедрены услуги самотестирования, за 2022 год обследовано более 1</w:t>
      </w:r>
      <w:r>
        <w:rPr>
          <w:lang w:val="ru"/>
        </w:rPr>
        <w:t>,</w:t>
      </w:r>
      <w:r w:rsidRPr="003D28CC">
        <w:rPr>
          <w:lang w:val="ru"/>
        </w:rPr>
        <w:t>700 лиц.</w:t>
      </w:r>
    </w:p>
    <w:p w14:paraId="1C1147FF" w14:textId="77777777" w:rsidR="000169CB" w:rsidRPr="003D28CC" w:rsidRDefault="000169CB" w:rsidP="000169CB">
      <w:pPr>
        <w:widowControl w:val="0"/>
        <w:spacing w:line="240" w:lineRule="auto"/>
        <w:jc w:val="both"/>
        <w:rPr>
          <w:lang w:val="ru"/>
        </w:rPr>
      </w:pPr>
      <w:r w:rsidRPr="003D28CC">
        <w:rPr>
          <w:lang w:val="ru"/>
        </w:rPr>
        <w:t xml:space="preserve">Услуги по тестированию на ВИЧ доступны на всех уровнях оказания медицинской помощи, а также в пенитенциарной системе, в общественных организациях и мобильных пунктах. В стране действует 34 лаборатории, осуществляющих диагностику ВИЧ методом иммунного ферментного анализа (ИФА) и более 230 сайтов, проводящих экспресс-тестирование на ВИЧ, в числе которых 23 сайта на базе НПО. </w:t>
      </w:r>
    </w:p>
    <w:p w14:paraId="5E03D16F" w14:textId="77777777" w:rsidR="000169CB" w:rsidRPr="00E24EAE" w:rsidRDefault="000169CB" w:rsidP="000169CB">
      <w:pPr>
        <w:pStyle w:val="Default"/>
        <w:widowControl w:val="0"/>
        <w:tabs>
          <w:tab w:val="left" w:pos="9639"/>
          <w:tab w:val="left" w:pos="10773"/>
        </w:tabs>
        <w:ind w:right="-2"/>
        <w:jc w:val="both"/>
        <w:rPr>
          <w:rFonts w:asciiTheme="minorHAnsi" w:hAnsiTheme="minorHAnsi" w:cstheme="minorHAnsi"/>
          <w:sz w:val="22"/>
          <w:szCs w:val="22"/>
          <w:lang w:val="ru-RU"/>
        </w:rPr>
      </w:pPr>
      <w:r w:rsidRPr="00E24EAE">
        <w:rPr>
          <w:rFonts w:asciiTheme="minorHAnsi" w:hAnsiTheme="minorHAnsi" w:cstheme="minorHAnsi"/>
          <w:sz w:val="22"/>
          <w:szCs w:val="22"/>
          <w:lang w:val="ru-RU"/>
        </w:rPr>
        <w:t>По оценкам за 2022 год, число ЛЖВ в стране составляло 10</w:t>
      </w:r>
      <w:r>
        <w:rPr>
          <w:rFonts w:asciiTheme="minorHAnsi" w:hAnsiTheme="minorHAnsi" w:cstheme="minorHAnsi"/>
          <w:sz w:val="22"/>
          <w:szCs w:val="22"/>
          <w:lang w:val="ru-RU"/>
        </w:rPr>
        <w:t>,</w:t>
      </w:r>
      <w:r w:rsidRPr="00E24EAE">
        <w:rPr>
          <w:rFonts w:asciiTheme="minorHAnsi" w:hAnsiTheme="minorHAnsi" w:cstheme="minorHAnsi"/>
          <w:sz w:val="22"/>
          <w:szCs w:val="22"/>
          <w:lang w:val="ru-RU"/>
        </w:rPr>
        <w:t>000 человек. Из этого числа 83% (76% в 2019 г.) были диагностированы, 69% диагностированных находятся на АРТ (63% в 2019 г.), а 90% ЛЖВ, проходящих лечение, имели вирусную супрессию (80% в 2019 г.)</w:t>
      </w:r>
      <w:r w:rsidRPr="0049531C">
        <w:rPr>
          <w:rFonts w:asciiTheme="minorHAnsi" w:hAnsiTheme="minorHAnsi" w:cstheme="minorHAnsi"/>
          <w:sz w:val="20"/>
          <w:szCs w:val="20"/>
          <w:vertAlign w:val="superscript"/>
          <w:lang w:val="ru-RU"/>
        </w:rPr>
        <w:footnoteReference w:id="36"/>
      </w:r>
      <w:r w:rsidRPr="00E24EAE">
        <w:rPr>
          <w:rFonts w:asciiTheme="minorHAnsi" w:hAnsiTheme="minorHAnsi" w:cstheme="minorHAnsi"/>
          <w:sz w:val="22"/>
          <w:szCs w:val="22"/>
          <w:lang w:val="ru-RU"/>
        </w:rPr>
        <w:t xml:space="preserve"> Данный прогресс, хотя и является недостаточным, стал возможен благодаря реализации комплекса мер по улучшению охвата лечением и повышению приверженности к лечению ВИЧ. </w:t>
      </w:r>
    </w:p>
    <w:p w14:paraId="53867A52" w14:textId="77777777" w:rsidR="000169CB" w:rsidRDefault="000169CB" w:rsidP="000169CB">
      <w:pPr>
        <w:widowControl w:val="0"/>
        <w:tabs>
          <w:tab w:val="left" w:pos="9639"/>
          <w:tab w:val="left" w:pos="10773"/>
        </w:tabs>
        <w:spacing w:line="240" w:lineRule="auto"/>
        <w:jc w:val="both"/>
        <w:rPr>
          <w:sz w:val="20"/>
        </w:rPr>
      </w:pPr>
      <w:r w:rsidRPr="004F4345">
        <w:rPr>
          <w:noProof/>
          <w:sz w:val="20"/>
          <w:lang w:val="ru-RU" w:eastAsia="ru-RU"/>
        </w:rPr>
        <w:lastRenderedPageBreak/>
        <w:drawing>
          <wp:inline distT="0" distB="0" distL="0" distR="0" wp14:anchorId="76085BCF" wp14:editId="39B719DF">
            <wp:extent cx="5621573" cy="184912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680512" cy="1868507"/>
                    </a:xfrm>
                    <a:prstGeom prst="rect">
                      <a:avLst/>
                    </a:prstGeom>
                  </pic:spPr>
                </pic:pic>
              </a:graphicData>
            </a:graphic>
          </wp:inline>
        </w:drawing>
      </w:r>
    </w:p>
    <w:p w14:paraId="690F8450" w14:textId="500C0ECB" w:rsidR="000169CB" w:rsidRPr="00D172D9" w:rsidRDefault="000169CB" w:rsidP="000169CB">
      <w:pPr>
        <w:widowControl w:val="0"/>
        <w:spacing w:line="240" w:lineRule="auto"/>
        <w:jc w:val="both"/>
        <w:rPr>
          <w:lang w:val="ru"/>
        </w:rPr>
      </w:pPr>
      <w:r w:rsidRPr="00D172D9">
        <w:rPr>
          <w:lang w:val="ru"/>
        </w:rPr>
        <w:t>Число официально зарегистрированных случаев ВИЧ-инфекции в стране увеличилось за последние 5 лет в 1</w:t>
      </w:r>
      <w:r>
        <w:rPr>
          <w:lang w:val="ru"/>
        </w:rPr>
        <w:t>.</w:t>
      </w:r>
      <w:r w:rsidRPr="00D172D9">
        <w:rPr>
          <w:lang w:val="ru"/>
        </w:rPr>
        <w:t>7 раза с 7</w:t>
      </w:r>
      <w:r>
        <w:rPr>
          <w:lang w:val="ru"/>
        </w:rPr>
        <w:t>,</w:t>
      </w:r>
      <w:r w:rsidRPr="00D172D9">
        <w:rPr>
          <w:lang w:val="ru"/>
        </w:rPr>
        <w:t xml:space="preserve">948 в начале 2018 года </w:t>
      </w:r>
      <w:r>
        <w:rPr>
          <w:lang w:val="ru"/>
        </w:rPr>
        <w:t xml:space="preserve">и </w:t>
      </w:r>
      <w:r w:rsidRPr="00D172D9">
        <w:rPr>
          <w:lang w:val="ru"/>
        </w:rPr>
        <w:t>на 31.12.2022 составило 11</w:t>
      </w:r>
      <w:r>
        <w:rPr>
          <w:lang w:val="ru"/>
        </w:rPr>
        <w:t>,</w:t>
      </w:r>
      <w:r w:rsidRPr="00D172D9">
        <w:rPr>
          <w:lang w:val="ru"/>
        </w:rPr>
        <w:t>440</w:t>
      </w:r>
      <w:r>
        <w:rPr>
          <w:lang w:val="ru"/>
        </w:rPr>
        <w:t xml:space="preserve"> человек,</w:t>
      </w:r>
      <w:r w:rsidRPr="00D172D9">
        <w:rPr>
          <w:lang w:val="ru"/>
        </w:rPr>
        <w:t xml:space="preserve"> из которых 3</w:t>
      </w:r>
      <w:r>
        <w:rPr>
          <w:lang w:val="ru"/>
        </w:rPr>
        <w:t>,</w:t>
      </w:r>
      <w:r w:rsidRPr="00D172D9">
        <w:rPr>
          <w:lang w:val="ru"/>
        </w:rPr>
        <w:t>028 умершие от разных причин</w:t>
      </w:r>
      <w:r w:rsidRPr="00530951">
        <w:rPr>
          <w:sz w:val="20"/>
          <w:szCs w:val="20"/>
          <w:vertAlign w:val="superscript"/>
          <w:lang w:val="ru"/>
        </w:rPr>
        <w:footnoteReference w:id="37"/>
      </w:r>
      <w:r w:rsidRPr="00D172D9">
        <w:rPr>
          <w:lang w:val="ru"/>
        </w:rPr>
        <w:t>. Оценочное количество людей, живущих с ВИЧ, составляет 10</w:t>
      </w:r>
      <w:r>
        <w:rPr>
          <w:lang w:val="ru"/>
        </w:rPr>
        <w:t>,</w:t>
      </w:r>
      <w:r w:rsidRPr="00D172D9">
        <w:rPr>
          <w:lang w:val="ru"/>
        </w:rPr>
        <w:t>000 человек</w:t>
      </w:r>
      <w:r w:rsidRPr="00D172D9">
        <w:rPr>
          <w:sz w:val="20"/>
          <w:szCs w:val="20"/>
          <w:vertAlign w:val="superscript"/>
          <w:lang w:val="ru"/>
        </w:rPr>
        <w:footnoteReference w:id="38"/>
      </w:r>
      <w:r w:rsidRPr="00D172D9">
        <w:rPr>
          <w:lang w:val="ru"/>
        </w:rPr>
        <w:t>, а распространенность ВИЧ составила 1</w:t>
      </w:r>
      <w:r>
        <w:rPr>
          <w:lang w:val="ru"/>
        </w:rPr>
        <w:t>.</w:t>
      </w:r>
      <w:r w:rsidRPr="00D172D9">
        <w:rPr>
          <w:lang w:val="ru"/>
        </w:rPr>
        <w:t>2 на 1</w:t>
      </w:r>
      <w:r>
        <w:rPr>
          <w:lang w:val="ru"/>
        </w:rPr>
        <w:t>,</w:t>
      </w:r>
      <w:r w:rsidRPr="00D172D9">
        <w:rPr>
          <w:lang w:val="ru"/>
        </w:rPr>
        <w:t>000 населения на 31 декабря 2022 года</w:t>
      </w:r>
      <w:r w:rsidRPr="00D172D9">
        <w:rPr>
          <w:sz w:val="20"/>
          <w:szCs w:val="20"/>
          <w:vertAlign w:val="superscript"/>
          <w:lang w:val="ru"/>
        </w:rPr>
        <w:footnoteReference w:id="39"/>
      </w:r>
      <w:r w:rsidRPr="00D172D9">
        <w:rPr>
          <w:lang w:val="ru"/>
        </w:rPr>
        <w:t xml:space="preserve">. </w:t>
      </w:r>
    </w:p>
    <w:p w14:paraId="1353D9D1" w14:textId="3B40661B" w:rsidR="000169CB" w:rsidRPr="00D172D9" w:rsidRDefault="000169CB" w:rsidP="000169CB">
      <w:pPr>
        <w:widowControl w:val="0"/>
        <w:spacing w:line="240" w:lineRule="auto"/>
        <w:jc w:val="both"/>
        <w:rPr>
          <w:lang w:val="ru"/>
        </w:rPr>
      </w:pPr>
      <w:r w:rsidRPr="00D172D9">
        <w:rPr>
          <w:lang w:val="ru"/>
        </w:rPr>
        <w:t>Доля случаев инфицирования ВИЧ среди женщин превышает 40% в 2022 г. Отмечается устойчивая тенденция в изменении соотношения основных путей передачи ВИЧ, при котором доля полового пути увеличилась с 81% в 2018 г. до 96% в 2022 году, а доля инъекционного пути передачи снизилась с 19% в 2018 году до 4% в 2022 году</w:t>
      </w:r>
      <w:r w:rsidRPr="000407D1">
        <w:rPr>
          <w:sz w:val="20"/>
          <w:szCs w:val="20"/>
          <w:vertAlign w:val="superscript"/>
          <w:lang w:val="ru"/>
        </w:rPr>
        <w:footnoteReference w:id="40"/>
      </w:r>
      <w:r w:rsidRPr="00D172D9">
        <w:rPr>
          <w:lang w:val="ru"/>
        </w:rPr>
        <w:t>.</w:t>
      </w:r>
    </w:p>
    <w:p w14:paraId="12D7D7DB" w14:textId="77777777" w:rsidR="000169CB" w:rsidRPr="0030100B" w:rsidRDefault="000169CB" w:rsidP="000169CB">
      <w:pPr>
        <w:widowControl w:val="0"/>
        <w:tabs>
          <w:tab w:val="left" w:pos="9639"/>
          <w:tab w:val="left" w:pos="10773"/>
        </w:tabs>
        <w:spacing w:line="240" w:lineRule="auto"/>
        <w:jc w:val="both"/>
        <w:rPr>
          <w:b/>
          <w:bCs/>
          <w:color w:val="0D0D0D" w:themeColor="text1" w:themeTint="F2"/>
          <w:sz w:val="20"/>
          <w:lang w:val="ru-RU"/>
        </w:rPr>
      </w:pPr>
      <w:r w:rsidRPr="0030100B">
        <w:rPr>
          <w:b/>
          <w:bCs/>
          <w:color w:val="0D0D0D" w:themeColor="text1" w:themeTint="F2"/>
          <w:sz w:val="20"/>
          <w:lang w:val="ru-RU"/>
        </w:rPr>
        <w:t>Соотношение основных путей передачи ВИЧ, 2018-2022 гг.</w:t>
      </w:r>
    </w:p>
    <w:p w14:paraId="7D80B77C" w14:textId="77777777" w:rsidR="000169CB" w:rsidRDefault="000169CB" w:rsidP="000169CB">
      <w:pPr>
        <w:widowControl w:val="0"/>
        <w:tabs>
          <w:tab w:val="left" w:pos="9639"/>
          <w:tab w:val="left" w:pos="10773"/>
        </w:tabs>
        <w:spacing w:line="240" w:lineRule="auto"/>
        <w:jc w:val="both"/>
        <w:rPr>
          <w:color w:val="FF0000"/>
          <w:sz w:val="20"/>
        </w:rPr>
      </w:pPr>
      <w:r w:rsidRPr="007D64A6">
        <w:rPr>
          <w:noProof/>
          <w:color w:val="FF0000"/>
          <w:sz w:val="20"/>
          <w:lang w:val="ru-RU" w:eastAsia="ru-RU"/>
        </w:rPr>
        <w:drawing>
          <wp:inline distT="0" distB="0" distL="0" distR="0" wp14:anchorId="40685BA6" wp14:editId="7E90CEC3">
            <wp:extent cx="6462793" cy="1385570"/>
            <wp:effectExtent l="0" t="0" r="14605" b="11430"/>
            <wp:docPr id="13" name="Диаграмма 13">
              <a:extLst xmlns:a="http://schemas.openxmlformats.org/drawingml/2006/main">
                <a:ext uri="{FF2B5EF4-FFF2-40B4-BE49-F238E27FC236}">
                  <a16:creationId xmlns:a16="http://schemas.microsoft.com/office/drawing/2014/main" id="{3F438E5A-7C17-453B-A883-82AE714BBE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E0C0276" w14:textId="77777777" w:rsidR="000169CB" w:rsidRPr="009D38A4" w:rsidRDefault="000169CB" w:rsidP="000169CB">
      <w:pPr>
        <w:widowControl w:val="0"/>
        <w:spacing w:line="240" w:lineRule="auto"/>
        <w:jc w:val="both"/>
        <w:rPr>
          <w:lang w:val="ru"/>
        </w:rPr>
      </w:pPr>
      <w:r w:rsidRPr="009D38A4">
        <w:rPr>
          <w:lang w:val="ru"/>
        </w:rPr>
        <w:t>Кыргызская Республика относится к категории стран с концентрированной эпидемией ВИЧ/СПИДа с непропорционально большим бременем эпидемии среди ключевых групп населения, включая людей, употребляющих инъекционные наркотики (ЛУИН), и мужчин, имеющих секс с мужчинами (МСМ). Недавнее популяционное био-поведенческое исследование (БПИ) оценило распространенность ВИЧ среди ЛУИН в зависимости от места проживания в 13</w:t>
      </w:r>
      <w:r>
        <w:rPr>
          <w:lang w:val="ru"/>
        </w:rPr>
        <w:t>.</w:t>
      </w:r>
      <w:r w:rsidRPr="009D38A4">
        <w:rPr>
          <w:lang w:val="ru"/>
        </w:rPr>
        <w:t>3-25</w:t>
      </w:r>
      <w:r>
        <w:rPr>
          <w:lang w:val="ru"/>
        </w:rPr>
        <w:t>.</w:t>
      </w:r>
      <w:r w:rsidRPr="009D38A4">
        <w:rPr>
          <w:lang w:val="ru"/>
        </w:rPr>
        <w:t>9% и 10</w:t>
      </w:r>
      <w:r>
        <w:rPr>
          <w:lang w:val="ru"/>
        </w:rPr>
        <w:t>.</w:t>
      </w:r>
      <w:r w:rsidRPr="009D38A4">
        <w:rPr>
          <w:lang w:val="ru"/>
        </w:rPr>
        <w:t>7% (5</w:t>
      </w:r>
      <w:r>
        <w:rPr>
          <w:lang w:val="ru"/>
        </w:rPr>
        <w:t>.</w:t>
      </w:r>
      <w:r w:rsidRPr="009D38A4">
        <w:rPr>
          <w:lang w:val="ru"/>
        </w:rPr>
        <w:t>3-16</w:t>
      </w:r>
      <w:r>
        <w:rPr>
          <w:lang w:val="ru"/>
        </w:rPr>
        <w:t>.</w:t>
      </w:r>
      <w:r w:rsidRPr="009D38A4">
        <w:rPr>
          <w:lang w:val="ru"/>
        </w:rPr>
        <w:t>2%) среди МСМ в Бишкеке, крупнейшем городе страны.</w:t>
      </w:r>
      <w:r w:rsidRPr="009D38A4">
        <w:rPr>
          <w:sz w:val="20"/>
          <w:szCs w:val="20"/>
          <w:vertAlign w:val="superscript"/>
          <w:lang w:val="ru"/>
        </w:rPr>
        <w:footnoteReference w:id="41"/>
      </w:r>
      <w:r w:rsidRPr="009D38A4">
        <w:rPr>
          <w:sz w:val="20"/>
          <w:szCs w:val="20"/>
          <w:vertAlign w:val="superscript"/>
          <w:lang w:val="ru"/>
        </w:rPr>
        <w:t xml:space="preserve"> </w:t>
      </w:r>
      <w:r w:rsidRPr="009D38A4">
        <w:rPr>
          <w:lang w:val="ru"/>
        </w:rPr>
        <w:t xml:space="preserve">Эти исследования также выявили ключевые области программных потребностей в рамках глобальных целей каскадов лечения ВИЧ-инфекции "95-95-95" (см. графики Б и В ниже), которые подчеркивают основные различия в доступности и получении услуг для этих групп населения, подверженных повышенному риску заражения ВИЧ. Вирусный гепатит С (ВГС) является ключевой ко-инфекцией: по оценкам, 67% </w:t>
      </w:r>
      <w:r>
        <w:rPr>
          <w:lang w:val="ru"/>
        </w:rPr>
        <w:t>ЛУИН</w:t>
      </w:r>
      <w:r w:rsidRPr="009D38A4">
        <w:rPr>
          <w:lang w:val="ru"/>
        </w:rPr>
        <w:t xml:space="preserve"> ранее были инфицированы (что определяется наличием анти-ВГС) и 39% в настоящее время инфицированы ВГС (что определяется наличием РНК ВГС)</w:t>
      </w:r>
      <w:r w:rsidRPr="009D38A4">
        <w:rPr>
          <w:sz w:val="20"/>
          <w:szCs w:val="20"/>
          <w:vertAlign w:val="superscript"/>
          <w:lang w:val="ru"/>
        </w:rPr>
        <w:footnoteReference w:id="42"/>
      </w:r>
      <w:r w:rsidRPr="009D38A4">
        <w:rPr>
          <w:lang w:val="ru"/>
        </w:rPr>
        <w:t>.</w:t>
      </w:r>
    </w:p>
    <w:p w14:paraId="397F6180" w14:textId="77777777" w:rsidR="008225CA" w:rsidRDefault="008225CA" w:rsidP="008225CA">
      <w:pPr>
        <w:widowControl w:val="0"/>
        <w:tabs>
          <w:tab w:val="left" w:pos="9639"/>
          <w:tab w:val="left" w:pos="10773"/>
        </w:tabs>
        <w:spacing w:line="240" w:lineRule="auto"/>
        <w:jc w:val="both"/>
        <w:rPr>
          <w:b/>
          <w:bCs/>
          <w:color w:val="0D0D0D" w:themeColor="text1" w:themeTint="F2"/>
          <w:sz w:val="20"/>
          <w:lang w:val="ru-RU"/>
        </w:rPr>
      </w:pPr>
      <w:r w:rsidRPr="00B74CC1">
        <w:rPr>
          <w:lang w:val="ru"/>
        </w:rPr>
        <w:t>Эпидемия ВИЧ-инфекции в Кыргызстане продолжает развиваться среди ключевых групп населения (МСМ, ЛУИН, СР), однако все чаще случаи регистрируются среди населения, которое не относится к ключевым группам</w:t>
      </w:r>
      <w:r>
        <w:rPr>
          <w:lang w:val="ru"/>
        </w:rPr>
        <w:t>, что может свидетельствовать о том, что изменилось поведение КГН и группы становятся более закрытыми, а, значит, нужны новые подходы для работы с КГН.</w:t>
      </w:r>
    </w:p>
    <w:p w14:paraId="1A68D742" w14:textId="77777777" w:rsidR="000169CB" w:rsidRPr="0030100B" w:rsidRDefault="000169CB" w:rsidP="000169CB">
      <w:pPr>
        <w:widowControl w:val="0"/>
        <w:tabs>
          <w:tab w:val="left" w:pos="9639"/>
          <w:tab w:val="left" w:pos="10773"/>
        </w:tabs>
        <w:spacing w:line="240" w:lineRule="auto"/>
        <w:jc w:val="both"/>
        <w:rPr>
          <w:b/>
          <w:bCs/>
          <w:color w:val="0D0D0D" w:themeColor="text1" w:themeTint="F2"/>
          <w:sz w:val="20"/>
          <w:lang w:val="ru-RU"/>
        </w:rPr>
      </w:pPr>
      <w:r w:rsidRPr="0030100B">
        <w:rPr>
          <w:b/>
          <w:bCs/>
          <w:color w:val="0D0D0D" w:themeColor="text1" w:themeTint="F2"/>
          <w:sz w:val="20"/>
          <w:lang w:val="ru-RU"/>
        </w:rPr>
        <w:lastRenderedPageBreak/>
        <w:t>Случаи ВИЧ среди КГН, 2018-2022 гг.</w:t>
      </w:r>
    </w:p>
    <w:p w14:paraId="4316C0D7" w14:textId="77777777" w:rsidR="000169CB" w:rsidRDefault="000169CB" w:rsidP="000169CB">
      <w:pPr>
        <w:widowControl w:val="0"/>
        <w:tabs>
          <w:tab w:val="left" w:pos="3828"/>
          <w:tab w:val="left" w:pos="9639"/>
          <w:tab w:val="left" w:pos="10773"/>
        </w:tabs>
        <w:spacing w:line="240" w:lineRule="auto"/>
        <w:jc w:val="both"/>
        <w:rPr>
          <w:color w:val="0D0D0D" w:themeColor="text1" w:themeTint="F2"/>
          <w:sz w:val="20"/>
        </w:rPr>
      </w:pPr>
      <w:r w:rsidRPr="00EB1B9B">
        <w:rPr>
          <w:noProof/>
          <w:color w:val="0D0D0D" w:themeColor="text1" w:themeTint="F2"/>
          <w:sz w:val="20"/>
          <w:lang w:val="ru-RU" w:eastAsia="ru-RU"/>
        </w:rPr>
        <w:drawing>
          <wp:inline distT="0" distB="0" distL="0" distR="0" wp14:anchorId="1458F86B" wp14:editId="343ED1CD">
            <wp:extent cx="6462395" cy="2032000"/>
            <wp:effectExtent l="0" t="0" r="14605" b="1270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CE98804" w14:textId="77777777" w:rsidR="008225CA" w:rsidRDefault="008225CA" w:rsidP="000169CB">
      <w:pPr>
        <w:widowControl w:val="0"/>
        <w:tabs>
          <w:tab w:val="left" w:pos="9639"/>
          <w:tab w:val="left" w:pos="10773"/>
        </w:tabs>
        <w:spacing w:line="240" w:lineRule="auto"/>
        <w:jc w:val="both"/>
        <w:rPr>
          <w:b/>
          <w:bCs/>
          <w:sz w:val="20"/>
          <w:lang w:val="ru-RU"/>
        </w:rPr>
        <w:sectPr w:rsidR="008225CA" w:rsidSect="007E2465">
          <w:headerReference w:type="default" r:id="rId30"/>
          <w:footerReference w:type="default" r:id="rId31"/>
          <w:pgSz w:w="11906" w:h="16838" w:code="9"/>
          <w:pgMar w:top="851" w:right="851" w:bottom="1871" w:left="851" w:header="288" w:footer="288" w:gutter="0"/>
          <w:cols w:space="708"/>
          <w:docGrid w:linePitch="360"/>
        </w:sectPr>
      </w:pPr>
    </w:p>
    <w:p w14:paraId="5FE17ECC" w14:textId="77777777" w:rsidR="000169CB" w:rsidRPr="009D38A4" w:rsidRDefault="000169CB" w:rsidP="000169CB">
      <w:pPr>
        <w:widowControl w:val="0"/>
        <w:tabs>
          <w:tab w:val="left" w:pos="9639"/>
          <w:tab w:val="left" w:pos="10773"/>
        </w:tabs>
        <w:spacing w:line="240" w:lineRule="auto"/>
        <w:jc w:val="both"/>
        <w:rPr>
          <w:sz w:val="20"/>
          <w:lang w:val="ru-RU"/>
        </w:rPr>
      </w:pPr>
      <w:r w:rsidRPr="009D38A4">
        <w:rPr>
          <w:b/>
          <w:bCs/>
          <w:sz w:val="20"/>
          <w:lang w:val="ru-RU"/>
        </w:rPr>
        <w:t>График Б: Каскад лечения ВИЧ среди ЛУИН в различных регионах КР (2021)</w:t>
      </w:r>
    </w:p>
    <w:p w14:paraId="68CA323F" w14:textId="77777777" w:rsidR="000169CB" w:rsidRDefault="000169CB" w:rsidP="000169CB">
      <w:pPr>
        <w:widowControl w:val="0"/>
        <w:tabs>
          <w:tab w:val="left" w:pos="9639"/>
          <w:tab w:val="left" w:pos="10773"/>
        </w:tabs>
        <w:spacing w:line="240" w:lineRule="auto"/>
        <w:jc w:val="both"/>
        <w:rPr>
          <w:sz w:val="20"/>
        </w:rPr>
      </w:pPr>
      <w:r w:rsidRPr="00084FD4">
        <w:rPr>
          <w:noProof/>
          <w:sz w:val="20"/>
          <w:lang w:val="ru-RU" w:eastAsia="ru-RU"/>
        </w:rPr>
        <w:drawing>
          <wp:inline distT="0" distB="0" distL="0" distR="0" wp14:anchorId="69037066" wp14:editId="43FBEB78">
            <wp:extent cx="2300400" cy="1425600"/>
            <wp:effectExtent l="25400" t="25400" r="24130" b="222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300400" cy="1425600"/>
                    </a:xfrm>
                    <a:prstGeom prst="rect">
                      <a:avLst/>
                    </a:prstGeom>
                    <a:ln w="15875">
                      <a:solidFill>
                        <a:schemeClr val="accent1"/>
                      </a:solidFill>
                    </a:ln>
                  </pic:spPr>
                </pic:pic>
              </a:graphicData>
            </a:graphic>
          </wp:inline>
        </w:drawing>
      </w:r>
    </w:p>
    <w:p w14:paraId="2FF6886F" w14:textId="77777777" w:rsidR="000169CB" w:rsidRPr="009D38A4" w:rsidRDefault="000169CB" w:rsidP="000169CB">
      <w:pPr>
        <w:widowControl w:val="0"/>
        <w:tabs>
          <w:tab w:val="left" w:pos="9639"/>
          <w:tab w:val="left" w:pos="10773"/>
        </w:tabs>
        <w:spacing w:line="240" w:lineRule="auto"/>
        <w:jc w:val="both"/>
        <w:rPr>
          <w:sz w:val="20"/>
          <w:lang w:val="ru-RU"/>
        </w:rPr>
      </w:pPr>
      <w:r w:rsidRPr="009D38A4">
        <w:rPr>
          <w:b/>
          <w:bCs/>
          <w:sz w:val="20"/>
          <w:lang w:val="ru-RU"/>
        </w:rPr>
        <w:t>График В: Каскад лечения ВИЧ среди МСМ в Бишкеке, КР (2021)</w:t>
      </w:r>
    </w:p>
    <w:p w14:paraId="1FDCD33B" w14:textId="77777777" w:rsidR="000169CB" w:rsidRDefault="000169CB" w:rsidP="000169CB">
      <w:pPr>
        <w:widowControl w:val="0"/>
        <w:tabs>
          <w:tab w:val="left" w:pos="9639"/>
          <w:tab w:val="left" w:pos="10773"/>
        </w:tabs>
        <w:spacing w:line="240" w:lineRule="auto"/>
        <w:jc w:val="both"/>
        <w:rPr>
          <w:sz w:val="20"/>
          <w:lang w:val="en"/>
        </w:rPr>
      </w:pPr>
      <w:r w:rsidRPr="00602EAA">
        <w:rPr>
          <w:noProof/>
          <w:sz w:val="20"/>
          <w:lang w:val="ru-RU" w:eastAsia="ru-RU"/>
        </w:rPr>
        <w:drawing>
          <wp:inline distT="0" distB="0" distL="0" distR="0" wp14:anchorId="32854272" wp14:editId="3D52DFD0">
            <wp:extent cx="2212916" cy="1428368"/>
            <wp:effectExtent l="25400" t="25400" r="22860" b="196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244339" cy="1448651"/>
                    </a:xfrm>
                    <a:prstGeom prst="rect">
                      <a:avLst/>
                    </a:prstGeom>
                    <a:ln w="15875">
                      <a:solidFill>
                        <a:schemeClr val="accent1"/>
                      </a:solidFill>
                    </a:ln>
                  </pic:spPr>
                </pic:pic>
              </a:graphicData>
            </a:graphic>
          </wp:inline>
        </w:drawing>
      </w:r>
    </w:p>
    <w:p w14:paraId="0613F8BE" w14:textId="77777777" w:rsidR="008225CA" w:rsidRDefault="008225CA" w:rsidP="000169CB">
      <w:pPr>
        <w:widowControl w:val="0"/>
        <w:tabs>
          <w:tab w:val="left" w:pos="9639"/>
          <w:tab w:val="left" w:pos="10773"/>
        </w:tabs>
        <w:spacing w:line="240" w:lineRule="auto"/>
        <w:jc w:val="both"/>
        <w:rPr>
          <w:lang w:val="ru-RU"/>
        </w:rPr>
        <w:sectPr w:rsidR="008225CA" w:rsidSect="008225CA">
          <w:type w:val="continuous"/>
          <w:pgSz w:w="11906" w:h="16838" w:code="9"/>
          <w:pgMar w:top="851" w:right="851" w:bottom="1871" w:left="851" w:header="288" w:footer="288" w:gutter="0"/>
          <w:cols w:num="2" w:space="708"/>
          <w:docGrid w:linePitch="360"/>
        </w:sectPr>
      </w:pPr>
    </w:p>
    <w:p w14:paraId="21E33890" w14:textId="77777777" w:rsidR="000169CB" w:rsidRPr="00590DAD" w:rsidRDefault="000169CB" w:rsidP="000169CB">
      <w:pPr>
        <w:widowControl w:val="0"/>
        <w:tabs>
          <w:tab w:val="left" w:pos="9639"/>
          <w:tab w:val="left" w:pos="10773"/>
        </w:tabs>
        <w:spacing w:line="240" w:lineRule="auto"/>
        <w:jc w:val="both"/>
        <w:rPr>
          <w:lang w:val="ru-RU"/>
        </w:rPr>
      </w:pPr>
      <w:r w:rsidRPr="00590DAD">
        <w:rPr>
          <w:lang w:val="ru-RU"/>
        </w:rPr>
        <w:t>Хотя инъекционное употребление опиоидов признано основным фактором эпидемии ВИЧ в Кыргызской Республике, данные свидетельствуют о том, что в структуре потребления наркотиков в стране все чаще встречаются синтетические вещества, включая синтетические катиноны, каннабиноиды и, возможно, вещества амфетаминового ряда (хотя данные по последнему остаются ограниченными), особенно среди молодых потребителей наркотиков</w:t>
      </w:r>
      <w:r>
        <w:rPr>
          <w:rStyle w:val="aff1"/>
          <w:sz w:val="20"/>
        </w:rPr>
        <w:footnoteReference w:id="43"/>
      </w:r>
      <w:r w:rsidRPr="009D38A4">
        <w:rPr>
          <w:sz w:val="20"/>
          <w:lang w:val="ru-RU"/>
        </w:rPr>
        <w:t xml:space="preserve">. </w:t>
      </w:r>
      <w:r w:rsidRPr="00590DAD">
        <w:rPr>
          <w:lang w:val="ru-RU"/>
        </w:rPr>
        <w:t>Пока неясно, какое влияние эти изменения окажут на эпидемию ВИЧ/СПИДа и программы.</w:t>
      </w:r>
    </w:p>
    <w:p w14:paraId="56F560EC" w14:textId="6FF6D9B8" w:rsidR="000169CB" w:rsidRPr="00720297" w:rsidRDefault="000169CB" w:rsidP="000169CB">
      <w:pPr>
        <w:widowControl w:val="0"/>
        <w:spacing w:line="240" w:lineRule="auto"/>
        <w:jc w:val="both"/>
        <w:rPr>
          <w:lang w:val="ru"/>
        </w:rPr>
      </w:pPr>
      <w:r>
        <w:rPr>
          <w:lang w:val="ru"/>
        </w:rPr>
        <w:t>Кроме того, с</w:t>
      </w:r>
      <w:r w:rsidRPr="00720297">
        <w:rPr>
          <w:lang w:val="ru"/>
        </w:rPr>
        <w:t>нижение числа случаев с инъекционным путем инфицирования может быть связан</w:t>
      </w:r>
      <w:r>
        <w:rPr>
          <w:lang w:val="ru"/>
        </w:rPr>
        <w:t>о</w:t>
      </w:r>
      <w:r w:rsidRPr="00720297">
        <w:rPr>
          <w:lang w:val="ru"/>
        </w:rPr>
        <w:t xml:space="preserve"> </w:t>
      </w:r>
      <w:r>
        <w:rPr>
          <w:lang w:val="ru"/>
        </w:rPr>
        <w:t xml:space="preserve">с </w:t>
      </w:r>
      <w:r w:rsidRPr="00720297">
        <w:rPr>
          <w:lang w:val="ru"/>
        </w:rPr>
        <w:t>тем, что программы, использующие традиционные подходы</w:t>
      </w:r>
      <w:r>
        <w:rPr>
          <w:lang w:val="ru"/>
        </w:rPr>
        <w:t>,</w:t>
      </w:r>
      <w:r w:rsidRPr="00720297">
        <w:rPr>
          <w:lang w:val="ru"/>
        </w:rPr>
        <w:t xml:space="preserve"> не достигают потребителей новых наркотиков. Официальные данные, подтверждающие последнее предположение, отсутствует, однако по данным Республиканского центра психиатрии и наркологии количество состоящих на учете ЛУИН и число клиентов ПТАО за последние годы сократилось.  </w:t>
      </w:r>
    </w:p>
    <w:p w14:paraId="1E941DA5" w14:textId="77777777" w:rsidR="000169CB" w:rsidRPr="0030100B" w:rsidRDefault="000169CB" w:rsidP="000169CB">
      <w:pPr>
        <w:widowControl w:val="0"/>
        <w:tabs>
          <w:tab w:val="left" w:pos="9639"/>
          <w:tab w:val="left" w:pos="10773"/>
        </w:tabs>
        <w:spacing w:line="240" w:lineRule="auto"/>
        <w:jc w:val="both"/>
        <w:rPr>
          <w:b/>
          <w:bCs/>
          <w:sz w:val="20"/>
          <w:lang w:val="ru-RU"/>
        </w:rPr>
      </w:pPr>
      <w:r w:rsidRPr="0030100B">
        <w:rPr>
          <w:b/>
          <w:bCs/>
          <w:sz w:val="20"/>
          <w:lang w:val="ru-RU"/>
        </w:rPr>
        <w:t>Количество ЛУИН на официальном учете, данные РЦПН, 2017-2021 гг.</w:t>
      </w:r>
    </w:p>
    <w:p w14:paraId="3342099A" w14:textId="77777777" w:rsidR="000169CB" w:rsidRPr="0068321B" w:rsidRDefault="000169CB" w:rsidP="000169CB">
      <w:pPr>
        <w:widowControl w:val="0"/>
        <w:tabs>
          <w:tab w:val="left" w:pos="9639"/>
          <w:tab w:val="left" w:pos="10773"/>
        </w:tabs>
        <w:spacing w:line="240" w:lineRule="auto"/>
        <w:jc w:val="both"/>
        <w:rPr>
          <w:sz w:val="20"/>
        </w:rPr>
      </w:pPr>
      <w:r w:rsidRPr="0068321B">
        <w:rPr>
          <w:noProof/>
          <w:sz w:val="20"/>
          <w:lang w:val="ru-RU" w:eastAsia="ru-RU"/>
        </w:rPr>
        <w:drawing>
          <wp:inline distT="0" distB="0" distL="0" distR="0" wp14:anchorId="7C0A1851" wp14:editId="2A53E346">
            <wp:extent cx="6362700" cy="1511300"/>
            <wp:effectExtent l="0" t="0" r="0" b="1270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7771770" w14:textId="77777777" w:rsidR="000169CB" w:rsidRPr="00720297" w:rsidRDefault="000169CB" w:rsidP="000169CB">
      <w:pPr>
        <w:widowControl w:val="0"/>
        <w:spacing w:line="240" w:lineRule="auto"/>
        <w:jc w:val="both"/>
        <w:rPr>
          <w:lang w:val="ru"/>
        </w:rPr>
      </w:pPr>
      <w:r w:rsidRPr="00720297">
        <w:rPr>
          <w:lang w:val="ru"/>
        </w:rPr>
        <w:t>Данные по тестированию на ВИЧ в рамках проекта Глобального Фонда также отражают низкую выявляемость новых случаев среди ЛУИН.</w:t>
      </w:r>
    </w:p>
    <w:p w14:paraId="7ECAE9E4" w14:textId="77777777" w:rsidR="000169CB" w:rsidRPr="00720297" w:rsidRDefault="000169CB" w:rsidP="000169CB">
      <w:pPr>
        <w:widowControl w:val="0"/>
        <w:spacing w:line="240" w:lineRule="auto"/>
        <w:jc w:val="both"/>
        <w:rPr>
          <w:lang w:val="ru"/>
        </w:rPr>
      </w:pPr>
      <w:r w:rsidRPr="00720297">
        <w:rPr>
          <w:lang w:val="ru"/>
        </w:rPr>
        <w:t xml:space="preserve">Недостаточная осведомлённость населения о ВИЧ и недостаточная настороженность </w:t>
      </w:r>
      <w:r w:rsidRPr="00720297">
        <w:rPr>
          <w:lang w:val="ru"/>
        </w:rPr>
        <w:lastRenderedPageBreak/>
        <w:t>медицинского сообщества ведут к рискованным формам поведения, повышающим риск инфицирования ВИЧ и позднему выявлению заболевания (50% пациентов выявляются на продвинутой стадии ВИЧ-инфекции). Стигма и дискриминация в медицинских организациях, принуждение к тестированию на ВИЧ, низкое качество или отсутствие консультаций по ВИЧ приводят к отказу от АРТ, позднему началу АРТ, перерывам в лечении и прекращению АРТ, а также к низкой приверженности и низкой эффективности лечения</w:t>
      </w:r>
      <w:r w:rsidRPr="00720297">
        <w:rPr>
          <w:sz w:val="20"/>
          <w:szCs w:val="20"/>
          <w:vertAlign w:val="superscript"/>
          <w:lang w:val="ru"/>
        </w:rPr>
        <w:footnoteReference w:id="44"/>
      </w:r>
      <w:r w:rsidRPr="00720297">
        <w:rPr>
          <w:lang w:val="ru"/>
        </w:rPr>
        <w:t>.</w:t>
      </w:r>
    </w:p>
    <w:p w14:paraId="497BD799" w14:textId="6C0B63C6" w:rsidR="000169CB" w:rsidRPr="00720297" w:rsidRDefault="000169CB" w:rsidP="000169CB">
      <w:pPr>
        <w:widowControl w:val="0"/>
        <w:spacing w:line="240" w:lineRule="auto"/>
        <w:jc w:val="both"/>
        <w:rPr>
          <w:lang w:val="ru"/>
        </w:rPr>
      </w:pPr>
      <w:r w:rsidRPr="00720297">
        <w:rPr>
          <w:lang w:val="ru"/>
        </w:rPr>
        <w:t xml:space="preserve">Высокий уровень внешней и внутренней миграции ограничивает доступ пациентов к услугам в связи с ВИЧ. До 30% новых пациентов с ВИЧ сообщают об опыте внешней трудовой миграции в </w:t>
      </w:r>
      <w:r>
        <w:rPr>
          <w:lang w:val="ru"/>
        </w:rPr>
        <w:t>недавнем</w:t>
      </w:r>
      <w:r w:rsidRPr="00720297">
        <w:rPr>
          <w:lang w:val="ru"/>
        </w:rPr>
        <w:t xml:space="preserve"> прошлом. В г. Бишкек и Чуйской области отмечается более высокая частота регистрации случаев ВИЧ, что в большей степени обусловлена внутренней миграцией. </w:t>
      </w:r>
    </w:p>
    <w:p w14:paraId="5060921D" w14:textId="5DDD0DF6" w:rsidR="000169CB" w:rsidRPr="00720297" w:rsidRDefault="000169CB" w:rsidP="000169CB">
      <w:pPr>
        <w:widowControl w:val="0"/>
        <w:spacing w:line="240" w:lineRule="auto"/>
        <w:jc w:val="both"/>
        <w:rPr>
          <w:lang w:val="ru"/>
        </w:rPr>
      </w:pPr>
      <w:r w:rsidRPr="00720297">
        <w:rPr>
          <w:lang w:val="ru"/>
        </w:rPr>
        <w:t>Оценочное количество ключевых групп составляет: МСМ – 16</w:t>
      </w:r>
      <w:r>
        <w:rPr>
          <w:lang w:val="ru"/>
        </w:rPr>
        <w:t>,</w:t>
      </w:r>
      <w:r w:rsidRPr="00720297">
        <w:rPr>
          <w:lang w:val="ru"/>
        </w:rPr>
        <w:t xml:space="preserve">900, СР </w:t>
      </w:r>
      <w:r>
        <w:rPr>
          <w:lang w:val="ru"/>
        </w:rPr>
        <w:t>–</w:t>
      </w:r>
      <w:r w:rsidRPr="00720297">
        <w:rPr>
          <w:lang w:val="ru"/>
        </w:rPr>
        <w:t xml:space="preserve"> 7</w:t>
      </w:r>
      <w:r>
        <w:rPr>
          <w:lang w:val="ru"/>
        </w:rPr>
        <w:t>,</w:t>
      </w:r>
      <w:r w:rsidRPr="00720297">
        <w:rPr>
          <w:lang w:val="ru"/>
        </w:rPr>
        <w:t>100</w:t>
      </w:r>
      <w:r w:rsidRPr="007D67F2">
        <w:rPr>
          <w:sz w:val="20"/>
          <w:szCs w:val="20"/>
          <w:vertAlign w:val="superscript"/>
          <w:lang w:val="ru"/>
        </w:rPr>
        <w:footnoteReference w:id="45"/>
      </w:r>
      <w:r w:rsidRPr="00720297">
        <w:rPr>
          <w:lang w:val="ru"/>
        </w:rPr>
        <w:t xml:space="preserve">. </w:t>
      </w:r>
      <w:r>
        <w:rPr>
          <w:rFonts w:ascii="Arial" w:eastAsia="Arial" w:hAnsi="Arial" w:cs="Arial"/>
          <w:lang w:val="ru-RU"/>
        </w:rPr>
        <w:t xml:space="preserve">В </w:t>
      </w:r>
      <w:r w:rsidR="00A64D28">
        <w:rPr>
          <w:rFonts w:ascii="Arial" w:eastAsia="Arial" w:hAnsi="Arial" w:cs="Arial"/>
          <w:lang w:val="ru-RU"/>
        </w:rPr>
        <w:t>отношении ЛУИН, как отмечено в модуле, принимаются программные данные ГФ/ПРООН в 17400 человек.</w:t>
      </w:r>
      <w:r w:rsidRPr="00720297">
        <w:rPr>
          <w:lang w:val="ru"/>
        </w:rPr>
        <w:t xml:space="preserve"> По трансгендерным людям официальных данных не существует. Среднегодовое число заключенных в пенитенциарной системе Кыргызстана составляет около 6</w:t>
      </w:r>
      <w:r>
        <w:rPr>
          <w:lang w:val="ru"/>
        </w:rPr>
        <w:t>,</w:t>
      </w:r>
      <w:r w:rsidRPr="00720297">
        <w:rPr>
          <w:lang w:val="ru"/>
        </w:rPr>
        <w:t>000 человек.</w:t>
      </w:r>
    </w:p>
    <w:p w14:paraId="23D2303D" w14:textId="77777777" w:rsidR="000169CB" w:rsidRPr="00720297" w:rsidRDefault="000169CB" w:rsidP="000169CB">
      <w:pPr>
        <w:widowControl w:val="0"/>
        <w:spacing w:line="240" w:lineRule="auto"/>
        <w:jc w:val="both"/>
        <w:rPr>
          <w:lang w:val="ru"/>
        </w:rPr>
      </w:pPr>
      <w:r w:rsidRPr="00720297">
        <w:rPr>
          <w:lang w:val="ru"/>
        </w:rPr>
        <w:t>Реализация мер по борьбе с ВИЧ-инфекцией осуществлялась в соответствии с Программой Правительства на 2017 - 2021 гг.</w:t>
      </w:r>
      <w:r w:rsidRPr="00BD7ECF">
        <w:rPr>
          <w:sz w:val="20"/>
          <w:szCs w:val="20"/>
          <w:vertAlign w:val="superscript"/>
          <w:lang w:val="ru"/>
        </w:rPr>
        <w:footnoteReference w:id="46"/>
      </w:r>
      <w:r w:rsidRPr="00BD7ECF">
        <w:rPr>
          <w:sz w:val="20"/>
          <w:szCs w:val="20"/>
          <w:vertAlign w:val="superscript"/>
          <w:lang w:val="ru"/>
        </w:rPr>
        <w:t>.</w:t>
      </w:r>
      <w:r w:rsidRPr="00720297">
        <w:rPr>
          <w:lang w:val="ru"/>
        </w:rPr>
        <w:t xml:space="preserve"> В настоящее время подготавливается к утверждению очередная Программа Кабинета Министров по преодолению ВИЧ-инфекции на 2023-2027 гг., которая объединена с программой по гемоконтактным вирусным гепатитам.</w:t>
      </w:r>
    </w:p>
    <w:p w14:paraId="5191557F" w14:textId="77777777" w:rsidR="000169CB" w:rsidRPr="00720297" w:rsidRDefault="000169CB" w:rsidP="000169CB">
      <w:pPr>
        <w:widowControl w:val="0"/>
        <w:spacing w:line="240" w:lineRule="auto"/>
        <w:jc w:val="both"/>
        <w:rPr>
          <w:lang w:val="ru"/>
        </w:rPr>
      </w:pPr>
      <w:r w:rsidRPr="00720297">
        <w:rPr>
          <w:lang w:val="ru"/>
        </w:rPr>
        <w:t>Мероприятия Программы нацелены, в первую очередь, на обеспечение всеобщего доступа к профилактике, лечению, уходу и поддержке для ЛЖВ и ключевых групп (ЛУН, СР, МСМ, ТГ, заключенные, мигранты) в соответствии с целями 95-95-95. Для достижения цели и задач, поставленных на период до 2027 года, будут предприняты целенаправленные действия в четырех стратегических направлениях:</w:t>
      </w:r>
    </w:p>
    <w:p w14:paraId="4F89D1F6" w14:textId="77777777" w:rsidR="000169CB" w:rsidRPr="00E24EAE" w:rsidRDefault="000169CB" w:rsidP="000169CB">
      <w:pPr>
        <w:pStyle w:val="af1"/>
        <w:widowControl w:val="0"/>
        <w:numPr>
          <w:ilvl w:val="0"/>
          <w:numId w:val="24"/>
        </w:numPr>
        <w:tabs>
          <w:tab w:val="left" w:pos="9639"/>
          <w:tab w:val="left" w:pos="10773"/>
        </w:tabs>
        <w:spacing w:after="160" w:line="240" w:lineRule="auto"/>
        <w:ind w:right="-2"/>
        <w:jc w:val="both"/>
        <w:rPr>
          <w:rFonts w:cstheme="minorHAnsi"/>
          <w:lang w:val="ru-RU"/>
        </w:rPr>
      </w:pPr>
      <w:r w:rsidRPr="00E24EAE">
        <w:rPr>
          <w:rFonts w:cstheme="minorHAnsi"/>
          <w:lang w:val="ru-RU"/>
        </w:rPr>
        <w:t>Обеспечение комплексного пакета услуг по диагностике, лечению, уходу и поддержке в связи с ВИЧ для всех нуждающихся ЛЖВ и лиц, подверженных наибольшему риску заражения ВИЧ;</w:t>
      </w:r>
    </w:p>
    <w:p w14:paraId="7548A8A0" w14:textId="77777777" w:rsidR="000169CB" w:rsidRPr="00E24EAE" w:rsidRDefault="000169CB" w:rsidP="000169CB">
      <w:pPr>
        <w:pStyle w:val="af1"/>
        <w:widowControl w:val="0"/>
        <w:numPr>
          <w:ilvl w:val="0"/>
          <w:numId w:val="24"/>
        </w:numPr>
        <w:tabs>
          <w:tab w:val="left" w:pos="9639"/>
          <w:tab w:val="left" w:pos="10773"/>
        </w:tabs>
        <w:spacing w:after="160" w:line="240" w:lineRule="auto"/>
        <w:ind w:right="-2"/>
        <w:jc w:val="both"/>
        <w:rPr>
          <w:rFonts w:cstheme="minorHAnsi"/>
          <w:lang w:val="ru-RU"/>
        </w:rPr>
      </w:pPr>
      <w:r w:rsidRPr="00E24EAE">
        <w:rPr>
          <w:rFonts w:cstheme="minorHAnsi"/>
          <w:lang w:val="ru-RU"/>
        </w:rPr>
        <w:t>Укрепление системы здравоохранения для обеспечения эффективных мер по прекращению эпидемии ВИЧ-инфекции;</w:t>
      </w:r>
    </w:p>
    <w:p w14:paraId="7F79EF4B" w14:textId="77777777" w:rsidR="000169CB" w:rsidRDefault="000169CB" w:rsidP="000169CB">
      <w:pPr>
        <w:pStyle w:val="af1"/>
        <w:widowControl w:val="0"/>
        <w:numPr>
          <w:ilvl w:val="0"/>
          <w:numId w:val="24"/>
        </w:numPr>
        <w:tabs>
          <w:tab w:val="left" w:pos="9639"/>
          <w:tab w:val="left" w:pos="10773"/>
        </w:tabs>
        <w:spacing w:after="160" w:line="240" w:lineRule="auto"/>
        <w:ind w:right="-2"/>
        <w:jc w:val="both"/>
        <w:rPr>
          <w:rFonts w:cstheme="minorHAnsi"/>
          <w:lang w:val="ru-RU"/>
        </w:rPr>
      </w:pPr>
      <w:r w:rsidRPr="00E24EAE">
        <w:rPr>
          <w:rFonts w:cstheme="minorHAnsi"/>
          <w:lang w:val="ru-RU"/>
        </w:rPr>
        <w:t>Создание благоприятных правовых и социальных условий для преодоления ВИЧ-инфекции;</w:t>
      </w:r>
    </w:p>
    <w:p w14:paraId="03DE031D" w14:textId="77777777" w:rsidR="000169CB" w:rsidRPr="00F73835" w:rsidRDefault="000169CB" w:rsidP="000169CB">
      <w:pPr>
        <w:pStyle w:val="af1"/>
        <w:widowControl w:val="0"/>
        <w:numPr>
          <w:ilvl w:val="0"/>
          <w:numId w:val="24"/>
        </w:numPr>
        <w:tabs>
          <w:tab w:val="left" w:pos="9639"/>
          <w:tab w:val="left" w:pos="10773"/>
        </w:tabs>
        <w:spacing w:after="160" w:line="240" w:lineRule="auto"/>
        <w:ind w:right="-2"/>
        <w:jc w:val="both"/>
        <w:rPr>
          <w:rFonts w:cstheme="minorHAnsi"/>
          <w:lang w:val="ru-RU"/>
        </w:rPr>
      </w:pPr>
      <w:r w:rsidRPr="00F73835">
        <w:rPr>
          <w:rFonts w:cstheme="minorHAnsi"/>
          <w:lang w:val="ru-RU"/>
        </w:rPr>
        <w:t xml:space="preserve">Обеспечение координации и устойчивости программ в связи с ВИЧ. </w:t>
      </w:r>
    </w:p>
    <w:p w14:paraId="772A348B" w14:textId="77777777" w:rsidR="000169CB" w:rsidRPr="001E023F" w:rsidRDefault="000169CB" w:rsidP="000169CB">
      <w:pPr>
        <w:widowControl w:val="0"/>
        <w:spacing w:line="240" w:lineRule="auto"/>
        <w:jc w:val="both"/>
        <w:rPr>
          <w:lang w:val="ru"/>
        </w:rPr>
      </w:pPr>
      <w:r w:rsidRPr="001E023F">
        <w:rPr>
          <w:lang w:val="ru"/>
        </w:rPr>
        <w:t>Такой подход позволит обеспечить максимальный эффект на всех уровнях оказания комплексных медицинских услуг, согласовывать деятельность сектора здравоохранения с другими государственными ведомствами и службами, с негосударственным сектором и сообществами людей, затронутых эпидемией ВИЧ, а также повысить эффективность международной технической и финансовой помощи.</w:t>
      </w:r>
    </w:p>
    <w:p w14:paraId="292E9D80" w14:textId="77777777" w:rsidR="000169CB" w:rsidRPr="001E023F" w:rsidRDefault="000169CB" w:rsidP="000169CB">
      <w:pPr>
        <w:widowControl w:val="0"/>
        <w:spacing w:line="240" w:lineRule="auto"/>
        <w:jc w:val="both"/>
        <w:rPr>
          <w:lang w:val="ru"/>
        </w:rPr>
      </w:pPr>
      <w:r w:rsidRPr="001E023F">
        <w:rPr>
          <w:lang w:val="ru"/>
        </w:rPr>
        <w:t>Кроме этого, в 2018 году Правительством КР была утверждена новая Программа развития здравоохранения на период 2019-2030 гг., включая пятилетний план мероприятий на период 2019-2023 гг. В данной программе предполагаются мероприятия по нескольким направлениям, в том числе и снижение показателей заболеваемости и инвалидности (первичной и вторичной) с фокусом на социально-значимые заболевания, среди которых снижение уровня заболеваемости ВИЧ</w:t>
      </w:r>
      <w:r w:rsidRPr="00FF3C0F">
        <w:rPr>
          <w:sz w:val="20"/>
          <w:szCs w:val="20"/>
          <w:vertAlign w:val="superscript"/>
          <w:lang w:val="ru"/>
        </w:rPr>
        <w:footnoteReference w:id="47"/>
      </w:r>
      <w:r w:rsidRPr="001E023F">
        <w:rPr>
          <w:lang w:val="ru"/>
        </w:rPr>
        <w:t xml:space="preserve">. </w:t>
      </w:r>
    </w:p>
    <w:p w14:paraId="7C5D0BA4" w14:textId="77777777" w:rsidR="000169CB" w:rsidRPr="001E023F" w:rsidRDefault="000169CB" w:rsidP="000169CB">
      <w:pPr>
        <w:widowControl w:val="0"/>
        <w:spacing w:line="240" w:lineRule="auto"/>
        <w:jc w:val="both"/>
        <w:rPr>
          <w:lang w:val="ru"/>
        </w:rPr>
      </w:pPr>
      <w:r w:rsidRPr="001E023F">
        <w:rPr>
          <w:lang w:val="ru"/>
        </w:rPr>
        <w:t>В соответствии с рекомендациями ВОЗ пересмотрены национальные протоколы лечения и в 2022 году более 82% ЛЖВ перешли на схемы с долутегравиром (25% в 2019 г.) В стране зарегистрирован широкий спектр АРВ-препаратов, что позволяет достигать оптимальной цены при государственных закупках. Благодаря выстроенной системе управления запасами АРВ-препаратов, появилась возможность обеспечивать пациентов с ВИЧ препаратами на 3 и 6 месяцев, а для пациентов, находящихся во внешней миграции</w:t>
      </w:r>
      <w:r>
        <w:rPr>
          <w:lang w:val="ru"/>
        </w:rPr>
        <w:t>,</w:t>
      </w:r>
      <w:r w:rsidRPr="001E023F">
        <w:rPr>
          <w:lang w:val="ru"/>
        </w:rPr>
        <w:t xml:space="preserve"> – на 12 месяцев. Внедрен механизм дистанционного оказания услуг по лечению ВИЧ среди граждан, выявленных за пределами страны, включая доставку АРВ-</w:t>
      </w:r>
      <w:r w:rsidRPr="001E023F">
        <w:rPr>
          <w:lang w:val="ru"/>
        </w:rPr>
        <w:lastRenderedPageBreak/>
        <w:t xml:space="preserve">препаратов через курьерские службы. </w:t>
      </w:r>
    </w:p>
    <w:p w14:paraId="1894921C" w14:textId="77777777" w:rsidR="000169CB" w:rsidRPr="001E023F" w:rsidRDefault="000169CB" w:rsidP="000169CB">
      <w:pPr>
        <w:widowControl w:val="0"/>
        <w:spacing w:line="240" w:lineRule="auto"/>
        <w:jc w:val="both"/>
        <w:rPr>
          <w:lang w:val="ru"/>
        </w:rPr>
      </w:pPr>
      <w:r w:rsidRPr="001E023F">
        <w:rPr>
          <w:lang w:val="ru"/>
        </w:rPr>
        <w:t xml:space="preserve">Улучшена инфраструктура для проведения лабораторных исследований, и в 2022 году все базовые исследования (вирусная нагрузка, количество лимфоцитов CD4, определение вирусной ДНК при ранней диагностике ВИЧ) доступны на областном уровне. </w:t>
      </w:r>
    </w:p>
    <w:p w14:paraId="16B5F5A5" w14:textId="77777777" w:rsidR="000169CB" w:rsidRPr="001E023F" w:rsidRDefault="000169CB" w:rsidP="000169CB">
      <w:pPr>
        <w:widowControl w:val="0"/>
        <w:spacing w:line="240" w:lineRule="auto"/>
        <w:jc w:val="both"/>
        <w:rPr>
          <w:lang w:val="ru"/>
        </w:rPr>
      </w:pPr>
      <w:r w:rsidRPr="001E023F">
        <w:rPr>
          <w:lang w:val="ru"/>
        </w:rPr>
        <w:t>За счет средств государственного бюджета лечение вирусного гепатита С предоставлено 500 ЛЖВ с сочетанной инфекцией ВИЧ и ВГС, реализуется кампания по охвату всех ЛЖВ вакцинацией против вируса гепатита В.</w:t>
      </w:r>
    </w:p>
    <w:p w14:paraId="5D9D7AA1" w14:textId="77777777" w:rsidR="000169CB" w:rsidRPr="001E023F" w:rsidRDefault="000169CB" w:rsidP="000169CB">
      <w:pPr>
        <w:widowControl w:val="0"/>
        <w:spacing w:line="240" w:lineRule="auto"/>
        <w:jc w:val="both"/>
        <w:rPr>
          <w:lang w:val="ru"/>
        </w:rPr>
      </w:pPr>
      <w:r w:rsidRPr="001E023F">
        <w:rPr>
          <w:lang w:val="ru"/>
        </w:rPr>
        <w:t>Профилактические программы для ключевых групп населения, включая программы снижения вреда, остаются одним из важных компонентов в комплексных мерах по противодействию эпидемии ВИЧ в Кыргызстане. В 2022 году в республике действовало 24 пункта ПТАО, функционировали ПОШ при НПО и в пенитенциарной системе, 15 НПО предоставляли услуги для ЛУИН, РС, МСМ, ЛЖВ, действовали 2 центра для ЛЖВ и ключевых групп. Тестированием, услугами снижения вреда, программами ухода и поддержки охвачено более 30</w:t>
      </w:r>
      <w:r>
        <w:rPr>
          <w:lang w:val="ru"/>
        </w:rPr>
        <w:t>,</w:t>
      </w:r>
      <w:r w:rsidRPr="001E023F">
        <w:rPr>
          <w:lang w:val="ru"/>
        </w:rPr>
        <w:t xml:space="preserve">000 представителей КГН и ЛЖВ. Данная деятельность осуществлялась за счет средств ГФ, при этом с 2019 года продолжается деятельность по уходу и поддержке ЛЖВ с использованием механизмов государственного социального заказа. </w:t>
      </w:r>
    </w:p>
    <w:p w14:paraId="7D765B76" w14:textId="77777777" w:rsidR="000169CB" w:rsidRPr="001E023F" w:rsidRDefault="000169CB" w:rsidP="000169CB">
      <w:pPr>
        <w:widowControl w:val="0"/>
        <w:spacing w:line="240" w:lineRule="auto"/>
        <w:jc w:val="both"/>
        <w:rPr>
          <w:lang w:val="ru"/>
        </w:rPr>
      </w:pPr>
      <w:r w:rsidRPr="001E023F">
        <w:rPr>
          <w:lang w:val="ru"/>
        </w:rPr>
        <w:t>В 2022 году обновлен клинический протокол по доконтактной профилактике ВИЧ-инфекции (ДКП), в котором предусмотрены ежедневный и ситуативный режимы. Охват ДКП по итогам 2022 года увеличился до 280 человек.</w:t>
      </w:r>
    </w:p>
    <w:p w14:paraId="409FAA10" w14:textId="77777777" w:rsidR="000169CB" w:rsidRPr="001E023F" w:rsidRDefault="000169CB" w:rsidP="000169CB">
      <w:pPr>
        <w:widowControl w:val="0"/>
        <w:spacing w:line="240" w:lineRule="auto"/>
        <w:jc w:val="both"/>
        <w:rPr>
          <w:lang w:val="ru"/>
        </w:rPr>
      </w:pPr>
      <w:r w:rsidRPr="001E023F">
        <w:rPr>
          <w:lang w:val="ru"/>
        </w:rPr>
        <w:t xml:space="preserve">Реализуется разработка онлайн (облачной) версии системы электронного слежения за ВИЧ, а также инициирован процесс разработки единой информационной системы для профилактических программ по ВИЧ, что позволит интегрировать разрозненные базы данных и совершенствовать систему учета и, соответственно, возможность мониторинга количества и качества услуг для ЛЖВ, сократить дублирование медицинских услуг и повысить качество данных. </w:t>
      </w:r>
    </w:p>
    <w:p w14:paraId="3F0D3A0C" w14:textId="77777777" w:rsidR="0030100B" w:rsidRPr="000169CB" w:rsidRDefault="0030100B" w:rsidP="00DD5017">
      <w:pPr>
        <w:pStyle w:val="a1"/>
        <w:widowControl w:val="0"/>
        <w:spacing w:line="240" w:lineRule="auto"/>
        <w:ind w:right="-2"/>
        <w:jc w:val="both"/>
        <w:rPr>
          <w:bCs/>
          <w:color w:val="000000" w:themeColor="text1"/>
          <w:lang w:val="ru-RU"/>
        </w:rPr>
      </w:pPr>
    </w:p>
    <w:p w14:paraId="35FBA493" w14:textId="3E8076F8" w:rsidR="009F051F" w:rsidRDefault="009F051F" w:rsidP="00DD5017">
      <w:pPr>
        <w:pStyle w:val="a1"/>
        <w:widowControl w:val="0"/>
        <w:spacing w:line="240" w:lineRule="auto"/>
        <w:jc w:val="both"/>
        <w:rPr>
          <w:b/>
          <w:bCs/>
          <w:color w:val="000000" w:themeColor="text1"/>
          <w:lang w:val="ru-RU"/>
        </w:rPr>
      </w:pPr>
      <w:r w:rsidRPr="009F051F">
        <w:rPr>
          <w:b/>
          <w:bCs/>
          <w:color w:val="000000" w:themeColor="text1"/>
          <w:lang w:val="ru-RU"/>
        </w:rPr>
        <w:t>ТБ</w:t>
      </w:r>
    </w:p>
    <w:p w14:paraId="771EABAB" w14:textId="77777777" w:rsidR="00086663" w:rsidRPr="005567E5" w:rsidRDefault="00086663" w:rsidP="00DD5017">
      <w:pPr>
        <w:widowControl w:val="0"/>
        <w:spacing w:line="240" w:lineRule="auto"/>
        <w:jc w:val="both"/>
        <w:rPr>
          <w:b/>
          <w:bCs/>
          <w:iCs/>
          <w:lang w:val="ru-RU"/>
        </w:rPr>
      </w:pPr>
      <w:r w:rsidRPr="00435425">
        <w:rPr>
          <w:b/>
          <w:bCs/>
          <w:iCs/>
          <w:lang w:val="ru"/>
        </w:rPr>
        <w:t>Выявление случаев заболевания туберкулезом</w:t>
      </w:r>
      <w:r>
        <w:rPr>
          <w:b/>
          <w:bCs/>
          <w:iCs/>
          <w:lang w:val="ru"/>
        </w:rPr>
        <w:t>, систематический скрининг и профилактическое лечение туберкулеза</w:t>
      </w:r>
    </w:p>
    <w:p w14:paraId="6EACB26F" w14:textId="4C3B2FED" w:rsidR="00086663" w:rsidRPr="00DE1713" w:rsidRDefault="00086663" w:rsidP="00DD5017">
      <w:pPr>
        <w:pStyle w:val="a1"/>
        <w:widowControl w:val="0"/>
        <w:spacing w:line="240" w:lineRule="auto"/>
        <w:jc w:val="both"/>
        <w:rPr>
          <w:sz w:val="22"/>
          <w:szCs w:val="20"/>
          <w:lang w:val="ru-RU"/>
        </w:rPr>
      </w:pPr>
      <w:r w:rsidRPr="00DE1713">
        <w:rPr>
          <w:sz w:val="22"/>
          <w:szCs w:val="20"/>
          <w:lang w:val="ru-RU"/>
        </w:rPr>
        <w:t xml:space="preserve">Выявление случаев заболевания туберкулезом в основном осуществляется в государственных противотуберкулезных службах и учреждениях ПМСП (Центры семейной медицины (ЦСМ) и Центры врачей общей практики (ЦВОП)). Сотрудники ПМСП заполняют данные о людях с предполагаемым туберкулезом (кашель более 2 недель). </w:t>
      </w:r>
      <w:r w:rsidR="00A73A97" w:rsidRPr="00A73A97">
        <w:rPr>
          <w:sz w:val="22"/>
          <w:szCs w:val="20"/>
          <w:lang w:val="ru-RU"/>
        </w:rPr>
        <w:t>В 2021 году были обследованы: с помощью микроскопии 12</w:t>
      </w:r>
      <w:r w:rsidR="00A73A97">
        <w:rPr>
          <w:sz w:val="22"/>
          <w:szCs w:val="20"/>
          <w:lang w:val="ru-RU"/>
        </w:rPr>
        <w:t>,</w:t>
      </w:r>
      <w:r w:rsidR="00A73A97" w:rsidRPr="00A73A97">
        <w:rPr>
          <w:sz w:val="22"/>
          <w:szCs w:val="20"/>
          <w:lang w:val="ru-RU"/>
        </w:rPr>
        <w:t>413 чел., с помощью молекулярно-генетической экспресс-диагностики (Xpert) 13</w:t>
      </w:r>
      <w:r w:rsidR="00A73A97">
        <w:rPr>
          <w:sz w:val="22"/>
          <w:szCs w:val="20"/>
          <w:lang w:val="ru-RU"/>
        </w:rPr>
        <w:t>,</w:t>
      </w:r>
      <w:r w:rsidR="00A73A97" w:rsidRPr="00A73A97">
        <w:rPr>
          <w:sz w:val="22"/>
          <w:szCs w:val="20"/>
          <w:lang w:val="ru-RU"/>
        </w:rPr>
        <w:t>594 чел. Диагноз туберкулеза (все формы) установлен у 5</w:t>
      </w:r>
      <w:r w:rsidR="00A73A97">
        <w:rPr>
          <w:sz w:val="22"/>
          <w:szCs w:val="20"/>
          <w:lang w:val="ru-RU"/>
        </w:rPr>
        <w:t>,</w:t>
      </w:r>
      <w:r w:rsidR="00A73A97" w:rsidRPr="00A73A97">
        <w:rPr>
          <w:sz w:val="22"/>
          <w:szCs w:val="20"/>
          <w:lang w:val="ru-RU"/>
        </w:rPr>
        <w:t>199 чел.</w:t>
      </w:r>
      <w:r w:rsidRPr="00DE1713">
        <w:rPr>
          <w:sz w:val="22"/>
          <w:szCs w:val="20"/>
          <w:lang w:val="ru-RU"/>
        </w:rPr>
        <w:t xml:space="preserve"> (</w:t>
      </w:r>
      <w:r w:rsidRPr="00DE1713">
        <w:rPr>
          <w:sz w:val="22"/>
          <w:szCs w:val="20"/>
          <w:lang w:val="ru-RU"/>
        </w:rPr>
        <w:fldChar w:fldCharType="begin"/>
      </w:r>
      <w:r w:rsidRPr="00DE1713">
        <w:rPr>
          <w:sz w:val="22"/>
          <w:szCs w:val="20"/>
          <w:lang w:val="ru-RU"/>
        </w:rPr>
        <w:instrText xml:space="preserve"> REF _Ref123854618 \h  \* MERGEFORMAT </w:instrText>
      </w:r>
      <w:r w:rsidRPr="00DE1713">
        <w:rPr>
          <w:sz w:val="22"/>
          <w:szCs w:val="20"/>
          <w:lang w:val="ru-RU"/>
        </w:rPr>
      </w:r>
      <w:r w:rsidRPr="00DE1713">
        <w:rPr>
          <w:sz w:val="22"/>
          <w:szCs w:val="20"/>
          <w:lang w:val="ru-RU"/>
        </w:rPr>
        <w:fldChar w:fldCharType="separate"/>
      </w:r>
      <w:r w:rsidRPr="00DE1713">
        <w:rPr>
          <w:sz w:val="22"/>
          <w:szCs w:val="20"/>
          <w:lang w:val="ru-RU"/>
        </w:rPr>
        <w:t>Таблица 1</w:t>
      </w:r>
      <w:r w:rsidRPr="00DE1713">
        <w:rPr>
          <w:sz w:val="22"/>
          <w:szCs w:val="20"/>
          <w:lang w:val="ru-RU"/>
        </w:rPr>
        <w:fldChar w:fldCharType="end"/>
      </w:r>
      <w:r w:rsidRPr="00DE1713">
        <w:rPr>
          <w:sz w:val="22"/>
          <w:szCs w:val="20"/>
          <w:lang w:val="ru-RU"/>
        </w:rPr>
        <w:t xml:space="preserve">). </w:t>
      </w:r>
    </w:p>
    <w:p w14:paraId="72463B24" w14:textId="77777777" w:rsidR="00086663" w:rsidRPr="005567E5" w:rsidRDefault="00086663" w:rsidP="00DD5017">
      <w:pPr>
        <w:pStyle w:val="afff"/>
        <w:keepNext w:val="0"/>
        <w:widowControl w:val="0"/>
        <w:jc w:val="both"/>
        <w:rPr>
          <w:lang w:val="ru-RU"/>
        </w:rPr>
      </w:pPr>
      <w:bookmarkStart w:id="5" w:name="_Ref123854618"/>
      <w:r>
        <w:rPr>
          <w:lang w:val="ru"/>
        </w:rPr>
        <w:t xml:space="preserve">Таблица </w:t>
      </w:r>
      <w:r>
        <w:rPr>
          <w:lang w:val="ru"/>
        </w:rPr>
        <w:fldChar w:fldCharType="begin"/>
      </w:r>
      <w:r>
        <w:rPr>
          <w:lang w:val="ru"/>
        </w:rPr>
        <w:instrText xml:space="preserve"> SEQ Table \* ARABIC </w:instrText>
      </w:r>
      <w:r>
        <w:rPr>
          <w:lang w:val="ru"/>
        </w:rPr>
        <w:fldChar w:fldCharType="separate"/>
      </w:r>
      <w:r>
        <w:rPr>
          <w:noProof/>
          <w:lang w:val="ru"/>
        </w:rPr>
        <w:t>1</w:t>
      </w:r>
      <w:r>
        <w:rPr>
          <w:noProof/>
          <w:lang w:val="ru"/>
        </w:rPr>
        <w:fldChar w:fldCharType="end"/>
      </w:r>
      <w:bookmarkEnd w:id="5"/>
      <w:r>
        <w:rPr>
          <w:lang w:val="ru"/>
        </w:rPr>
        <w:t>. Число людей с предполагаемым туберкулезом, протестированных и диагностированных с туберкулезом, Кыргызстан, 2016-2021 гг.</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1385"/>
        <w:gridCol w:w="1385"/>
        <w:gridCol w:w="1387"/>
        <w:gridCol w:w="1388"/>
        <w:gridCol w:w="1443"/>
        <w:gridCol w:w="1384"/>
      </w:tblGrid>
      <w:tr w:rsidR="00DD5017" w:rsidRPr="00DD5017" w14:paraId="42B604CF" w14:textId="77777777" w:rsidTr="00DD5017">
        <w:tc>
          <w:tcPr>
            <w:tcW w:w="878" w:type="pct"/>
            <w:shd w:val="clear" w:color="auto" w:fill="D9D9D9" w:themeFill="background1" w:themeFillShade="D9"/>
          </w:tcPr>
          <w:p w14:paraId="0B57C6CC" w14:textId="77777777" w:rsidR="00086663" w:rsidRPr="00DD5017" w:rsidRDefault="00086663" w:rsidP="00DD5017">
            <w:pPr>
              <w:pStyle w:val="af3"/>
              <w:widowControl w:val="0"/>
              <w:suppressAutoHyphens/>
              <w:rPr>
                <w:rFonts w:cstheme="minorHAnsi"/>
                <w:b/>
                <w:bCs/>
                <w:sz w:val="20"/>
                <w:szCs w:val="20"/>
              </w:rPr>
            </w:pPr>
            <w:bookmarkStart w:id="6" w:name="_Hlk123853920"/>
            <w:r w:rsidRPr="00DD5017">
              <w:rPr>
                <w:rFonts w:cstheme="minorHAnsi"/>
                <w:b/>
                <w:bCs/>
                <w:sz w:val="20"/>
                <w:szCs w:val="20"/>
                <w:lang w:val="ru"/>
              </w:rPr>
              <w:t>География</w:t>
            </w:r>
          </w:p>
        </w:tc>
        <w:tc>
          <w:tcPr>
            <w:tcW w:w="685" w:type="pct"/>
            <w:shd w:val="clear" w:color="auto" w:fill="D9D9D9" w:themeFill="background1" w:themeFillShade="D9"/>
          </w:tcPr>
          <w:p w14:paraId="4172372F" w14:textId="77777777" w:rsidR="00086663" w:rsidRPr="00DD5017" w:rsidRDefault="00086663" w:rsidP="00DD5017">
            <w:pPr>
              <w:pStyle w:val="af3"/>
              <w:widowControl w:val="0"/>
              <w:suppressAutoHyphens/>
              <w:jc w:val="center"/>
              <w:rPr>
                <w:rFonts w:cstheme="minorHAnsi"/>
                <w:b/>
                <w:bCs/>
                <w:sz w:val="20"/>
                <w:szCs w:val="20"/>
              </w:rPr>
            </w:pPr>
            <w:r w:rsidRPr="00DD5017">
              <w:rPr>
                <w:rFonts w:cstheme="minorHAnsi"/>
                <w:b/>
                <w:bCs/>
                <w:sz w:val="20"/>
                <w:szCs w:val="20"/>
                <w:lang w:val="ru"/>
              </w:rPr>
              <w:t>2016</w:t>
            </w:r>
          </w:p>
        </w:tc>
        <w:tc>
          <w:tcPr>
            <w:tcW w:w="685" w:type="pct"/>
            <w:shd w:val="clear" w:color="auto" w:fill="D9D9D9" w:themeFill="background1" w:themeFillShade="D9"/>
          </w:tcPr>
          <w:p w14:paraId="55BBCCF5" w14:textId="77777777" w:rsidR="00086663" w:rsidRPr="00DD5017" w:rsidRDefault="00086663" w:rsidP="00DD5017">
            <w:pPr>
              <w:pStyle w:val="af3"/>
              <w:widowControl w:val="0"/>
              <w:suppressAutoHyphens/>
              <w:jc w:val="center"/>
              <w:rPr>
                <w:rFonts w:cstheme="minorHAnsi"/>
                <w:b/>
                <w:bCs/>
                <w:sz w:val="20"/>
                <w:szCs w:val="20"/>
              </w:rPr>
            </w:pPr>
            <w:r w:rsidRPr="00DD5017">
              <w:rPr>
                <w:rFonts w:cstheme="minorHAnsi"/>
                <w:b/>
                <w:bCs/>
                <w:sz w:val="20"/>
                <w:szCs w:val="20"/>
                <w:lang w:val="ru"/>
              </w:rPr>
              <w:t>2017</w:t>
            </w:r>
          </w:p>
        </w:tc>
        <w:tc>
          <w:tcPr>
            <w:tcW w:w="686" w:type="pct"/>
            <w:shd w:val="clear" w:color="auto" w:fill="D9D9D9" w:themeFill="background1" w:themeFillShade="D9"/>
          </w:tcPr>
          <w:p w14:paraId="20B2A667" w14:textId="77777777" w:rsidR="00086663" w:rsidRPr="00DD5017" w:rsidRDefault="00086663" w:rsidP="00DD5017">
            <w:pPr>
              <w:pStyle w:val="af3"/>
              <w:widowControl w:val="0"/>
              <w:suppressAutoHyphens/>
              <w:jc w:val="center"/>
              <w:rPr>
                <w:rFonts w:cstheme="minorHAnsi"/>
                <w:b/>
                <w:bCs/>
                <w:sz w:val="20"/>
                <w:szCs w:val="20"/>
              </w:rPr>
            </w:pPr>
            <w:r w:rsidRPr="00DD5017">
              <w:rPr>
                <w:rFonts w:cstheme="minorHAnsi"/>
                <w:b/>
                <w:bCs/>
                <w:sz w:val="20"/>
                <w:szCs w:val="20"/>
                <w:lang w:val="ru"/>
              </w:rPr>
              <w:t>2018</w:t>
            </w:r>
          </w:p>
        </w:tc>
        <w:tc>
          <w:tcPr>
            <w:tcW w:w="686" w:type="pct"/>
            <w:shd w:val="clear" w:color="auto" w:fill="D9D9D9" w:themeFill="background1" w:themeFillShade="D9"/>
          </w:tcPr>
          <w:p w14:paraId="00A67744" w14:textId="77777777" w:rsidR="00086663" w:rsidRPr="00DD5017" w:rsidRDefault="00086663" w:rsidP="00DD5017">
            <w:pPr>
              <w:pStyle w:val="af3"/>
              <w:widowControl w:val="0"/>
              <w:suppressAutoHyphens/>
              <w:jc w:val="center"/>
              <w:rPr>
                <w:rFonts w:cstheme="minorHAnsi"/>
                <w:b/>
                <w:bCs/>
                <w:sz w:val="20"/>
                <w:szCs w:val="20"/>
              </w:rPr>
            </w:pPr>
            <w:r w:rsidRPr="00DD5017">
              <w:rPr>
                <w:rFonts w:cstheme="minorHAnsi"/>
                <w:b/>
                <w:bCs/>
                <w:sz w:val="20"/>
                <w:szCs w:val="20"/>
                <w:lang w:val="ru"/>
              </w:rPr>
              <w:t>2019</w:t>
            </w:r>
          </w:p>
        </w:tc>
        <w:tc>
          <w:tcPr>
            <w:tcW w:w="713" w:type="pct"/>
            <w:shd w:val="clear" w:color="auto" w:fill="D9D9D9" w:themeFill="background1" w:themeFillShade="D9"/>
          </w:tcPr>
          <w:p w14:paraId="0D3A27E0" w14:textId="77777777" w:rsidR="00086663" w:rsidRPr="00DD5017" w:rsidRDefault="00086663" w:rsidP="00DD5017">
            <w:pPr>
              <w:pStyle w:val="af3"/>
              <w:widowControl w:val="0"/>
              <w:suppressAutoHyphens/>
              <w:jc w:val="center"/>
              <w:rPr>
                <w:rFonts w:cstheme="minorHAnsi"/>
                <w:b/>
                <w:bCs/>
                <w:sz w:val="20"/>
                <w:szCs w:val="20"/>
              </w:rPr>
            </w:pPr>
            <w:r w:rsidRPr="00DD5017">
              <w:rPr>
                <w:rFonts w:cstheme="minorHAnsi"/>
                <w:b/>
                <w:bCs/>
                <w:sz w:val="20"/>
                <w:szCs w:val="20"/>
                <w:lang w:val="ru"/>
              </w:rPr>
              <w:t>2020</w:t>
            </w:r>
          </w:p>
        </w:tc>
        <w:tc>
          <w:tcPr>
            <w:tcW w:w="667" w:type="pct"/>
            <w:shd w:val="clear" w:color="auto" w:fill="D9D9D9" w:themeFill="background1" w:themeFillShade="D9"/>
          </w:tcPr>
          <w:p w14:paraId="0B186A63" w14:textId="77777777" w:rsidR="00086663" w:rsidRPr="00DD5017" w:rsidRDefault="00086663" w:rsidP="00DD5017">
            <w:pPr>
              <w:pStyle w:val="af3"/>
              <w:widowControl w:val="0"/>
              <w:suppressAutoHyphens/>
              <w:jc w:val="center"/>
              <w:rPr>
                <w:rFonts w:cstheme="minorHAnsi"/>
                <w:b/>
                <w:bCs/>
                <w:sz w:val="20"/>
                <w:szCs w:val="20"/>
                <w:lang w:val="ru"/>
              </w:rPr>
            </w:pPr>
            <w:r w:rsidRPr="00DD5017">
              <w:rPr>
                <w:rFonts w:cstheme="minorHAnsi"/>
                <w:b/>
                <w:bCs/>
                <w:sz w:val="20"/>
                <w:szCs w:val="20"/>
                <w:lang w:val="ru"/>
              </w:rPr>
              <w:t>2021*</w:t>
            </w:r>
          </w:p>
        </w:tc>
      </w:tr>
      <w:tr w:rsidR="007E6536" w:rsidRPr="00DD5017" w14:paraId="7BD07D4D" w14:textId="77777777" w:rsidTr="00DD5017">
        <w:trPr>
          <w:trHeight w:val="20"/>
        </w:trPr>
        <w:tc>
          <w:tcPr>
            <w:tcW w:w="878" w:type="pct"/>
          </w:tcPr>
          <w:p w14:paraId="5BE35B2B" w14:textId="77777777" w:rsidR="00086663" w:rsidRPr="00DD5017" w:rsidRDefault="00086663" w:rsidP="00DD5017">
            <w:pPr>
              <w:pStyle w:val="af3"/>
              <w:widowControl w:val="0"/>
              <w:suppressAutoHyphens/>
              <w:rPr>
                <w:rFonts w:cstheme="minorHAnsi"/>
                <w:sz w:val="20"/>
                <w:szCs w:val="20"/>
              </w:rPr>
            </w:pPr>
            <w:r w:rsidRPr="00DD5017">
              <w:rPr>
                <w:rFonts w:cstheme="minorHAnsi"/>
                <w:sz w:val="20"/>
                <w:szCs w:val="20"/>
                <w:lang w:val="ru"/>
              </w:rPr>
              <w:t>г. Бишкек</w:t>
            </w:r>
          </w:p>
        </w:tc>
        <w:tc>
          <w:tcPr>
            <w:tcW w:w="685" w:type="pct"/>
          </w:tcPr>
          <w:p w14:paraId="3C2D5A3C" w14:textId="296C84E1"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2</w:t>
            </w:r>
            <w:r w:rsidR="00A73A97" w:rsidRPr="00DD5017">
              <w:rPr>
                <w:rFonts w:cstheme="minorHAnsi"/>
                <w:sz w:val="20"/>
                <w:szCs w:val="20"/>
                <w:lang w:val="ru"/>
              </w:rPr>
              <w:t>,</w:t>
            </w:r>
            <w:r w:rsidRPr="00DD5017">
              <w:rPr>
                <w:rFonts w:cstheme="minorHAnsi"/>
                <w:sz w:val="20"/>
                <w:szCs w:val="20"/>
                <w:lang w:val="ru"/>
              </w:rPr>
              <w:t>078/1</w:t>
            </w:r>
            <w:r w:rsidR="00A73A97" w:rsidRPr="00DD5017">
              <w:rPr>
                <w:rFonts w:cstheme="minorHAnsi"/>
                <w:sz w:val="20"/>
                <w:szCs w:val="20"/>
                <w:lang w:val="ru"/>
              </w:rPr>
              <w:t>,</w:t>
            </w:r>
            <w:r w:rsidRPr="00DD5017">
              <w:rPr>
                <w:rFonts w:cstheme="minorHAnsi"/>
                <w:sz w:val="20"/>
                <w:szCs w:val="20"/>
                <w:lang w:val="ru"/>
              </w:rPr>
              <w:t>286</w:t>
            </w:r>
          </w:p>
        </w:tc>
        <w:tc>
          <w:tcPr>
            <w:tcW w:w="685" w:type="pct"/>
          </w:tcPr>
          <w:p w14:paraId="32EB92EE" w14:textId="4E333A82"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2</w:t>
            </w:r>
            <w:r w:rsidR="00A73A97" w:rsidRPr="00DD5017">
              <w:rPr>
                <w:rFonts w:cstheme="minorHAnsi"/>
                <w:sz w:val="20"/>
                <w:szCs w:val="20"/>
                <w:lang w:val="ru"/>
              </w:rPr>
              <w:t>,</w:t>
            </w:r>
            <w:r w:rsidRPr="00DD5017">
              <w:rPr>
                <w:rFonts w:cstheme="minorHAnsi"/>
                <w:sz w:val="20"/>
                <w:szCs w:val="20"/>
                <w:lang w:val="ru"/>
              </w:rPr>
              <w:t>262/1</w:t>
            </w:r>
            <w:r w:rsidR="00A73A97" w:rsidRPr="00DD5017">
              <w:rPr>
                <w:rFonts w:cstheme="minorHAnsi"/>
                <w:sz w:val="20"/>
                <w:szCs w:val="20"/>
                <w:lang w:val="ru"/>
              </w:rPr>
              <w:t>,</w:t>
            </w:r>
            <w:r w:rsidRPr="00DD5017">
              <w:rPr>
                <w:rFonts w:cstheme="minorHAnsi"/>
                <w:sz w:val="20"/>
                <w:szCs w:val="20"/>
                <w:lang w:val="ru"/>
              </w:rPr>
              <w:t>249</w:t>
            </w:r>
          </w:p>
        </w:tc>
        <w:tc>
          <w:tcPr>
            <w:tcW w:w="686" w:type="pct"/>
          </w:tcPr>
          <w:p w14:paraId="127073DA" w14:textId="0D98F991"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1</w:t>
            </w:r>
            <w:r w:rsidR="00A73A97" w:rsidRPr="00DD5017">
              <w:rPr>
                <w:rFonts w:cstheme="minorHAnsi"/>
                <w:sz w:val="20"/>
                <w:szCs w:val="20"/>
                <w:lang w:val="ru"/>
              </w:rPr>
              <w:t>,</w:t>
            </w:r>
            <w:r w:rsidRPr="00DD5017">
              <w:rPr>
                <w:rFonts w:cstheme="minorHAnsi"/>
                <w:sz w:val="20"/>
                <w:szCs w:val="20"/>
                <w:lang w:val="ru"/>
              </w:rPr>
              <w:t>879/1</w:t>
            </w:r>
            <w:r w:rsidR="00A73A97" w:rsidRPr="00DD5017">
              <w:rPr>
                <w:rFonts w:cstheme="minorHAnsi"/>
                <w:sz w:val="20"/>
                <w:szCs w:val="20"/>
                <w:lang w:val="ru"/>
              </w:rPr>
              <w:t>,</w:t>
            </w:r>
            <w:r w:rsidRPr="00DD5017">
              <w:rPr>
                <w:rFonts w:cstheme="minorHAnsi"/>
                <w:sz w:val="20"/>
                <w:szCs w:val="20"/>
                <w:lang w:val="ru"/>
              </w:rPr>
              <w:t>219</w:t>
            </w:r>
          </w:p>
        </w:tc>
        <w:tc>
          <w:tcPr>
            <w:tcW w:w="686" w:type="pct"/>
          </w:tcPr>
          <w:p w14:paraId="7F193F4B" w14:textId="7AB548DA"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1</w:t>
            </w:r>
            <w:r w:rsidR="00A73A97" w:rsidRPr="00DD5017">
              <w:rPr>
                <w:rFonts w:cstheme="minorHAnsi"/>
                <w:sz w:val="20"/>
                <w:szCs w:val="20"/>
                <w:lang w:val="ru"/>
              </w:rPr>
              <w:t>,</w:t>
            </w:r>
            <w:r w:rsidRPr="00DD5017">
              <w:rPr>
                <w:rFonts w:cstheme="minorHAnsi"/>
                <w:sz w:val="20"/>
                <w:szCs w:val="20"/>
                <w:lang w:val="ru"/>
              </w:rPr>
              <w:t>795/1</w:t>
            </w:r>
            <w:r w:rsidR="00A73A97" w:rsidRPr="00DD5017">
              <w:rPr>
                <w:rFonts w:cstheme="minorHAnsi"/>
                <w:sz w:val="20"/>
                <w:szCs w:val="20"/>
                <w:lang w:val="ru"/>
              </w:rPr>
              <w:t>,</w:t>
            </w:r>
            <w:r w:rsidRPr="00DD5017">
              <w:rPr>
                <w:rFonts w:cstheme="minorHAnsi"/>
                <w:sz w:val="20"/>
                <w:szCs w:val="20"/>
                <w:lang w:val="ru"/>
              </w:rPr>
              <w:t>119</w:t>
            </w:r>
          </w:p>
        </w:tc>
        <w:tc>
          <w:tcPr>
            <w:tcW w:w="713" w:type="pct"/>
          </w:tcPr>
          <w:p w14:paraId="069E1CEE" w14:textId="38B0E6B6"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1</w:t>
            </w:r>
            <w:r w:rsidR="00A73A97" w:rsidRPr="00DD5017">
              <w:rPr>
                <w:rFonts w:cstheme="minorHAnsi"/>
                <w:sz w:val="20"/>
                <w:szCs w:val="20"/>
                <w:lang w:val="ru"/>
              </w:rPr>
              <w:t>,</w:t>
            </w:r>
            <w:r w:rsidRPr="00DD5017">
              <w:rPr>
                <w:rFonts w:cstheme="minorHAnsi"/>
                <w:sz w:val="20"/>
                <w:szCs w:val="20"/>
                <w:lang w:val="ru"/>
              </w:rPr>
              <w:t>308/716</w:t>
            </w:r>
          </w:p>
        </w:tc>
        <w:tc>
          <w:tcPr>
            <w:tcW w:w="667" w:type="pct"/>
          </w:tcPr>
          <w:p w14:paraId="7AC89386" w14:textId="1AB7CF16" w:rsidR="00086663" w:rsidRPr="00DD5017" w:rsidRDefault="00086663" w:rsidP="00DD5017">
            <w:pPr>
              <w:pStyle w:val="af3"/>
              <w:widowControl w:val="0"/>
              <w:suppressAutoHyphens/>
              <w:jc w:val="center"/>
              <w:rPr>
                <w:rFonts w:cstheme="minorHAnsi"/>
                <w:sz w:val="20"/>
                <w:szCs w:val="20"/>
                <w:lang w:val="ru"/>
              </w:rPr>
            </w:pPr>
            <w:r w:rsidRPr="00DD5017">
              <w:rPr>
                <w:rFonts w:cstheme="minorHAnsi"/>
                <w:sz w:val="20"/>
                <w:szCs w:val="20"/>
                <w:lang w:val="ru"/>
              </w:rPr>
              <w:t>1</w:t>
            </w:r>
            <w:r w:rsidR="00A73A97" w:rsidRPr="00DD5017">
              <w:rPr>
                <w:rFonts w:cstheme="minorHAnsi"/>
                <w:sz w:val="20"/>
                <w:szCs w:val="20"/>
                <w:lang w:val="ru"/>
              </w:rPr>
              <w:t>,</w:t>
            </w:r>
            <w:r w:rsidRPr="00DD5017">
              <w:rPr>
                <w:rFonts w:cstheme="minorHAnsi"/>
                <w:sz w:val="20"/>
                <w:szCs w:val="20"/>
                <w:lang w:val="ru"/>
              </w:rPr>
              <w:t>159/799</w:t>
            </w:r>
          </w:p>
        </w:tc>
      </w:tr>
      <w:tr w:rsidR="007E6536" w:rsidRPr="00DD5017" w14:paraId="14E884A9" w14:textId="77777777" w:rsidTr="00DD5017">
        <w:tc>
          <w:tcPr>
            <w:tcW w:w="878" w:type="pct"/>
          </w:tcPr>
          <w:p w14:paraId="0863FC78" w14:textId="77777777" w:rsidR="00086663" w:rsidRPr="00DD5017" w:rsidRDefault="00086663" w:rsidP="00DD5017">
            <w:pPr>
              <w:pStyle w:val="af3"/>
              <w:widowControl w:val="0"/>
              <w:suppressAutoHyphens/>
              <w:rPr>
                <w:rFonts w:cstheme="minorHAnsi"/>
                <w:sz w:val="20"/>
                <w:szCs w:val="20"/>
              </w:rPr>
            </w:pPr>
            <w:r w:rsidRPr="00DD5017">
              <w:rPr>
                <w:rFonts w:cstheme="minorHAnsi"/>
                <w:sz w:val="20"/>
                <w:szCs w:val="20"/>
                <w:lang w:val="ru"/>
              </w:rPr>
              <w:t>Чуйская область</w:t>
            </w:r>
          </w:p>
        </w:tc>
        <w:tc>
          <w:tcPr>
            <w:tcW w:w="685" w:type="pct"/>
          </w:tcPr>
          <w:p w14:paraId="7ED9470E" w14:textId="352C257D"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3</w:t>
            </w:r>
            <w:r w:rsidR="00A73A97" w:rsidRPr="00DD5017">
              <w:rPr>
                <w:rFonts w:cstheme="minorHAnsi"/>
                <w:sz w:val="20"/>
                <w:szCs w:val="20"/>
                <w:lang w:val="ru"/>
              </w:rPr>
              <w:t>,</w:t>
            </w:r>
            <w:r w:rsidRPr="00DD5017">
              <w:rPr>
                <w:rFonts w:cstheme="minorHAnsi"/>
                <w:sz w:val="20"/>
                <w:szCs w:val="20"/>
                <w:lang w:val="ru"/>
              </w:rPr>
              <w:t>005/1</w:t>
            </w:r>
            <w:r w:rsidR="00A73A97" w:rsidRPr="00DD5017">
              <w:rPr>
                <w:rFonts w:cstheme="minorHAnsi"/>
                <w:sz w:val="20"/>
                <w:szCs w:val="20"/>
                <w:lang w:val="ru"/>
              </w:rPr>
              <w:t>,</w:t>
            </w:r>
            <w:r w:rsidRPr="00DD5017">
              <w:rPr>
                <w:rFonts w:cstheme="minorHAnsi"/>
                <w:sz w:val="20"/>
                <w:szCs w:val="20"/>
                <w:lang w:val="ru"/>
              </w:rPr>
              <w:t>702</w:t>
            </w:r>
          </w:p>
        </w:tc>
        <w:tc>
          <w:tcPr>
            <w:tcW w:w="685" w:type="pct"/>
          </w:tcPr>
          <w:p w14:paraId="7087DE84" w14:textId="4FCAF299"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3</w:t>
            </w:r>
            <w:r w:rsidR="00A73A97" w:rsidRPr="00DD5017">
              <w:rPr>
                <w:rFonts w:cstheme="minorHAnsi"/>
                <w:sz w:val="20"/>
                <w:szCs w:val="20"/>
                <w:lang w:val="ru"/>
              </w:rPr>
              <w:t>,</w:t>
            </w:r>
            <w:r w:rsidRPr="00DD5017">
              <w:rPr>
                <w:rFonts w:cstheme="minorHAnsi"/>
                <w:sz w:val="20"/>
                <w:szCs w:val="20"/>
                <w:lang w:val="ru"/>
              </w:rPr>
              <w:t>930/1</w:t>
            </w:r>
            <w:r w:rsidR="00A73A97" w:rsidRPr="00DD5017">
              <w:rPr>
                <w:rFonts w:cstheme="minorHAnsi"/>
                <w:sz w:val="20"/>
                <w:szCs w:val="20"/>
                <w:lang w:val="ru"/>
              </w:rPr>
              <w:t>,</w:t>
            </w:r>
            <w:r w:rsidRPr="00DD5017">
              <w:rPr>
                <w:rFonts w:cstheme="minorHAnsi"/>
                <w:sz w:val="20"/>
                <w:szCs w:val="20"/>
                <w:lang w:val="ru"/>
              </w:rPr>
              <w:t>690</w:t>
            </w:r>
          </w:p>
        </w:tc>
        <w:tc>
          <w:tcPr>
            <w:tcW w:w="686" w:type="pct"/>
          </w:tcPr>
          <w:p w14:paraId="277066AA" w14:textId="3BAD914D"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3</w:t>
            </w:r>
            <w:r w:rsidR="00A73A97" w:rsidRPr="00DD5017">
              <w:rPr>
                <w:rFonts w:cstheme="minorHAnsi"/>
                <w:sz w:val="20"/>
                <w:szCs w:val="20"/>
                <w:lang w:val="ru"/>
              </w:rPr>
              <w:t>,</w:t>
            </w:r>
            <w:r w:rsidRPr="00DD5017">
              <w:rPr>
                <w:rFonts w:cstheme="minorHAnsi"/>
                <w:sz w:val="20"/>
                <w:szCs w:val="20"/>
                <w:lang w:val="ru"/>
              </w:rPr>
              <w:t>924/1</w:t>
            </w:r>
            <w:r w:rsidR="00A73A97" w:rsidRPr="00DD5017">
              <w:rPr>
                <w:rFonts w:cstheme="minorHAnsi"/>
                <w:sz w:val="20"/>
                <w:szCs w:val="20"/>
                <w:lang w:val="ru"/>
              </w:rPr>
              <w:t>,</w:t>
            </w:r>
            <w:r w:rsidRPr="00DD5017">
              <w:rPr>
                <w:rFonts w:cstheme="minorHAnsi"/>
                <w:sz w:val="20"/>
                <w:szCs w:val="20"/>
                <w:lang w:val="ru"/>
              </w:rPr>
              <w:t>615</w:t>
            </w:r>
          </w:p>
        </w:tc>
        <w:tc>
          <w:tcPr>
            <w:tcW w:w="686" w:type="pct"/>
          </w:tcPr>
          <w:p w14:paraId="1E1F5337" w14:textId="314CC379"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3</w:t>
            </w:r>
            <w:r w:rsidR="00A73A97" w:rsidRPr="00DD5017">
              <w:rPr>
                <w:rFonts w:cstheme="minorHAnsi"/>
                <w:sz w:val="20"/>
                <w:szCs w:val="20"/>
                <w:lang w:val="ru"/>
              </w:rPr>
              <w:t>,</w:t>
            </w:r>
            <w:r w:rsidRPr="00DD5017">
              <w:rPr>
                <w:rFonts w:cstheme="minorHAnsi"/>
                <w:sz w:val="20"/>
                <w:szCs w:val="20"/>
                <w:lang w:val="ru"/>
              </w:rPr>
              <w:t>454/1</w:t>
            </w:r>
            <w:r w:rsidR="00A73A97" w:rsidRPr="00DD5017">
              <w:rPr>
                <w:rFonts w:cstheme="minorHAnsi"/>
                <w:sz w:val="20"/>
                <w:szCs w:val="20"/>
                <w:lang w:val="ru"/>
              </w:rPr>
              <w:t>,</w:t>
            </w:r>
            <w:r w:rsidRPr="00DD5017">
              <w:rPr>
                <w:rFonts w:cstheme="minorHAnsi"/>
                <w:sz w:val="20"/>
                <w:szCs w:val="20"/>
                <w:lang w:val="ru"/>
              </w:rPr>
              <w:t>478</w:t>
            </w:r>
          </w:p>
        </w:tc>
        <w:tc>
          <w:tcPr>
            <w:tcW w:w="713" w:type="pct"/>
          </w:tcPr>
          <w:p w14:paraId="32C81516" w14:textId="04317F36"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2</w:t>
            </w:r>
            <w:r w:rsidR="00A73A97" w:rsidRPr="00DD5017">
              <w:rPr>
                <w:rFonts w:cstheme="minorHAnsi"/>
                <w:sz w:val="20"/>
                <w:szCs w:val="20"/>
                <w:lang w:val="ru"/>
              </w:rPr>
              <w:t>,</w:t>
            </w:r>
            <w:r w:rsidRPr="00DD5017">
              <w:rPr>
                <w:rFonts w:cstheme="minorHAnsi"/>
                <w:sz w:val="20"/>
                <w:szCs w:val="20"/>
                <w:lang w:val="ru"/>
              </w:rPr>
              <w:t>777/1</w:t>
            </w:r>
            <w:r w:rsidR="00A73A97" w:rsidRPr="00DD5017">
              <w:rPr>
                <w:rFonts w:cstheme="minorHAnsi"/>
                <w:sz w:val="20"/>
                <w:szCs w:val="20"/>
                <w:lang w:val="ru"/>
              </w:rPr>
              <w:t>,</w:t>
            </w:r>
            <w:r w:rsidRPr="00DD5017">
              <w:rPr>
                <w:rFonts w:cstheme="minorHAnsi"/>
                <w:sz w:val="20"/>
                <w:szCs w:val="20"/>
                <w:lang w:val="ru"/>
              </w:rPr>
              <w:t>064</w:t>
            </w:r>
          </w:p>
        </w:tc>
        <w:tc>
          <w:tcPr>
            <w:tcW w:w="667" w:type="pct"/>
          </w:tcPr>
          <w:p w14:paraId="40DDB7FF" w14:textId="6A0D7387" w:rsidR="00086663" w:rsidRPr="00DD5017" w:rsidRDefault="00086663" w:rsidP="00DD5017">
            <w:pPr>
              <w:pStyle w:val="af3"/>
              <w:widowControl w:val="0"/>
              <w:suppressAutoHyphens/>
              <w:jc w:val="center"/>
              <w:rPr>
                <w:rFonts w:cstheme="minorHAnsi"/>
                <w:sz w:val="20"/>
                <w:szCs w:val="20"/>
                <w:lang w:val="ru"/>
              </w:rPr>
            </w:pPr>
            <w:r w:rsidRPr="00DD5017">
              <w:rPr>
                <w:rFonts w:cstheme="minorHAnsi"/>
                <w:sz w:val="20"/>
                <w:szCs w:val="20"/>
                <w:lang w:val="ru"/>
              </w:rPr>
              <w:t>2</w:t>
            </w:r>
            <w:r w:rsidR="00A73A97" w:rsidRPr="00DD5017">
              <w:rPr>
                <w:rFonts w:cstheme="minorHAnsi"/>
                <w:sz w:val="20"/>
                <w:szCs w:val="20"/>
                <w:lang w:val="ru"/>
              </w:rPr>
              <w:t>,</w:t>
            </w:r>
            <w:r w:rsidRPr="00DD5017">
              <w:rPr>
                <w:rFonts w:cstheme="minorHAnsi"/>
                <w:sz w:val="20"/>
                <w:szCs w:val="20"/>
                <w:lang w:val="ru"/>
              </w:rPr>
              <w:t>871/1</w:t>
            </w:r>
            <w:r w:rsidR="00A73A97" w:rsidRPr="00DD5017">
              <w:rPr>
                <w:rFonts w:cstheme="minorHAnsi"/>
                <w:sz w:val="20"/>
                <w:szCs w:val="20"/>
                <w:lang w:val="ru"/>
              </w:rPr>
              <w:t>,</w:t>
            </w:r>
            <w:r w:rsidRPr="00DD5017">
              <w:rPr>
                <w:rFonts w:cstheme="minorHAnsi"/>
                <w:sz w:val="20"/>
                <w:szCs w:val="20"/>
                <w:lang w:val="ru"/>
              </w:rPr>
              <w:t>118</w:t>
            </w:r>
          </w:p>
        </w:tc>
      </w:tr>
      <w:tr w:rsidR="007E6536" w:rsidRPr="00DD5017" w14:paraId="645DBC8C" w14:textId="77777777" w:rsidTr="00DD5017">
        <w:tc>
          <w:tcPr>
            <w:tcW w:w="878" w:type="pct"/>
          </w:tcPr>
          <w:p w14:paraId="373604C3" w14:textId="77777777" w:rsidR="00086663" w:rsidRPr="00DD5017" w:rsidRDefault="00086663" w:rsidP="00DD5017">
            <w:pPr>
              <w:pStyle w:val="af3"/>
              <w:widowControl w:val="0"/>
              <w:suppressAutoHyphens/>
              <w:rPr>
                <w:rFonts w:cstheme="minorHAnsi"/>
                <w:sz w:val="20"/>
                <w:szCs w:val="20"/>
              </w:rPr>
            </w:pPr>
            <w:r w:rsidRPr="00DD5017">
              <w:rPr>
                <w:rFonts w:cstheme="minorHAnsi"/>
                <w:sz w:val="20"/>
                <w:szCs w:val="20"/>
                <w:lang w:val="ru"/>
              </w:rPr>
              <w:t>Нарынская область</w:t>
            </w:r>
          </w:p>
        </w:tc>
        <w:tc>
          <w:tcPr>
            <w:tcW w:w="685" w:type="pct"/>
          </w:tcPr>
          <w:p w14:paraId="2E617D9D" w14:textId="77777777"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700/303</w:t>
            </w:r>
          </w:p>
        </w:tc>
        <w:tc>
          <w:tcPr>
            <w:tcW w:w="685" w:type="pct"/>
          </w:tcPr>
          <w:p w14:paraId="6D1CC287" w14:textId="77777777"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577/233</w:t>
            </w:r>
          </w:p>
        </w:tc>
        <w:tc>
          <w:tcPr>
            <w:tcW w:w="686" w:type="pct"/>
          </w:tcPr>
          <w:p w14:paraId="035FB4BA" w14:textId="77777777"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818/265</w:t>
            </w:r>
          </w:p>
        </w:tc>
        <w:tc>
          <w:tcPr>
            <w:tcW w:w="686" w:type="pct"/>
          </w:tcPr>
          <w:p w14:paraId="09A4E478" w14:textId="77777777"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858/211</w:t>
            </w:r>
          </w:p>
        </w:tc>
        <w:tc>
          <w:tcPr>
            <w:tcW w:w="713" w:type="pct"/>
          </w:tcPr>
          <w:p w14:paraId="15DD791B" w14:textId="77777777"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905/141</w:t>
            </w:r>
          </w:p>
        </w:tc>
        <w:tc>
          <w:tcPr>
            <w:tcW w:w="667" w:type="pct"/>
          </w:tcPr>
          <w:p w14:paraId="6C7BCC69" w14:textId="77777777" w:rsidR="00086663" w:rsidRPr="00DD5017" w:rsidRDefault="00086663" w:rsidP="00DD5017">
            <w:pPr>
              <w:pStyle w:val="af3"/>
              <w:widowControl w:val="0"/>
              <w:suppressAutoHyphens/>
              <w:jc w:val="center"/>
              <w:rPr>
                <w:rFonts w:cstheme="minorHAnsi"/>
                <w:sz w:val="20"/>
                <w:szCs w:val="20"/>
                <w:lang w:val="ru"/>
              </w:rPr>
            </w:pPr>
            <w:r w:rsidRPr="00DD5017">
              <w:rPr>
                <w:rFonts w:cstheme="minorHAnsi"/>
                <w:sz w:val="20"/>
                <w:szCs w:val="20"/>
                <w:lang w:val="ru"/>
              </w:rPr>
              <w:t>475/176</w:t>
            </w:r>
          </w:p>
        </w:tc>
      </w:tr>
      <w:tr w:rsidR="007E6536" w:rsidRPr="00DD5017" w14:paraId="7BB76B36" w14:textId="77777777" w:rsidTr="00DD5017">
        <w:tc>
          <w:tcPr>
            <w:tcW w:w="878" w:type="pct"/>
          </w:tcPr>
          <w:p w14:paraId="7B172FFB" w14:textId="77777777" w:rsidR="00086663" w:rsidRPr="00DD5017" w:rsidRDefault="00086663" w:rsidP="00DD5017">
            <w:pPr>
              <w:pStyle w:val="af3"/>
              <w:widowControl w:val="0"/>
              <w:suppressAutoHyphens/>
              <w:rPr>
                <w:rFonts w:cstheme="minorHAnsi"/>
                <w:sz w:val="20"/>
                <w:szCs w:val="20"/>
              </w:rPr>
            </w:pPr>
            <w:r w:rsidRPr="00DD5017">
              <w:rPr>
                <w:rFonts w:cstheme="minorHAnsi"/>
                <w:sz w:val="20"/>
                <w:szCs w:val="20"/>
                <w:lang w:val="ru"/>
              </w:rPr>
              <w:t>Таласская область</w:t>
            </w:r>
          </w:p>
        </w:tc>
        <w:tc>
          <w:tcPr>
            <w:tcW w:w="685" w:type="pct"/>
          </w:tcPr>
          <w:p w14:paraId="4398AA51" w14:textId="77777777"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387/339</w:t>
            </w:r>
          </w:p>
        </w:tc>
        <w:tc>
          <w:tcPr>
            <w:tcW w:w="685" w:type="pct"/>
          </w:tcPr>
          <w:p w14:paraId="52CAC243" w14:textId="77777777"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390/299</w:t>
            </w:r>
          </w:p>
        </w:tc>
        <w:tc>
          <w:tcPr>
            <w:tcW w:w="686" w:type="pct"/>
          </w:tcPr>
          <w:p w14:paraId="478B6034" w14:textId="77777777"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419/244</w:t>
            </w:r>
          </w:p>
        </w:tc>
        <w:tc>
          <w:tcPr>
            <w:tcW w:w="686" w:type="pct"/>
          </w:tcPr>
          <w:p w14:paraId="48F678E4" w14:textId="77777777"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258/214</w:t>
            </w:r>
          </w:p>
        </w:tc>
        <w:tc>
          <w:tcPr>
            <w:tcW w:w="713" w:type="pct"/>
          </w:tcPr>
          <w:p w14:paraId="3288A00A" w14:textId="77777777"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76/160</w:t>
            </w:r>
          </w:p>
        </w:tc>
        <w:tc>
          <w:tcPr>
            <w:tcW w:w="667" w:type="pct"/>
          </w:tcPr>
          <w:p w14:paraId="3E7077F9" w14:textId="77777777" w:rsidR="00086663" w:rsidRPr="00DD5017" w:rsidRDefault="00086663" w:rsidP="00DD5017">
            <w:pPr>
              <w:pStyle w:val="af3"/>
              <w:widowControl w:val="0"/>
              <w:suppressAutoHyphens/>
              <w:jc w:val="center"/>
              <w:rPr>
                <w:rFonts w:cstheme="minorHAnsi"/>
                <w:sz w:val="20"/>
                <w:szCs w:val="20"/>
                <w:lang w:val="ru"/>
              </w:rPr>
            </w:pPr>
            <w:r w:rsidRPr="00DD5017">
              <w:rPr>
                <w:rFonts w:cstheme="minorHAnsi"/>
                <w:sz w:val="20"/>
                <w:szCs w:val="20"/>
                <w:lang w:val="ru"/>
              </w:rPr>
              <w:t>573/174</w:t>
            </w:r>
          </w:p>
        </w:tc>
      </w:tr>
      <w:tr w:rsidR="007E6536" w:rsidRPr="00DD5017" w14:paraId="65054367" w14:textId="77777777" w:rsidTr="00DD5017">
        <w:tc>
          <w:tcPr>
            <w:tcW w:w="878" w:type="pct"/>
          </w:tcPr>
          <w:p w14:paraId="4698FC10" w14:textId="77777777" w:rsidR="00086663" w:rsidRPr="00DD5017" w:rsidRDefault="00086663" w:rsidP="00DD5017">
            <w:pPr>
              <w:pStyle w:val="af3"/>
              <w:widowControl w:val="0"/>
              <w:suppressAutoHyphens/>
              <w:rPr>
                <w:rFonts w:cstheme="minorHAnsi"/>
                <w:sz w:val="20"/>
                <w:szCs w:val="20"/>
              </w:rPr>
            </w:pPr>
            <w:r w:rsidRPr="00DD5017">
              <w:rPr>
                <w:rFonts w:cstheme="minorHAnsi"/>
                <w:sz w:val="20"/>
                <w:szCs w:val="20"/>
                <w:lang w:val="ru"/>
              </w:rPr>
              <w:t>Иссык-кульская область</w:t>
            </w:r>
          </w:p>
        </w:tc>
        <w:tc>
          <w:tcPr>
            <w:tcW w:w="685" w:type="pct"/>
          </w:tcPr>
          <w:p w14:paraId="760ADEFB" w14:textId="77777777"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645/351</w:t>
            </w:r>
          </w:p>
        </w:tc>
        <w:tc>
          <w:tcPr>
            <w:tcW w:w="685" w:type="pct"/>
          </w:tcPr>
          <w:p w14:paraId="1A1935FA" w14:textId="77777777"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765/300</w:t>
            </w:r>
          </w:p>
        </w:tc>
        <w:tc>
          <w:tcPr>
            <w:tcW w:w="686" w:type="pct"/>
          </w:tcPr>
          <w:p w14:paraId="543875C9" w14:textId="77777777"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784/308</w:t>
            </w:r>
          </w:p>
        </w:tc>
        <w:tc>
          <w:tcPr>
            <w:tcW w:w="686" w:type="pct"/>
          </w:tcPr>
          <w:p w14:paraId="150B822E" w14:textId="50A49771"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1</w:t>
            </w:r>
            <w:r w:rsidR="00A73A97" w:rsidRPr="00DD5017">
              <w:rPr>
                <w:rFonts w:cstheme="minorHAnsi"/>
                <w:sz w:val="20"/>
                <w:szCs w:val="20"/>
                <w:lang w:val="ru"/>
              </w:rPr>
              <w:t>,</w:t>
            </w:r>
            <w:r w:rsidRPr="00DD5017">
              <w:rPr>
                <w:rFonts w:cstheme="minorHAnsi"/>
                <w:sz w:val="20"/>
                <w:szCs w:val="20"/>
                <w:lang w:val="ru"/>
              </w:rPr>
              <w:t>164/321</w:t>
            </w:r>
          </w:p>
        </w:tc>
        <w:tc>
          <w:tcPr>
            <w:tcW w:w="713" w:type="pct"/>
          </w:tcPr>
          <w:p w14:paraId="758DD03C" w14:textId="77777777"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818/192</w:t>
            </w:r>
          </w:p>
        </w:tc>
        <w:tc>
          <w:tcPr>
            <w:tcW w:w="667" w:type="pct"/>
          </w:tcPr>
          <w:p w14:paraId="5C7A9078" w14:textId="5B011783" w:rsidR="00086663" w:rsidRPr="00DD5017" w:rsidRDefault="00086663" w:rsidP="00DD5017">
            <w:pPr>
              <w:pStyle w:val="af3"/>
              <w:widowControl w:val="0"/>
              <w:suppressAutoHyphens/>
              <w:jc w:val="center"/>
              <w:rPr>
                <w:rFonts w:cstheme="minorHAnsi"/>
                <w:sz w:val="20"/>
                <w:szCs w:val="20"/>
                <w:lang w:val="ru"/>
              </w:rPr>
            </w:pPr>
            <w:r w:rsidRPr="00DD5017">
              <w:rPr>
                <w:rFonts w:cstheme="minorHAnsi"/>
                <w:sz w:val="20"/>
                <w:szCs w:val="20"/>
                <w:lang w:val="ru"/>
              </w:rPr>
              <w:t>1</w:t>
            </w:r>
            <w:r w:rsidR="00A73A97" w:rsidRPr="00DD5017">
              <w:rPr>
                <w:rFonts w:cstheme="minorHAnsi"/>
                <w:sz w:val="20"/>
                <w:szCs w:val="20"/>
                <w:lang w:val="ru"/>
              </w:rPr>
              <w:t>,</w:t>
            </w:r>
            <w:r w:rsidRPr="00DD5017">
              <w:rPr>
                <w:rFonts w:cstheme="minorHAnsi"/>
                <w:sz w:val="20"/>
                <w:szCs w:val="20"/>
                <w:lang w:val="ru"/>
              </w:rPr>
              <w:t>446/226</w:t>
            </w:r>
          </w:p>
        </w:tc>
      </w:tr>
      <w:tr w:rsidR="007E6536" w:rsidRPr="00DD5017" w14:paraId="539DE64F" w14:textId="77777777" w:rsidTr="00DD5017">
        <w:tc>
          <w:tcPr>
            <w:tcW w:w="878" w:type="pct"/>
          </w:tcPr>
          <w:p w14:paraId="15F7B145" w14:textId="77777777" w:rsidR="00086663" w:rsidRPr="00DD5017" w:rsidRDefault="00086663" w:rsidP="00DD5017">
            <w:pPr>
              <w:pStyle w:val="af3"/>
              <w:widowControl w:val="0"/>
              <w:suppressAutoHyphens/>
              <w:rPr>
                <w:rFonts w:cstheme="minorHAnsi"/>
                <w:sz w:val="20"/>
                <w:szCs w:val="20"/>
              </w:rPr>
            </w:pPr>
            <w:r w:rsidRPr="00DD5017">
              <w:rPr>
                <w:rFonts w:cstheme="minorHAnsi"/>
                <w:sz w:val="20"/>
                <w:szCs w:val="20"/>
                <w:lang w:val="ru"/>
              </w:rPr>
              <w:t>г. Ош</w:t>
            </w:r>
          </w:p>
        </w:tc>
        <w:tc>
          <w:tcPr>
            <w:tcW w:w="685" w:type="pct"/>
          </w:tcPr>
          <w:p w14:paraId="5A58584A" w14:textId="77777777"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422/317</w:t>
            </w:r>
          </w:p>
        </w:tc>
        <w:tc>
          <w:tcPr>
            <w:tcW w:w="685" w:type="pct"/>
          </w:tcPr>
          <w:p w14:paraId="0A3FFFE1" w14:textId="77777777"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363/313</w:t>
            </w:r>
          </w:p>
        </w:tc>
        <w:tc>
          <w:tcPr>
            <w:tcW w:w="686" w:type="pct"/>
          </w:tcPr>
          <w:p w14:paraId="54480AEB" w14:textId="77777777"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444/331</w:t>
            </w:r>
          </w:p>
        </w:tc>
        <w:tc>
          <w:tcPr>
            <w:tcW w:w="686" w:type="pct"/>
          </w:tcPr>
          <w:p w14:paraId="6AD7AB57" w14:textId="63A18B26"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1</w:t>
            </w:r>
            <w:r w:rsidR="00A73A97" w:rsidRPr="00DD5017">
              <w:rPr>
                <w:rFonts w:cstheme="minorHAnsi"/>
                <w:sz w:val="20"/>
                <w:szCs w:val="20"/>
                <w:lang w:val="ru"/>
              </w:rPr>
              <w:t>,</w:t>
            </w:r>
            <w:r w:rsidRPr="00DD5017">
              <w:rPr>
                <w:rFonts w:cstheme="minorHAnsi"/>
                <w:sz w:val="20"/>
                <w:szCs w:val="20"/>
                <w:lang w:val="ru"/>
              </w:rPr>
              <w:t>548/325</w:t>
            </w:r>
          </w:p>
        </w:tc>
        <w:tc>
          <w:tcPr>
            <w:tcW w:w="713" w:type="pct"/>
          </w:tcPr>
          <w:p w14:paraId="6ED51DDE" w14:textId="33035A0B"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1</w:t>
            </w:r>
            <w:r w:rsidR="00A73A97" w:rsidRPr="00DD5017">
              <w:rPr>
                <w:rFonts w:cstheme="minorHAnsi"/>
                <w:sz w:val="20"/>
                <w:szCs w:val="20"/>
                <w:lang w:val="ru"/>
              </w:rPr>
              <w:t>,</w:t>
            </w:r>
            <w:r w:rsidRPr="00DD5017">
              <w:rPr>
                <w:rFonts w:cstheme="minorHAnsi"/>
                <w:sz w:val="20"/>
                <w:szCs w:val="20"/>
                <w:lang w:val="ru"/>
              </w:rPr>
              <w:t>158/216</w:t>
            </w:r>
          </w:p>
        </w:tc>
        <w:tc>
          <w:tcPr>
            <w:tcW w:w="667" w:type="pct"/>
          </w:tcPr>
          <w:p w14:paraId="00E7B1D5" w14:textId="77777777" w:rsidR="00086663" w:rsidRPr="00DD5017" w:rsidRDefault="00086663" w:rsidP="00DD5017">
            <w:pPr>
              <w:pStyle w:val="af3"/>
              <w:widowControl w:val="0"/>
              <w:suppressAutoHyphens/>
              <w:jc w:val="center"/>
              <w:rPr>
                <w:rFonts w:cstheme="minorHAnsi"/>
                <w:sz w:val="20"/>
                <w:szCs w:val="20"/>
                <w:lang w:val="ru"/>
              </w:rPr>
            </w:pPr>
            <w:r w:rsidRPr="00DD5017">
              <w:rPr>
                <w:rFonts w:cstheme="minorHAnsi"/>
                <w:sz w:val="20"/>
                <w:szCs w:val="20"/>
                <w:lang w:val="ru"/>
              </w:rPr>
              <w:t>698/192</w:t>
            </w:r>
          </w:p>
        </w:tc>
      </w:tr>
      <w:tr w:rsidR="007E6536" w:rsidRPr="00DD5017" w14:paraId="52AD231E" w14:textId="77777777" w:rsidTr="00DD5017">
        <w:tc>
          <w:tcPr>
            <w:tcW w:w="878" w:type="pct"/>
          </w:tcPr>
          <w:p w14:paraId="6B994BCD" w14:textId="77777777" w:rsidR="00086663" w:rsidRPr="00DD5017" w:rsidRDefault="00086663" w:rsidP="00DD5017">
            <w:pPr>
              <w:pStyle w:val="af3"/>
              <w:widowControl w:val="0"/>
              <w:suppressAutoHyphens/>
              <w:rPr>
                <w:rFonts w:cstheme="minorHAnsi"/>
                <w:sz w:val="20"/>
                <w:szCs w:val="20"/>
              </w:rPr>
            </w:pPr>
            <w:r w:rsidRPr="00DD5017">
              <w:rPr>
                <w:rFonts w:cstheme="minorHAnsi"/>
                <w:sz w:val="20"/>
                <w:szCs w:val="20"/>
                <w:lang w:val="ru"/>
              </w:rPr>
              <w:t>Ошская область</w:t>
            </w:r>
          </w:p>
        </w:tc>
        <w:tc>
          <w:tcPr>
            <w:tcW w:w="685" w:type="pct"/>
          </w:tcPr>
          <w:p w14:paraId="72FDDA60" w14:textId="43D3BDB7"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3</w:t>
            </w:r>
            <w:r w:rsidR="00A73A97" w:rsidRPr="00DD5017">
              <w:rPr>
                <w:rFonts w:cstheme="minorHAnsi"/>
                <w:sz w:val="20"/>
                <w:szCs w:val="20"/>
                <w:lang w:val="ru"/>
              </w:rPr>
              <w:t>,</w:t>
            </w:r>
            <w:r w:rsidRPr="00DD5017">
              <w:rPr>
                <w:rFonts w:cstheme="minorHAnsi"/>
                <w:sz w:val="20"/>
                <w:szCs w:val="20"/>
                <w:lang w:val="ru"/>
              </w:rPr>
              <w:t>310/1</w:t>
            </w:r>
            <w:r w:rsidR="00A73A97" w:rsidRPr="00DD5017">
              <w:rPr>
                <w:rFonts w:cstheme="minorHAnsi"/>
                <w:sz w:val="20"/>
                <w:szCs w:val="20"/>
                <w:lang w:val="ru"/>
              </w:rPr>
              <w:t>,</w:t>
            </w:r>
            <w:r w:rsidRPr="00DD5017">
              <w:rPr>
                <w:rFonts w:cstheme="minorHAnsi"/>
                <w:sz w:val="20"/>
                <w:szCs w:val="20"/>
                <w:lang w:val="ru"/>
              </w:rPr>
              <w:t>484</w:t>
            </w:r>
          </w:p>
        </w:tc>
        <w:tc>
          <w:tcPr>
            <w:tcW w:w="685" w:type="pct"/>
          </w:tcPr>
          <w:p w14:paraId="0FAF8C17" w14:textId="69D52FE9"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3</w:t>
            </w:r>
            <w:r w:rsidR="00A73A97" w:rsidRPr="00DD5017">
              <w:rPr>
                <w:rFonts w:cstheme="minorHAnsi"/>
                <w:sz w:val="20"/>
                <w:szCs w:val="20"/>
                <w:lang w:val="ru"/>
              </w:rPr>
              <w:t>,</w:t>
            </w:r>
            <w:r w:rsidRPr="00DD5017">
              <w:rPr>
                <w:rFonts w:cstheme="minorHAnsi"/>
                <w:sz w:val="20"/>
                <w:szCs w:val="20"/>
                <w:lang w:val="ru"/>
              </w:rPr>
              <w:t>611/1</w:t>
            </w:r>
            <w:r w:rsidR="00A73A97" w:rsidRPr="00DD5017">
              <w:rPr>
                <w:rFonts w:cstheme="minorHAnsi"/>
                <w:sz w:val="20"/>
                <w:szCs w:val="20"/>
                <w:lang w:val="ru"/>
              </w:rPr>
              <w:t>,</w:t>
            </w:r>
            <w:r w:rsidRPr="00DD5017">
              <w:rPr>
                <w:rFonts w:cstheme="minorHAnsi"/>
                <w:sz w:val="20"/>
                <w:szCs w:val="20"/>
                <w:lang w:val="ru"/>
              </w:rPr>
              <w:t>512</w:t>
            </w:r>
          </w:p>
        </w:tc>
        <w:tc>
          <w:tcPr>
            <w:tcW w:w="686" w:type="pct"/>
          </w:tcPr>
          <w:p w14:paraId="5C9E0188" w14:textId="41232B6B"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3</w:t>
            </w:r>
            <w:r w:rsidR="00A73A97" w:rsidRPr="00DD5017">
              <w:rPr>
                <w:rFonts w:cstheme="minorHAnsi"/>
                <w:sz w:val="20"/>
                <w:szCs w:val="20"/>
                <w:lang w:val="ru"/>
              </w:rPr>
              <w:t>,</w:t>
            </w:r>
            <w:r w:rsidRPr="00DD5017">
              <w:rPr>
                <w:rFonts w:cstheme="minorHAnsi"/>
                <w:sz w:val="20"/>
                <w:szCs w:val="20"/>
                <w:lang w:val="ru"/>
              </w:rPr>
              <w:t>849/1</w:t>
            </w:r>
            <w:r w:rsidR="00A73A97" w:rsidRPr="00DD5017">
              <w:rPr>
                <w:rFonts w:cstheme="minorHAnsi"/>
                <w:sz w:val="20"/>
                <w:szCs w:val="20"/>
                <w:lang w:val="ru"/>
              </w:rPr>
              <w:t>,</w:t>
            </w:r>
            <w:r w:rsidRPr="00DD5017">
              <w:rPr>
                <w:rFonts w:cstheme="minorHAnsi"/>
                <w:sz w:val="20"/>
                <w:szCs w:val="20"/>
                <w:lang w:val="ru"/>
              </w:rPr>
              <w:t>486</w:t>
            </w:r>
          </w:p>
        </w:tc>
        <w:tc>
          <w:tcPr>
            <w:tcW w:w="686" w:type="pct"/>
          </w:tcPr>
          <w:p w14:paraId="34AD9A92" w14:textId="0602BCF1"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3</w:t>
            </w:r>
            <w:r w:rsidR="00A73A97" w:rsidRPr="00DD5017">
              <w:rPr>
                <w:rFonts w:cstheme="minorHAnsi"/>
                <w:sz w:val="20"/>
                <w:szCs w:val="20"/>
                <w:lang w:val="ru"/>
              </w:rPr>
              <w:t>,</w:t>
            </w:r>
            <w:r w:rsidRPr="00DD5017">
              <w:rPr>
                <w:rFonts w:cstheme="minorHAnsi"/>
                <w:sz w:val="20"/>
                <w:szCs w:val="20"/>
                <w:lang w:val="ru"/>
              </w:rPr>
              <w:t>709/1</w:t>
            </w:r>
            <w:r w:rsidR="00A73A97" w:rsidRPr="00DD5017">
              <w:rPr>
                <w:rFonts w:cstheme="minorHAnsi"/>
                <w:sz w:val="20"/>
                <w:szCs w:val="20"/>
                <w:lang w:val="ru"/>
              </w:rPr>
              <w:t>,</w:t>
            </w:r>
            <w:r w:rsidRPr="00DD5017">
              <w:rPr>
                <w:rFonts w:cstheme="minorHAnsi"/>
                <w:sz w:val="20"/>
                <w:szCs w:val="20"/>
                <w:lang w:val="ru"/>
              </w:rPr>
              <w:t>504</w:t>
            </w:r>
          </w:p>
        </w:tc>
        <w:tc>
          <w:tcPr>
            <w:tcW w:w="713" w:type="pct"/>
          </w:tcPr>
          <w:p w14:paraId="030F968E" w14:textId="02762E8E"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2</w:t>
            </w:r>
            <w:r w:rsidR="00A73A97" w:rsidRPr="00DD5017">
              <w:rPr>
                <w:rFonts w:cstheme="minorHAnsi"/>
                <w:sz w:val="20"/>
                <w:szCs w:val="20"/>
                <w:lang w:val="ru"/>
              </w:rPr>
              <w:t>,</w:t>
            </w:r>
            <w:r w:rsidRPr="00DD5017">
              <w:rPr>
                <w:rFonts w:cstheme="minorHAnsi"/>
                <w:sz w:val="20"/>
                <w:szCs w:val="20"/>
                <w:lang w:val="ru"/>
              </w:rPr>
              <w:t>468/1</w:t>
            </w:r>
            <w:r w:rsidR="00A73A97" w:rsidRPr="00DD5017">
              <w:rPr>
                <w:rFonts w:cstheme="minorHAnsi"/>
                <w:sz w:val="20"/>
                <w:szCs w:val="20"/>
                <w:lang w:val="ru"/>
              </w:rPr>
              <w:t>,</w:t>
            </w:r>
            <w:r w:rsidRPr="00DD5017">
              <w:rPr>
                <w:rFonts w:cstheme="minorHAnsi"/>
                <w:sz w:val="20"/>
                <w:szCs w:val="20"/>
                <w:lang w:val="ru"/>
              </w:rPr>
              <w:t>059</w:t>
            </w:r>
          </w:p>
        </w:tc>
        <w:tc>
          <w:tcPr>
            <w:tcW w:w="667" w:type="pct"/>
          </w:tcPr>
          <w:p w14:paraId="080F6BF4" w14:textId="53CBD7E2" w:rsidR="00086663" w:rsidRPr="00DD5017" w:rsidRDefault="00086663" w:rsidP="00DD5017">
            <w:pPr>
              <w:pStyle w:val="af3"/>
              <w:widowControl w:val="0"/>
              <w:suppressAutoHyphens/>
              <w:jc w:val="center"/>
              <w:rPr>
                <w:rFonts w:cstheme="minorHAnsi"/>
                <w:sz w:val="20"/>
                <w:szCs w:val="20"/>
                <w:lang w:val="ru"/>
              </w:rPr>
            </w:pPr>
            <w:r w:rsidRPr="00DD5017">
              <w:rPr>
                <w:rFonts w:cstheme="minorHAnsi"/>
                <w:sz w:val="20"/>
                <w:szCs w:val="20"/>
                <w:lang w:val="ru"/>
              </w:rPr>
              <w:t>2</w:t>
            </w:r>
            <w:r w:rsidR="00A73A97" w:rsidRPr="00DD5017">
              <w:rPr>
                <w:rFonts w:cstheme="minorHAnsi"/>
                <w:sz w:val="20"/>
                <w:szCs w:val="20"/>
                <w:lang w:val="ru"/>
              </w:rPr>
              <w:t>,</w:t>
            </w:r>
            <w:r w:rsidRPr="00DD5017">
              <w:rPr>
                <w:rFonts w:cstheme="minorHAnsi"/>
                <w:sz w:val="20"/>
                <w:szCs w:val="20"/>
                <w:lang w:val="ru"/>
              </w:rPr>
              <w:t>156/1</w:t>
            </w:r>
            <w:r w:rsidR="00A73A97" w:rsidRPr="00DD5017">
              <w:rPr>
                <w:rFonts w:cstheme="minorHAnsi"/>
                <w:sz w:val="20"/>
                <w:szCs w:val="20"/>
                <w:lang w:val="ru"/>
              </w:rPr>
              <w:t>,</w:t>
            </w:r>
            <w:r w:rsidRPr="00DD5017">
              <w:rPr>
                <w:rFonts w:cstheme="minorHAnsi"/>
                <w:sz w:val="20"/>
                <w:szCs w:val="20"/>
                <w:lang w:val="ru"/>
              </w:rPr>
              <w:t>097</w:t>
            </w:r>
          </w:p>
        </w:tc>
      </w:tr>
      <w:tr w:rsidR="007E6536" w:rsidRPr="00DD5017" w14:paraId="763FCC02" w14:textId="77777777" w:rsidTr="00DD5017">
        <w:tc>
          <w:tcPr>
            <w:tcW w:w="878" w:type="pct"/>
          </w:tcPr>
          <w:p w14:paraId="57291E90" w14:textId="77777777" w:rsidR="00086663" w:rsidRPr="00DD5017" w:rsidRDefault="00086663" w:rsidP="00DD5017">
            <w:pPr>
              <w:pStyle w:val="af3"/>
              <w:widowControl w:val="0"/>
              <w:suppressAutoHyphens/>
              <w:rPr>
                <w:rFonts w:cstheme="minorHAnsi"/>
                <w:sz w:val="20"/>
                <w:szCs w:val="20"/>
                <w:lang w:val="ru-RU"/>
              </w:rPr>
            </w:pPr>
            <w:r w:rsidRPr="00DD5017">
              <w:rPr>
                <w:rFonts w:cstheme="minorHAnsi"/>
                <w:sz w:val="20"/>
                <w:szCs w:val="20"/>
                <w:lang w:val="ru"/>
              </w:rPr>
              <w:t>Джалал-Абадская область</w:t>
            </w:r>
          </w:p>
        </w:tc>
        <w:tc>
          <w:tcPr>
            <w:tcW w:w="685" w:type="pct"/>
          </w:tcPr>
          <w:p w14:paraId="5F8661B6" w14:textId="2CB29B47"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2</w:t>
            </w:r>
            <w:r w:rsidR="00A73A97" w:rsidRPr="00DD5017">
              <w:rPr>
                <w:rFonts w:cstheme="minorHAnsi"/>
                <w:sz w:val="20"/>
                <w:szCs w:val="20"/>
                <w:lang w:val="ru"/>
              </w:rPr>
              <w:t>,</w:t>
            </w:r>
            <w:r w:rsidRPr="00DD5017">
              <w:rPr>
                <w:rFonts w:cstheme="minorHAnsi"/>
                <w:sz w:val="20"/>
                <w:szCs w:val="20"/>
                <w:lang w:val="ru"/>
              </w:rPr>
              <w:t>265/1</w:t>
            </w:r>
            <w:r w:rsidR="00A73A97" w:rsidRPr="00DD5017">
              <w:rPr>
                <w:rFonts w:cstheme="minorHAnsi"/>
                <w:sz w:val="20"/>
                <w:szCs w:val="20"/>
                <w:lang w:val="ru"/>
              </w:rPr>
              <w:t>,</w:t>
            </w:r>
            <w:r w:rsidRPr="00DD5017">
              <w:rPr>
                <w:rFonts w:cstheme="minorHAnsi"/>
                <w:sz w:val="20"/>
                <w:szCs w:val="20"/>
                <w:lang w:val="ru"/>
              </w:rPr>
              <w:t>452</w:t>
            </w:r>
          </w:p>
        </w:tc>
        <w:tc>
          <w:tcPr>
            <w:tcW w:w="685" w:type="pct"/>
          </w:tcPr>
          <w:p w14:paraId="415F766F" w14:textId="4AE4AE26"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2</w:t>
            </w:r>
            <w:r w:rsidR="00A73A97" w:rsidRPr="00DD5017">
              <w:rPr>
                <w:rFonts w:cstheme="minorHAnsi"/>
                <w:sz w:val="20"/>
                <w:szCs w:val="20"/>
                <w:lang w:val="ru"/>
              </w:rPr>
              <w:t>,</w:t>
            </w:r>
            <w:r w:rsidRPr="00DD5017">
              <w:rPr>
                <w:rFonts w:cstheme="minorHAnsi"/>
                <w:sz w:val="20"/>
                <w:szCs w:val="20"/>
                <w:lang w:val="ru"/>
              </w:rPr>
              <w:t>945/1</w:t>
            </w:r>
            <w:r w:rsidR="00A73A97" w:rsidRPr="00DD5017">
              <w:rPr>
                <w:rFonts w:cstheme="minorHAnsi"/>
                <w:sz w:val="20"/>
                <w:szCs w:val="20"/>
                <w:lang w:val="ru"/>
              </w:rPr>
              <w:t>,</w:t>
            </w:r>
            <w:r w:rsidRPr="00DD5017">
              <w:rPr>
                <w:rFonts w:cstheme="minorHAnsi"/>
                <w:sz w:val="20"/>
                <w:szCs w:val="20"/>
                <w:lang w:val="ru"/>
              </w:rPr>
              <w:t>365</w:t>
            </w:r>
          </w:p>
        </w:tc>
        <w:tc>
          <w:tcPr>
            <w:tcW w:w="686" w:type="pct"/>
          </w:tcPr>
          <w:p w14:paraId="064F48B5" w14:textId="3678FBC0"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3</w:t>
            </w:r>
            <w:r w:rsidR="00A73A97" w:rsidRPr="00DD5017">
              <w:rPr>
                <w:rFonts w:cstheme="minorHAnsi"/>
                <w:sz w:val="20"/>
                <w:szCs w:val="20"/>
                <w:lang w:val="ru"/>
              </w:rPr>
              <w:t>,</w:t>
            </w:r>
            <w:r w:rsidRPr="00DD5017">
              <w:rPr>
                <w:rFonts w:cstheme="minorHAnsi"/>
                <w:sz w:val="20"/>
                <w:szCs w:val="20"/>
                <w:lang w:val="ru"/>
              </w:rPr>
              <w:t>988/1</w:t>
            </w:r>
            <w:r w:rsidR="00A73A97" w:rsidRPr="00DD5017">
              <w:rPr>
                <w:rFonts w:cstheme="minorHAnsi"/>
                <w:sz w:val="20"/>
                <w:szCs w:val="20"/>
                <w:lang w:val="ru"/>
              </w:rPr>
              <w:t>,</w:t>
            </w:r>
            <w:r w:rsidRPr="00DD5017">
              <w:rPr>
                <w:rFonts w:cstheme="minorHAnsi"/>
                <w:sz w:val="20"/>
                <w:szCs w:val="20"/>
                <w:lang w:val="ru"/>
              </w:rPr>
              <w:t>392</w:t>
            </w:r>
          </w:p>
        </w:tc>
        <w:tc>
          <w:tcPr>
            <w:tcW w:w="686" w:type="pct"/>
          </w:tcPr>
          <w:p w14:paraId="2AA50D10" w14:textId="1BBC2CD8"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2</w:t>
            </w:r>
            <w:r w:rsidR="00A73A97" w:rsidRPr="00DD5017">
              <w:rPr>
                <w:rFonts w:cstheme="minorHAnsi"/>
                <w:sz w:val="20"/>
                <w:szCs w:val="20"/>
                <w:lang w:val="ru"/>
              </w:rPr>
              <w:t>,</w:t>
            </w:r>
            <w:r w:rsidRPr="00DD5017">
              <w:rPr>
                <w:rFonts w:cstheme="minorHAnsi"/>
                <w:sz w:val="20"/>
                <w:szCs w:val="20"/>
                <w:lang w:val="ru"/>
              </w:rPr>
              <w:t>223/1</w:t>
            </w:r>
            <w:r w:rsidR="00A73A97" w:rsidRPr="00DD5017">
              <w:rPr>
                <w:rFonts w:cstheme="minorHAnsi"/>
                <w:sz w:val="20"/>
                <w:szCs w:val="20"/>
                <w:lang w:val="ru"/>
              </w:rPr>
              <w:t>,</w:t>
            </w:r>
            <w:r w:rsidRPr="00DD5017">
              <w:rPr>
                <w:rFonts w:cstheme="minorHAnsi"/>
                <w:sz w:val="20"/>
                <w:szCs w:val="20"/>
                <w:lang w:val="ru"/>
              </w:rPr>
              <w:t>264</w:t>
            </w:r>
          </w:p>
        </w:tc>
        <w:tc>
          <w:tcPr>
            <w:tcW w:w="713" w:type="pct"/>
          </w:tcPr>
          <w:p w14:paraId="18F2F954" w14:textId="66ED33F3"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1</w:t>
            </w:r>
            <w:r w:rsidR="00A73A97" w:rsidRPr="00DD5017">
              <w:rPr>
                <w:rFonts w:cstheme="minorHAnsi"/>
                <w:sz w:val="20"/>
                <w:szCs w:val="20"/>
                <w:lang w:val="ru"/>
              </w:rPr>
              <w:t>,</w:t>
            </w:r>
            <w:r w:rsidRPr="00DD5017">
              <w:rPr>
                <w:rFonts w:cstheme="minorHAnsi"/>
                <w:sz w:val="20"/>
                <w:szCs w:val="20"/>
                <w:lang w:val="ru"/>
              </w:rPr>
              <w:t>731/916</w:t>
            </w:r>
          </w:p>
        </w:tc>
        <w:tc>
          <w:tcPr>
            <w:tcW w:w="667" w:type="pct"/>
          </w:tcPr>
          <w:p w14:paraId="3C53CF2D" w14:textId="054AFFB5" w:rsidR="00086663" w:rsidRPr="00DD5017" w:rsidRDefault="00086663" w:rsidP="00DD5017">
            <w:pPr>
              <w:pStyle w:val="af3"/>
              <w:widowControl w:val="0"/>
              <w:suppressAutoHyphens/>
              <w:jc w:val="center"/>
              <w:rPr>
                <w:rFonts w:cstheme="minorHAnsi"/>
                <w:sz w:val="20"/>
                <w:szCs w:val="20"/>
                <w:lang w:val="ru"/>
              </w:rPr>
            </w:pPr>
            <w:r w:rsidRPr="00DD5017">
              <w:rPr>
                <w:rFonts w:cstheme="minorHAnsi"/>
                <w:sz w:val="20"/>
                <w:szCs w:val="20"/>
                <w:lang w:val="ru"/>
              </w:rPr>
              <w:t>1</w:t>
            </w:r>
            <w:r w:rsidR="00A73A97" w:rsidRPr="00DD5017">
              <w:rPr>
                <w:rFonts w:cstheme="minorHAnsi"/>
                <w:sz w:val="20"/>
                <w:szCs w:val="20"/>
                <w:lang w:val="ru"/>
              </w:rPr>
              <w:t>,</w:t>
            </w:r>
            <w:r w:rsidRPr="00DD5017">
              <w:rPr>
                <w:rFonts w:cstheme="minorHAnsi"/>
                <w:sz w:val="20"/>
                <w:szCs w:val="20"/>
                <w:lang w:val="ru"/>
              </w:rPr>
              <w:t>351/1</w:t>
            </w:r>
            <w:r w:rsidR="00A73A97" w:rsidRPr="00DD5017">
              <w:rPr>
                <w:rFonts w:cstheme="minorHAnsi"/>
                <w:sz w:val="20"/>
                <w:szCs w:val="20"/>
                <w:lang w:val="ru"/>
              </w:rPr>
              <w:t>,</w:t>
            </w:r>
            <w:r w:rsidRPr="00DD5017">
              <w:rPr>
                <w:rFonts w:cstheme="minorHAnsi"/>
                <w:sz w:val="20"/>
                <w:szCs w:val="20"/>
                <w:lang w:val="ru"/>
              </w:rPr>
              <w:t>010</w:t>
            </w:r>
          </w:p>
        </w:tc>
      </w:tr>
      <w:tr w:rsidR="007E6536" w:rsidRPr="00DD5017" w14:paraId="1A5CAD8C" w14:textId="77777777" w:rsidTr="00DD5017">
        <w:tc>
          <w:tcPr>
            <w:tcW w:w="878" w:type="pct"/>
          </w:tcPr>
          <w:p w14:paraId="088260B1" w14:textId="77777777" w:rsidR="00086663" w:rsidRPr="00DD5017" w:rsidRDefault="00086663" w:rsidP="00DD5017">
            <w:pPr>
              <w:pStyle w:val="af3"/>
              <w:widowControl w:val="0"/>
              <w:suppressAutoHyphens/>
              <w:rPr>
                <w:rFonts w:cstheme="minorHAnsi"/>
                <w:sz w:val="20"/>
                <w:szCs w:val="20"/>
              </w:rPr>
            </w:pPr>
            <w:r w:rsidRPr="00DD5017">
              <w:rPr>
                <w:rFonts w:cstheme="minorHAnsi"/>
                <w:sz w:val="20"/>
                <w:szCs w:val="20"/>
                <w:lang w:val="ru"/>
              </w:rPr>
              <w:t>Баткенская область</w:t>
            </w:r>
          </w:p>
        </w:tc>
        <w:tc>
          <w:tcPr>
            <w:tcW w:w="685" w:type="pct"/>
          </w:tcPr>
          <w:p w14:paraId="0CC41270" w14:textId="77777777"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507/506</w:t>
            </w:r>
          </w:p>
        </w:tc>
        <w:tc>
          <w:tcPr>
            <w:tcW w:w="685" w:type="pct"/>
          </w:tcPr>
          <w:p w14:paraId="590405A3" w14:textId="77777777" w:rsidR="00086663" w:rsidRPr="00DD5017" w:rsidRDefault="00086663" w:rsidP="00DD5017">
            <w:pPr>
              <w:pStyle w:val="af3"/>
              <w:widowControl w:val="0"/>
              <w:suppressAutoHyphens/>
              <w:jc w:val="center"/>
              <w:rPr>
                <w:rFonts w:cstheme="minorHAnsi"/>
                <w:sz w:val="20"/>
                <w:szCs w:val="20"/>
                <w:lang w:val="ru-RU"/>
              </w:rPr>
            </w:pPr>
            <w:r w:rsidRPr="00DD5017">
              <w:rPr>
                <w:rFonts w:cstheme="minorHAnsi"/>
                <w:sz w:val="20"/>
                <w:szCs w:val="20"/>
                <w:lang w:val="ru"/>
              </w:rPr>
              <w:t>368/498</w:t>
            </w:r>
          </w:p>
        </w:tc>
        <w:tc>
          <w:tcPr>
            <w:tcW w:w="686" w:type="pct"/>
          </w:tcPr>
          <w:p w14:paraId="0A592BD7" w14:textId="77777777"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614/459</w:t>
            </w:r>
          </w:p>
        </w:tc>
        <w:tc>
          <w:tcPr>
            <w:tcW w:w="686" w:type="pct"/>
          </w:tcPr>
          <w:p w14:paraId="19F3809E" w14:textId="77777777"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487/429</w:t>
            </w:r>
          </w:p>
        </w:tc>
        <w:tc>
          <w:tcPr>
            <w:tcW w:w="713" w:type="pct"/>
          </w:tcPr>
          <w:p w14:paraId="2D99F901" w14:textId="77777777"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569/359</w:t>
            </w:r>
          </w:p>
        </w:tc>
        <w:tc>
          <w:tcPr>
            <w:tcW w:w="667" w:type="pct"/>
          </w:tcPr>
          <w:p w14:paraId="06F25968" w14:textId="77777777" w:rsidR="00086663" w:rsidRPr="00DD5017" w:rsidRDefault="00086663" w:rsidP="00DD5017">
            <w:pPr>
              <w:pStyle w:val="af3"/>
              <w:widowControl w:val="0"/>
              <w:suppressAutoHyphens/>
              <w:jc w:val="center"/>
              <w:rPr>
                <w:rFonts w:cstheme="minorHAnsi"/>
                <w:sz w:val="20"/>
                <w:szCs w:val="20"/>
                <w:lang w:val="ru"/>
              </w:rPr>
            </w:pPr>
            <w:r w:rsidRPr="00DD5017">
              <w:rPr>
                <w:rFonts w:cstheme="minorHAnsi"/>
                <w:sz w:val="20"/>
                <w:szCs w:val="20"/>
                <w:lang w:val="ru"/>
              </w:rPr>
              <w:t>892/322</w:t>
            </w:r>
          </w:p>
        </w:tc>
      </w:tr>
      <w:tr w:rsidR="007E6536" w:rsidRPr="00DD5017" w14:paraId="5D315D98" w14:textId="77777777" w:rsidTr="00DD5017">
        <w:tc>
          <w:tcPr>
            <w:tcW w:w="878" w:type="pct"/>
          </w:tcPr>
          <w:p w14:paraId="707A8143" w14:textId="77777777" w:rsidR="00086663" w:rsidRPr="00DD5017" w:rsidRDefault="00086663" w:rsidP="00DD5017">
            <w:pPr>
              <w:pStyle w:val="af3"/>
              <w:widowControl w:val="0"/>
              <w:suppressAutoHyphens/>
              <w:rPr>
                <w:rFonts w:cstheme="minorHAnsi"/>
                <w:b/>
                <w:bCs/>
                <w:sz w:val="20"/>
                <w:szCs w:val="20"/>
              </w:rPr>
            </w:pPr>
            <w:r w:rsidRPr="00DD5017">
              <w:rPr>
                <w:rFonts w:cstheme="minorHAnsi"/>
                <w:b/>
                <w:bCs/>
                <w:sz w:val="20"/>
                <w:szCs w:val="20"/>
                <w:lang w:val="ru"/>
              </w:rPr>
              <w:lastRenderedPageBreak/>
              <w:t>Гражданский сектор, всего</w:t>
            </w:r>
          </w:p>
        </w:tc>
        <w:tc>
          <w:tcPr>
            <w:tcW w:w="685" w:type="pct"/>
          </w:tcPr>
          <w:p w14:paraId="26BDEA64" w14:textId="142B0C39" w:rsidR="00086663" w:rsidRPr="00DD5017" w:rsidRDefault="00086663" w:rsidP="00DD5017">
            <w:pPr>
              <w:pStyle w:val="af3"/>
              <w:widowControl w:val="0"/>
              <w:suppressAutoHyphens/>
              <w:jc w:val="center"/>
              <w:rPr>
                <w:rFonts w:cstheme="minorHAnsi"/>
                <w:b/>
                <w:bCs/>
                <w:sz w:val="20"/>
                <w:szCs w:val="20"/>
              </w:rPr>
            </w:pPr>
            <w:r w:rsidRPr="00DD5017">
              <w:rPr>
                <w:rFonts w:cstheme="minorHAnsi"/>
                <w:b/>
                <w:bCs/>
                <w:sz w:val="20"/>
                <w:szCs w:val="20"/>
                <w:lang w:val="ru"/>
              </w:rPr>
              <w:t>13</w:t>
            </w:r>
            <w:r w:rsidR="00A73A97" w:rsidRPr="00DD5017">
              <w:rPr>
                <w:rFonts w:cstheme="minorHAnsi"/>
                <w:b/>
                <w:bCs/>
                <w:sz w:val="20"/>
                <w:szCs w:val="20"/>
                <w:lang w:val="ru"/>
              </w:rPr>
              <w:t>,</w:t>
            </w:r>
            <w:r w:rsidRPr="00DD5017">
              <w:rPr>
                <w:rFonts w:cstheme="minorHAnsi"/>
                <w:b/>
                <w:bCs/>
                <w:sz w:val="20"/>
                <w:szCs w:val="20"/>
                <w:lang w:val="ru"/>
              </w:rPr>
              <w:t>319/7</w:t>
            </w:r>
            <w:r w:rsidR="00A73A97" w:rsidRPr="00DD5017">
              <w:rPr>
                <w:rFonts w:cstheme="minorHAnsi"/>
                <w:b/>
                <w:bCs/>
                <w:sz w:val="20"/>
                <w:szCs w:val="20"/>
                <w:lang w:val="ru"/>
              </w:rPr>
              <w:t>,</w:t>
            </w:r>
            <w:r w:rsidRPr="00DD5017">
              <w:rPr>
                <w:rFonts w:cstheme="minorHAnsi"/>
                <w:b/>
                <w:bCs/>
                <w:sz w:val="20"/>
                <w:szCs w:val="20"/>
                <w:lang w:val="ru"/>
              </w:rPr>
              <w:t>740</w:t>
            </w:r>
          </w:p>
        </w:tc>
        <w:tc>
          <w:tcPr>
            <w:tcW w:w="685" w:type="pct"/>
          </w:tcPr>
          <w:p w14:paraId="5ED5CC54" w14:textId="770EDAB8" w:rsidR="00086663" w:rsidRPr="00DD5017" w:rsidRDefault="00086663" w:rsidP="00DD5017">
            <w:pPr>
              <w:pStyle w:val="af3"/>
              <w:widowControl w:val="0"/>
              <w:suppressAutoHyphens/>
              <w:jc w:val="center"/>
              <w:rPr>
                <w:rFonts w:cstheme="minorHAnsi"/>
                <w:b/>
                <w:bCs/>
                <w:sz w:val="20"/>
                <w:szCs w:val="20"/>
              </w:rPr>
            </w:pPr>
            <w:r w:rsidRPr="00DD5017">
              <w:rPr>
                <w:rFonts w:cstheme="minorHAnsi"/>
                <w:b/>
                <w:bCs/>
                <w:sz w:val="20"/>
                <w:szCs w:val="20"/>
                <w:lang w:val="ru"/>
              </w:rPr>
              <w:t>15</w:t>
            </w:r>
            <w:r w:rsidR="00A73A97" w:rsidRPr="00DD5017">
              <w:rPr>
                <w:rFonts w:cstheme="minorHAnsi"/>
                <w:b/>
                <w:bCs/>
                <w:sz w:val="20"/>
                <w:szCs w:val="20"/>
                <w:lang w:val="ru"/>
              </w:rPr>
              <w:t>,</w:t>
            </w:r>
            <w:r w:rsidRPr="00DD5017">
              <w:rPr>
                <w:rFonts w:cstheme="minorHAnsi"/>
                <w:b/>
                <w:bCs/>
                <w:sz w:val="20"/>
                <w:szCs w:val="20"/>
                <w:lang w:val="ru"/>
              </w:rPr>
              <w:t>211/7</w:t>
            </w:r>
            <w:r w:rsidR="00A73A97" w:rsidRPr="00DD5017">
              <w:rPr>
                <w:rFonts w:cstheme="minorHAnsi"/>
                <w:b/>
                <w:bCs/>
                <w:sz w:val="20"/>
                <w:szCs w:val="20"/>
                <w:lang w:val="ru"/>
              </w:rPr>
              <w:t>,</w:t>
            </w:r>
            <w:r w:rsidRPr="00DD5017">
              <w:rPr>
                <w:rFonts w:cstheme="minorHAnsi"/>
                <w:b/>
                <w:bCs/>
                <w:sz w:val="20"/>
                <w:szCs w:val="20"/>
                <w:lang w:val="ru"/>
              </w:rPr>
              <w:t>459</w:t>
            </w:r>
          </w:p>
        </w:tc>
        <w:tc>
          <w:tcPr>
            <w:tcW w:w="686" w:type="pct"/>
          </w:tcPr>
          <w:p w14:paraId="4B0C8FBA" w14:textId="604D9334" w:rsidR="00086663" w:rsidRPr="00DD5017" w:rsidRDefault="00086663" w:rsidP="00DD5017">
            <w:pPr>
              <w:pStyle w:val="af3"/>
              <w:widowControl w:val="0"/>
              <w:suppressAutoHyphens/>
              <w:jc w:val="center"/>
              <w:rPr>
                <w:rFonts w:cstheme="minorHAnsi"/>
                <w:b/>
                <w:bCs/>
                <w:sz w:val="20"/>
                <w:szCs w:val="20"/>
              </w:rPr>
            </w:pPr>
            <w:r w:rsidRPr="00DD5017">
              <w:rPr>
                <w:rFonts w:cstheme="minorHAnsi"/>
                <w:b/>
                <w:bCs/>
                <w:sz w:val="20"/>
                <w:szCs w:val="20"/>
                <w:lang w:val="ru"/>
              </w:rPr>
              <w:t>16</w:t>
            </w:r>
            <w:r w:rsidR="00A73A97" w:rsidRPr="00DD5017">
              <w:rPr>
                <w:rFonts w:cstheme="minorHAnsi"/>
                <w:b/>
                <w:bCs/>
                <w:sz w:val="20"/>
                <w:szCs w:val="20"/>
                <w:lang w:val="ru"/>
              </w:rPr>
              <w:t>,</w:t>
            </w:r>
            <w:r w:rsidRPr="00DD5017">
              <w:rPr>
                <w:rFonts w:cstheme="minorHAnsi"/>
                <w:b/>
                <w:bCs/>
                <w:sz w:val="20"/>
                <w:szCs w:val="20"/>
                <w:lang w:val="ru"/>
              </w:rPr>
              <w:t>719/7</w:t>
            </w:r>
            <w:r w:rsidR="00A73A97" w:rsidRPr="00DD5017">
              <w:rPr>
                <w:rFonts w:cstheme="minorHAnsi"/>
                <w:b/>
                <w:bCs/>
                <w:sz w:val="20"/>
                <w:szCs w:val="20"/>
                <w:lang w:val="ru"/>
              </w:rPr>
              <w:t>,</w:t>
            </w:r>
            <w:r w:rsidRPr="00DD5017">
              <w:rPr>
                <w:rFonts w:cstheme="minorHAnsi"/>
                <w:b/>
                <w:bCs/>
                <w:sz w:val="20"/>
                <w:szCs w:val="20"/>
                <w:lang w:val="ru"/>
              </w:rPr>
              <w:t>319</w:t>
            </w:r>
          </w:p>
        </w:tc>
        <w:tc>
          <w:tcPr>
            <w:tcW w:w="686" w:type="pct"/>
          </w:tcPr>
          <w:p w14:paraId="3BF2AAE9" w14:textId="64051868" w:rsidR="00086663" w:rsidRPr="00DD5017" w:rsidRDefault="00086663" w:rsidP="00DD5017">
            <w:pPr>
              <w:pStyle w:val="af3"/>
              <w:widowControl w:val="0"/>
              <w:suppressAutoHyphens/>
              <w:jc w:val="center"/>
              <w:rPr>
                <w:rFonts w:cstheme="minorHAnsi"/>
                <w:b/>
                <w:bCs/>
                <w:sz w:val="20"/>
                <w:szCs w:val="20"/>
              </w:rPr>
            </w:pPr>
            <w:r w:rsidRPr="00DD5017">
              <w:rPr>
                <w:rFonts w:cstheme="minorHAnsi"/>
                <w:b/>
                <w:bCs/>
                <w:sz w:val="20"/>
                <w:szCs w:val="20"/>
                <w:lang w:val="ru"/>
              </w:rPr>
              <w:t>15</w:t>
            </w:r>
            <w:r w:rsidR="00A73A97" w:rsidRPr="00DD5017">
              <w:rPr>
                <w:rFonts w:cstheme="minorHAnsi"/>
                <w:b/>
                <w:bCs/>
                <w:sz w:val="20"/>
                <w:szCs w:val="20"/>
                <w:lang w:val="ru"/>
              </w:rPr>
              <w:t>,</w:t>
            </w:r>
            <w:r w:rsidRPr="00DD5017">
              <w:rPr>
                <w:rFonts w:cstheme="minorHAnsi"/>
                <w:b/>
                <w:bCs/>
                <w:sz w:val="20"/>
                <w:szCs w:val="20"/>
                <w:lang w:val="ru"/>
              </w:rPr>
              <w:t>496/6</w:t>
            </w:r>
            <w:r w:rsidR="00A73A97" w:rsidRPr="00DD5017">
              <w:rPr>
                <w:rFonts w:cstheme="minorHAnsi"/>
                <w:b/>
                <w:bCs/>
                <w:sz w:val="20"/>
                <w:szCs w:val="20"/>
                <w:lang w:val="ru"/>
              </w:rPr>
              <w:t>,</w:t>
            </w:r>
            <w:r w:rsidRPr="00DD5017">
              <w:rPr>
                <w:rFonts w:cstheme="minorHAnsi"/>
                <w:b/>
                <w:bCs/>
                <w:sz w:val="20"/>
                <w:szCs w:val="20"/>
                <w:lang w:val="ru"/>
              </w:rPr>
              <w:t>865</w:t>
            </w:r>
          </w:p>
        </w:tc>
        <w:tc>
          <w:tcPr>
            <w:tcW w:w="713" w:type="pct"/>
          </w:tcPr>
          <w:p w14:paraId="67938C67" w14:textId="37B50A08" w:rsidR="00086663" w:rsidRPr="00DD5017" w:rsidRDefault="00086663" w:rsidP="00DD5017">
            <w:pPr>
              <w:pStyle w:val="af3"/>
              <w:widowControl w:val="0"/>
              <w:suppressAutoHyphens/>
              <w:jc w:val="center"/>
              <w:rPr>
                <w:rFonts w:cstheme="minorHAnsi"/>
                <w:b/>
                <w:bCs/>
                <w:sz w:val="20"/>
                <w:szCs w:val="20"/>
              </w:rPr>
            </w:pPr>
            <w:r w:rsidRPr="00DD5017">
              <w:rPr>
                <w:rFonts w:cstheme="minorHAnsi"/>
                <w:b/>
                <w:bCs/>
                <w:sz w:val="20"/>
                <w:szCs w:val="20"/>
                <w:lang w:val="ru"/>
              </w:rPr>
              <w:t>11</w:t>
            </w:r>
            <w:r w:rsidR="00A73A97" w:rsidRPr="00DD5017">
              <w:rPr>
                <w:rFonts w:cstheme="minorHAnsi"/>
                <w:b/>
                <w:bCs/>
                <w:sz w:val="20"/>
                <w:szCs w:val="20"/>
                <w:lang w:val="ru"/>
              </w:rPr>
              <w:t>,</w:t>
            </w:r>
            <w:r w:rsidRPr="00DD5017">
              <w:rPr>
                <w:rFonts w:cstheme="minorHAnsi"/>
                <w:b/>
                <w:bCs/>
                <w:sz w:val="20"/>
                <w:szCs w:val="20"/>
                <w:lang w:val="ru"/>
              </w:rPr>
              <w:t>810/4</w:t>
            </w:r>
            <w:r w:rsidR="00A73A97" w:rsidRPr="00DD5017">
              <w:rPr>
                <w:rFonts w:cstheme="minorHAnsi"/>
                <w:b/>
                <w:bCs/>
                <w:sz w:val="20"/>
                <w:szCs w:val="20"/>
                <w:lang w:val="ru"/>
              </w:rPr>
              <w:t>,</w:t>
            </w:r>
            <w:r w:rsidRPr="00DD5017">
              <w:rPr>
                <w:rFonts w:cstheme="minorHAnsi"/>
                <w:b/>
                <w:bCs/>
                <w:sz w:val="20"/>
                <w:szCs w:val="20"/>
                <w:lang w:val="ru"/>
              </w:rPr>
              <w:t>823</w:t>
            </w:r>
          </w:p>
        </w:tc>
        <w:tc>
          <w:tcPr>
            <w:tcW w:w="667" w:type="pct"/>
          </w:tcPr>
          <w:p w14:paraId="227E2A81" w14:textId="5306466E" w:rsidR="00086663" w:rsidRPr="00DD5017" w:rsidRDefault="00086663" w:rsidP="00DD5017">
            <w:pPr>
              <w:pStyle w:val="af3"/>
              <w:widowControl w:val="0"/>
              <w:suppressAutoHyphens/>
              <w:jc w:val="center"/>
              <w:rPr>
                <w:rFonts w:cstheme="minorHAnsi"/>
                <w:b/>
                <w:bCs/>
                <w:sz w:val="20"/>
                <w:szCs w:val="20"/>
                <w:lang w:val="ru"/>
              </w:rPr>
            </w:pPr>
            <w:r w:rsidRPr="00DD5017">
              <w:rPr>
                <w:rFonts w:cstheme="minorHAnsi"/>
                <w:b/>
                <w:bCs/>
                <w:sz w:val="20"/>
                <w:szCs w:val="20"/>
                <w:lang w:val="ru"/>
              </w:rPr>
              <w:t>11</w:t>
            </w:r>
            <w:r w:rsidR="00A73A97" w:rsidRPr="00DD5017">
              <w:rPr>
                <w:rFonts w:cstheme="minorHAnsi"/>
                <w:b/>
                <w:bCs/>
                <w:sz w:val="20"/>
                <w:szCs w:val="20"/>
                <w:lang w:val="ru"/>
              </w:rPr>
              <w:t>,</w:t>
            </w:r>
            <w:r w:rsidRPr="00DD5017">
              <w:rPr>
                <w:rFonts w:cstheme="minorHAnsi"/>
                <w:b/>
                <w:bCs/>
                <w:sz w:val="20"/>
                <w:szCs w:val="20"/>
                <w:lang w:val="ru"/>
              </w:rPr>
              <w:t>711/5</w:t>
            </w:r>
            <w:r w:rsidR="00A73A97" w:rsidRPr="00DD5017">
              <w:rPr>
                <w:rFonts w:cstheme="minorHAnsi"/>
                <w:b/>
                <w:bCs/>
                <w:sz w:val="20"/>
                <w:szCs w:val="20"/>
                <w:lang w:val="ru"/>
              </w:rPr>
              <w:t>,</w:t>
            </w:r>
            <w:r w:rsidRPr="00DD5017">
              <w:rPr>
                <w:rFonts w:cstheme="minorHAnsi"/>
                <w:b/>
                <w:bCs/>
                <w:sz w:val="20"/>
                <w:szCs w:val="20"/>
                <w:lang w:val="ru"/>
              </w:rPr>
              <w:t>114</w:t>
            </w:r>
          </w:p>
        </w:tc>
      </w:tr>
      <w:tr w:rsidR="007E6536" w:rsidRPr="00DD5017" w14:paraId="77459F2E" w14:textId="77777777" w:rsidTr="00DD5017">
        <w:tc>
          <w:tcPr>
            <w:tcW w:w="878" w:type="pct"/>
          </w:tcPr>
          <w:p w14:paraId="49E07C0A" w14:textId="77777777" w:rsidR="00086663" w:rsidRPr="00DD5017" w:rsidRDefault="00086663" w:rsidP="00DD5017">
            <w:pPr>
              <w:pStyle w:val="af3"/>
              <w:widowControl w:val="0"/>
              <w:suppressAutoHyphens/>
              <w:rPr>
                <w:rFonts w:cstheme="minorHAnsi"/>
                <w:sz w:val="20"/>
                <w:szCs w:val="20"/>
              </w:rPr>
            </w:pPr>
            <w:r w:rsidRPr="00DD5017">
              <w:rPr>
                <w:rFonts w:cstheme="minorHAnsi"/>
                <w:sz w:val="20"/>
                <w:szCs w:val="20"/>
                <w:lang w:val="ru"/>
              </w:rPr>
              <w:t>Пенитенциарный сектор</w:t>
            </w:r>
          </w:p>
        </w:tc>
        <w:tc>
          <w:tcPr>
            <w:tcW w:w="685" w:type="pct"/>
          </w:tcPr>
          <w:p w14:paraId="44037415" w14:textId="4272BD33"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4</w:t>
            </w:r>
            <w:r w:rsidR="00A73A97" w:rsidRPr="00DD5017">
              <w:rPr>
                <w:rFonts w:cstheme="minorHAnsi"/>
                <w:sz w:val="20"/>
                <w:szCs w:val="20"/>
                <w:lang w:val="ru"/>
              </w:rPr>
              <w:t>,</w:t>
            </w:r>
            <w:r w:rsidRPr="00DD5017">
              <w:rPr>
                <w:rFonts w:cstheme="minorHAnsi"/>
                <w:sz w:val="20"/>
                <w:szCs w:val="20"/>
                <w:lang w:val="ru"/>
              </w:rPr>
              <w:t>688/255</w:t>
            </w:r>
          </w:p>
        </w:tc>
        <w:tc>
          <w:tcPr>
            <w:tcW w:w="685" w:type="pct"/>
          </w:tcPr>
          <w:p w14:paraId="53892B69" w14:textId="4C2F1F43"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1</w:t>
            </w:r>
            <w:r w:rsidR="00A73A97" w:rsidRPr="00DD5017">
              <w:rPr>
                <w:rFonts w:cstheme="minorHAnsi"/>
                <w:sz w:val="20"/>
                <w:szCs w:val="20"/>
                <w:lang w:val="ru"/>
              </w:rPr>
              <w:t>,</w:t>
            </w:r>
            <w:r w:rsidRPr="00DD5017">
              <w:rPr>
                <w:rFonts w:cstheme="minorHAnsi"/>
                <w:sz w:val="20"/>
                <w:szCs w:val="20"/>
                <w:lang w:val="ru"/>
              </w:rPr>
              <w:t>377/236</w:t>
            </w:r>
          </w:p>
        </w:tc>
        <w:tc>
          <w:tcPr>
            <w:tcW w:w="686" w:type="pct"/>
          </w:tcPr>
          <w:p w14:paraId="5053368E" w14:textId="5D39DD40"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1</w:t>
            </w:r>
            <w:r w:rsidR="00A73A97" w:rsidRPr="00DD5017">
              <w:rPr>
                <w:rFonts w:cstheme="minorHAnsi"/>
                <w:sz w:val="20"/>
                <w:szCs w:val="20"/>
                <w:lang w:val="ru"/>
              </w:rPr>
              <w:t>,</w:t>
            </w:r>
            <w:r w:rsidRPr="00DD5017">
              <w:rPr>
                <w:rFonts w:cstheme="minorHAnsi"/>
                <w:sz w:val="20"/>
                <w:szCs w:val="20"/>
                <w:lang w:val="ru"/>
              </w:rPr>
              <w:t>684/266</w:t>
            </w:r>
          </w:p>
        </w:tc>
        <w:tc>
          <w:tcPr>
            <w:tcW w:w="686" w:type="pct"/>
          </w:tcPr>
          <w:p w14:paraId="2360D681" w14:textId="77777777"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897/192</w:t>
            </w:r>
          </w:p>
        </w:tc>
        <w:tc>
          <w:tcPr>
            <w:tcW w:w="713" w:type="pct"/>
          </w:tcPr>
          <w:p w14:paraId="5511E270" w14:textId="77777777"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639/62</w:t>
            </w:r>
          </w:p>
        </w:tc>
        <w:tc>
          <w:tcPr>
            <w:tcW w:w="667" w:type="pct"/>
          </w:tcPr>
          <w:p w14:paraId="2A28B8C8" w14:textId="77777777" w:rsidR="00086663" w:rsidRPr="00DD5017" w:rsidRDefault="00086663" w:rsidP="00DD5017">
            <w:pPr>
              <w:pStyle w:val="af3"/>
              <w:widowControl w:val="0"/>
              <w:suppressAutoHyphens/>
              <w:jc w:val="center"/>
              <w:rPr>
                <w:rFonts w:cstheme="minorHAnsi"/>
                <w:sz w:val="20"/>
                <w:szCs w:val="20"/>
                <w:lang w:val="ru"/>
              </w:rPr>
            </w:pPr>
            <w:r w:rsidRPr="00DD5017">
              <w:rPr>
                <w:rFonts w:cstheme="minorHAnsi"/>
                <w:sz w:val="20"/>
                <w:szCs w:val="20"/>
                <w:lang w:val="ru"/>
              </w:rPr>
              <w:t>702/85</w:t>
            </w:r>
          </w:p>
        </w:tc>
      </w:tr>
      <w:tr w:rsidR="007E6536" w:rsidRPr="00DD5017" w14:paraId="7C265AF9" w14:textId="77777777" w:rsidTr="00DD5017">
        <w:tc>
          <w:tcPr>
            <w:tcW w:w="878" w:type="pct"/>
          </w:tcPr>
          <w:p w14:paraId="44F88F56" w14:textId="77777777" w:rsidR="00086663" w:rsidRPr="00DD5017" w:rsidRDefault="00086663" w:rsidP="00DD5017">
            <w:pPr>
              <w:pStyle w:val="af3"/>
              <w:widowControl w:val="0"/>
              <w:suppressAutoHyphens/>
              <w:rPr>
                <w:rFonts w:cstheme="minorHAnsi"/>
                <w:b/>
                <w:bCs/>
                <w:sz w:val="20"/>
                <w:szCs w:val="20"/>
              </w:rPr>
            </w:pPr>
            <w:r w:rsidRPr="00DD5017">
              <w:rPr>
                <w:rFonts w:cstheme="minorHAnsi"/>
                <w:b/>
                <w:bCs/>
                <w:sz w:val="20"/>
                <w:szCs w:val="20"/>
                <w:lang w:val="ru"/>
              </w:rPr>
              <w:t>Всего по стране</w:t>
            </w:r>
          </w:p>
        </w:tc>
        <w:tc>
          <w:tcPr>
            <w:tcW w:w="685" w:type="pct"/>
          </w:tcPr>
          <w:p w14:paraId="0E9FB82D" w14:textId="14F9E636" w:rsidR="00086663" w:rsidRPr="00DD5017" w:rsidRDefault="00A73A97" w:rsidP="00DD5017">
            <w:pPr>
              <w:pStyle w:val="af3"/>
              <w:widowControl w:val="0"/>
              <w:suppressAutoHyphens/>
              <w:rPr>
                <w:rFonts w:cstheme="minorHAnsi"/>
                <w:b/>
                <w:bCs/>
                <w:sz w:val="20"/>
                <w:szCs w:val="20"/>
              </w:rPr>
            </w:pPr>
            <w:r w:rsidRPr="00DD5017">
              <w:rPr>
                <w:rFonts w:cstheme="minorHAnsi"/>
                <w:b/>
                <w:bCs/>
                <w:sz w:val="20"/>
                <w:szCs w:val="20"/>
                <w:lang w:val="en-US"/>
              </w:rPr>
              <w:t>18</w:t>
            </w:r>
            <w:r w:rsidRPr="00DD5017">
              <w:rPr>
                <w:rFonts w:cstheme="minorHAnsi"/>
                <w:b/>
                <w:bCs/>
                <w:sz w:val="20"/>
                <w:szCs w:val="20"/>
                <w:lang w:val="ru-RU"/>
              </w:rPr>
              <w:t>,</w:t>
            </w:r>
            <w:r w:rsidR="00086663" w:rsidRPr="00DD5017">
              <w:rPr>
                <w:rFonts w:cstheme="minorHAnsi"/>
                <w:b/>
                <w:bCs/>
                <w:sz w:val="20"/>
                <w:szCs w:val="20"/>
                <w:lang w:val="ru"/>
              </w:rPr>
              <w:t>007/7</w:t>
            </w:r>
            <w:r w:rsidRPr="00DD5017">
              <w:rPr>
                <w:rFonts w:cstheme="minorHAnsi"/>
                <w:b/>
                <w:bCs/>
                <w:sz w:val="20"/>
                <w:szCs w:val="20"/>
                <w:lang w:val="ru"/>
              </w:rPr>
              <w:t>,</w:t>
            </w:r>
            <w:r w:rsidR="00086663" w:rsidRPr="00DD5017">
              <w:rPr>
                <w:rFonts w:cstheme="minorHAnsi"/>
                <w:b/>
                <w:bCs/>
                <w:sz w:val="20"/>
                <w:szCs w:val="20"/>
                <w:lang w:val="ru"/>
              </w:rPr>
              <w:t>995</w:t>
            </w:r>
          </w:p>
        </w:tc>
        <w:tc>
          <w:tcPr>
            <w:tcW w:w="685" w:type="pct"/>
          </w:tcPr>
          <w:p w14:paraId="20695956" w14:textId="27E7E344" w:rsidR="00086663" w:rsidRPr="00DD5017" w:rsidRDefault="00A73A97" w:rsidP="00DD5017">
            <w:pPr>
              <w:pStyle w:val="af3"/>
              <w:widowControl w:val="0"/>
              <w:suppressAutoHyphens/>
              <w:rPr>
                <w:rFonts w:cstheme="minorHAnsi"/>
                <w:b/>
                <w:bCs/>
                <w:sz w:val="20"/>
                <w:szCs w:val="20"/>
              </w:rPr>
            </w:pPr>
            <w:r w:rsidRPr="00DD5017">
              <w:rPr>
                <w:rFonts w:cstheme="minorHAnsi"/>
                <w:b/>
                <w:bCs/>
                <w:sz w:val="20"/>
                <w:szCs w:val="20"/>
                <w:lang w:val="en-US"/>
              </w:rPr>
              <w:t>16</w:t>
            </w:r>
            <w:r w:rsidRPr="00DD5017">
              <w:rPr>
                <w:rFonts w:cstheme="minorHAnsi"/>
                <w:b/>
                <w:bCs/>
                <w:sz w:val="20"/>
                <w:szCs w:val="20"/>
                <w:lang w:val="ru-RU"/>
              </w:rPr>
              <w:t>,</w:t>
            </w:r>
            <w:r w:rsidR="00086663" w:rsidRPr="00DD5017">
              <w:rPr>
                <w:rFonts w:cstheme="minorHAnsi"/>
                <w:b/>
                <w:bCs/>
                <w:sz w:val="20"/>
                <w:szCs w:val="20"/>
                <w:lang w:val="ru"/>
              </w:rPr>
              <w:t>588/7</w:t>
            </w:r>
            <w:r w:rsidRPr="00DD5017">
              <w:rPr>
                <w:rFonts w:cstheme="minorHAnsi"/>
                <w:b/>
                <w:bCs/>
                <w:sz w:val="20"/>
                <w:szCs w:val="20"/>
                <w:lang w:val="ru"/>
              </w:rPr>
              <w:t>,</w:t>
            </w:r>
            <w:r w:rsidR="00086663" w:rsidRPr="00DD5017">
              <w:rPr>
                <w:rFonts w:cstheme="minorHAnsi"/>
                <w:b/>
                <w:bCs/>
                <w:sz w:val="20"/>
                <w:szCs w:val="20"/>
                <w:lang w:val="ru"/>
              </w:rPr>
              <w:t>695</w:t>
            </w:r>
          </w:p>
        </w:tc>
        <w:tc>
          <w:tcPr>
            <w:tcW w:w="686" w:type="pct"/>
          </w:tcPr>
          <w:p w14:paraId="0494FA8F" w14:textId="5DF77580" w:rsidR="00086663" w:rsidRPr="00DD5017" w:rsidRDefault="00A73A97" w:rsidP="00DD5017">
            <w:pPr>
              <w:pStyle w:val="af3"/>
              <w:widowControl w:val="0"/>
              <w:suppressAutoHyphens/>
              <w:rPr>
                <w:rFonts w:cstheme="minorHAnsi"/>
                <w:b/>
                <w:bCs/>
                <w:sz w:val="20"/>
                <w:szCs w:val="20"/>
              </w:rPr>
            </w:pPr>
            <w:r w:rsidRPr="00DD5017">
              <w:rPr>
                <w:rFonts w:cstheme="minorHAnsi"/>
                <w:b/>
                <w:bCs/>
                <w:sz w:val="20"/>
                <w:szCs w:val="20"/>
                <w:lang w:val="en-US"/>
              </w:rPr>
              <w:t>18</w:t>
            </w:r>
            <w:r w:rsidRPr="00DD5017">
              <w:rPr>
                <w:rFonts w:cstheme="minorHAnsi"/>
                <w:b/>
                <w:bCs/>
                <w:sz w:val="20"/>
                <w:szCs w:val="20"/>
                <w:lang w:val="ru-RU"/>
              </w:rPr>
              <w:t>,</w:t>
            </w:r>
            <w:r w:rsidR="00086663" w:rsidRPr="00DD5017">
              <w:rPr>
                <w:rFonts w:cstheme="minorHAnsi"/>
                <w:b/>
                <w:bCs/>
                <w:sz w:val="20"/>
                <w:szCs w:val="20"/>
                <w:lang w:val="ru"/>
              </w:rPr>
              <w:t>403/7</w:t>
            </w:r>
            <w:r w:rsidRPr="00DD5017">
              <w:rPr>
                <w:rFonts w:cstheme="minorHAnsi"/>
                <w:b/>
                <w:bCs/>
                <w:sz w:val="20"/>
                <w:szCs w:val="20"/>
                <w:lang w:val="ru"/>
              </w:rPr>
              <w:t>,</w:t>
            </w:r>
            <w:r w:rsidR="00086663" w:rsidRPr="00DD5017">
              <w:rPr>
                <w:rFonts w:cstheme="minorHAnsi"/>
                <w:b/>
                <w:bCs/>
                <w:sz w:val="20"/>
                <w:szCs w:val="20"/>
                <w:lang w:val="ru"/>
              </w:rPr>
              <w:t>585</w:t>
            </w:r>
          </w:p>
        </w:tc>
        <w:tc>
          <w:tcPr>
            <w:tcW w:w="686" w:type="pct"/>
          </w:tcPr>
          <w:p w14:paraId="625CE9E8" w14:textId="03FABB37" w:rsidR="00086663" w:rsidRPr="00DD5017" w:rsidRDefault="00A73A97" w:rsidP="00DD5017">
            <w:pPr>
              <w:pStyle w:val="af3"/>
              <w:widowControl w:val="0"/>
              <w:suppressAutoHyphens/>
              <w:rPr>
                <w:rFonts w:cstheme="minorHAnsi"/>
                <w:b/>
                <w:bCs/>
                <w:sz w:val="20"/>
                <w:szCs w:val="20"/>
              </w:rPr>
            </w:pPr>
            <w:r w:rsidRPr="00DD5017">
              <w:rPr>
                <w:rFonts w:cstheme="minorHAnsi"/>
                <w:b/>
                <w:bCs/>
                <w:sz w:val="20"/>
                <w:szCs w:val="20"/>
                <w:lang w:val="ru"/>
              </w:rPr>
              <w:t>16,</w:t>
            </w:r>
            <w:r w:rsidR="00086663" w:rsidRPr="00DD5017">
              <w:rPr>
                <w:rFonts w:cstheme="minorHAnsi"/>
                <w:b/>
                <w:bCs/>
                <w:sz w:val="20"/>
                <w:szCs w:val="20"/>
                <w:lang w:val="ru"/>
              </w:rPr>
              <w:t>393/7</w:t>
            </w:r>
            <w:r w:rsidRPr="00DD5017">
              <w:rPr>
                <w:rFonts w:cstheme="minorHAnsi"/>
                <w:b/>
                <w:bCs/>
                <w:sz w:val="20"/>
                <w:szCs w:val="20"/>
                <w:lang w:val="ru"/>
              </w:rPr>
              <w:t>,</w:t>
            </w:r>
            <w:r w:rsidR="00086663" w:rsidRPr="00DD5017">
              <w:rPr>
                <w:rFonts w:cstheme="minorHAnsi"/>
                <w:b/>
                <w:bCs/>
                <w:sz w:val="20"/>
                <w:szCs w:val="20"/>
                <w:lang w:val="ru"/>
              </w:rPr>
              <w:t>057</w:t>
            </w:r>
          </w:p>
        </w:tc>
        <w:tc>
          <w:tcPr>
            <w:tcW w:w="713" w:type="pct"/>
          </w:tcPr>
          <w:p w14:paraId="21865EB2" w14:textId="3E6986A5" w:rsidR="00086663" w:rsidRPr="00DD5017" w:rsidRDefault="00A73A97" w:rsidP="00DD5017">
            <w:pPr>
              <w:pStyle w:val="af3"/>
              <w:widowControl w:val="0"/>
              <w:suppressAutoHyphens/>
              <w:rPr>
                <w:rFonts w:cstheme="minorHAnsi"/>
                <w:b/>
                <w:bCs/>
                <w:sz w:val="20"/>
                <w:szCs w:val="20"/>
              </w:rPr>
            </w:pPr>
            <w:r w:rsidRPr="00DD5017">
              <w:rPr>
                <w:rFonts w:cstheme="minorHAnsi"/>
                <w:b/>
                <w:bCs/>
                <w:sz w:val="20"/>
                <w:szCs w:val="20"/>
                <w:lang w:val="ru"/>
              </w:rPr>
              <w:t>12,</w:t>
            </w:r>
            <w:r w:rsidR="00086663" w:rsidRPr="00DD5017">
              <w:rPr>
                <w:rFonts w:cstheme="minorHAnsi"/>
                <w:b/>
                <w:bCs/>
                <w:sz w:val="20"/>
                <w:szCs w:val="20"/>
                <w:lang w:val="ru"/>
              </w:rPr>
              <w:t>449/4</w:t>
            </w:r>
            <w:r w:rsidRPr="00DD5017">
              <w:rPr>
                <w:rFonts w:cstheme="minorHAnsi"/>
                <w:b/>
                <w:bCs/>
                <w:sz w:val="20"/>
                <w:szCs w:val="20"/>
                <w:lang w:val="ru"/>
              </w:rPr>
              <w:t>,</w:t>
            </w:r>
            <w:r w:rsidR="00086663" w:rsidRPr="00DD5017">
              <w:rPr>
                <w:rFonts w:cstheme="minorHAnsi"/>
                <w:b/>
                <w:bCs/>
                <w:sz w:val="20"/>
                <w:szCs w:val="20"/>
                <w:lang w:val="ru"/>
              </w:rPr>
              <w:t>885</w:t>
            </w:r>
          </w:p>
        </w:tc>
        <w:tc>
          <w:tcPr>
            <w:tcW w:w="667" w:type="pct"/>
          </w:tcPr>
          <w:p w14:paraId="3AEB9E58" w14:textId="76F5BF80" w:rsidR="00086663" w:rsidRPr="00DD5017" w:rsidRDefault="00086663" w:rsidP="00DD5017">
            <w:pPr>
              <w:pStyle w:val="af3"/>
              <w:widowControl w:val="0"/>
              <w:suppressAutoHyphens/>
              <w:jc w:val="center"/>
              <w:rPr>
                <w:rFonts w:cstheme="minorHAnsi"/>
                <w:b/>
                <w:bCs/>
                <w:sz w:val="20"/>
                <w:szCs w:val="20"/>
                <w:lang w:val="ru"/>
              </w:rPr>
            </w:pPr>
            <w:r w:rsidRPr="00DD5017">
              <w:rPr>
                <w:rFonts w:cstheme="minorHAnsi"/>
                <w:b/>
                <w:bCs/>
                <w:sz w:val="20"/>
                <w:szCs w:val="20"/>
                <w:lang w:val="ru"/>
              </w:rPr>
              <w:t>12</w:t>
            </w:r>
            <w:r w:rsidR="00A73A97" w:rsidRPr="00DD5017">
              <w:rPr>
                <w:rFonts w:cstheme="minorHAnsi"/>
                <w:b/>
                <w:bCs/>
                <w:sz w:val="20"/>
                <w:szCs w:val="20"/>
                <w:lang w:val="ru"/>
              </w:rPr>
              <w:t>,</w:t>
            </w:r>
            <w:r w:rsidRPr="00DD5017">
              <w:rPr>
                <w:rFonts w:cstheme="minorHAnsi"/>
                <w:b/>
                <w:bCs/>
                <w:sz w:val="20"/>
                <w:szCs w:val="20"/>
                <w:lang w:val="ru"/>
              </w:rPr>
              <w:t>413/5</w:t>
            </w:r>
            <w:r w:rsidR="00A73A97" w:rsidRPr="00DD5017">
              <w:rPr>
                <w:rFonts w:cstheme="minorHAnsi"/>
                <w:b/>
                <w:bCs/>
                <w:sz w:val="20"/>
                <w:szCs w:val="20"/>
                <w:lang w:val="ru"/>
              </w:rPr>
              <w:t>,</w:t>
            </w:r>
            <w:r w:rsidRPr="00DD5017">
              <w:rPr>
                <w:rFonts w:cstheme="minorHAnsi"/>
                <w:b/>
                <w:bCs/>
                <w:sz w:val="20"/>
                <w:szCs w:val="20"/>
                <w:lang w:val="ru"/>
              </w:rPr>
              <w:t>199</w:t>
            </w:r>
          </w:p>
        </w:tc>
      </w:tr>
    </w:tbl>
    <w:bookmarkEnd w:id="6"/>
    <w:p w14:paraId="667D0DD2" w14:textId="77777777" w:rsidR="00086663" w:rsidRDefault="00086663" w:rsidP="00DD5017">
      <w:pPr>
        <w:pStyle w:val="Subcaption"/>
        <w:widowControl w:val="0"/>
        <w:jc w:val="both"/>
        <w:rPr>
          <w:lang w:val="ru"/>
        </w:rPr>
      </w:pPr>
      <w:r>
        <w:rPr>
          <w:lang w:val="ru"/>
        </w:rPr>
        <w:t xml:space="preserve">Источник: </w:t>
      </w:r>
      <w:r w:rsidRPr="003226EA">
        <w:rPr>
          <w:lang w:val="ru"/>
        </w:rPr>
        <w:t xml:space="preserve">Доклад </w:t>
      </w:r>
      <w:r>
        <w:rPr>
          <w:lang w:val="ru"/>
        </w:rPr>
        <w:t xml:space="preserve">миссии рКЗС </w:t>
      </w:r>
      <w:r w:rsidRPr="003226EA">
        <w:rPr>
          <w:lang w:val="ru"/>
        </w:rPr>
        <w:t>ЕРБ ВОЗ, Кыргызстан, 2021 г.</w:t>
      </w:r>
    </w:p>
    <w:p w14:paraId="66882BCB" w14:textId="77777777" w:rsidR="00086663" w:rsidRPr="005567E5" w:rsidRDefault="00086663" w:rsidP="00DD5017">
      <w:pPr>
        <w:pStyle w:val="Subcaption"/>
        <w:widowControl w:val="0"/>
        <w:jc w:val="both"/>
        <w:rPr>
          <w:lang w:val="ru-RU"/>
        </w:rPr>
      </w:pPr>
      <w:r>
        <w:rPr>
          <w:lang w:val="ru"/>
        </w:rPr>
        <w:t>*отчетные данные НЦФ</w:t>
      </w:r>
    </w:p>
    <w:p w14:paraId="0967FF1E" w14:textId="270D6675" w:rsidR="00086663" w:rsidRPr="005567E5" w:rsidRDefault="00086663" w:rsidP="00DD5017">
      <w:pPr>
        <w:widowControl w:val="0"/>
        <w:spacing w:line="240" w:lineRule="auto"/>
        <w:jc w:val="both"/>
        <w:rPr>
          <w:lang w:val="ru-RU"/>
        </w:rPr>
      </w:pPr>
      <w:r>
        <w:rPr>
          <w:lang w:val="ru"/>
        </w:rPr>
        <w:t>Исторически сотрудничество с частным сектором здравоохранения является ограниченным, и его роль в общей диагностике и лечении туберкулеза незначительна. Подход «Поиск, активное разделение и лечение» (FAST) был внедрен с 20</w:t>
      </w:r>
      <w:r>
        <w:rPr>
          <w:color w:val="B2092D" w:themeColor="accent1" w:themeShade="BF"/>
          <w:lang w:val="ru"/>
        </w:rPr>
        <w:t>2</w:t>
      </w:r>
      <w:r>
        <w:rPr>
          <w:lang w:val="ru"/>
        </w:rPr>
        <w:t>2 г. в отдельных проектных сайтах (</w:t>
      </w:r>
      <w:r w:rsidRPr="00661FF8">
        <w:rPr>
          <w:lang w:val="ru"/>
        </w:rPr>
        <w:t>Чуй</w:t>
      </w:r>
      <w:r>
        <w:rPr>
          <w:lang w:val="ru"/>
        </w:rPr>
        <w:t>,</w:t>
      </w:r>
      <w:r w:rsidRPr="00661FF8">
        <w:rPr>
          <w:lang w:val="ru"/>
        </w:rPr>
        <w:t xml:space="preserve"> Бишкек</w:t>
      </w:r>
      <w:r>
        <w:rPr>
          <w:lang w:val="ru"/>
        </w:rPr>
        <w:t>,</w:t>
      </w:r>
      <w:r w:rsidRPr="00661FF8">
        <w:rPr>
          <w:lang w:val="ru"/>
        </w:rPr>
        <w:t xml:space="preserve"> Нарынская</w:t>
      </w:r>
      <w:r>
        <w:rPr>
          <w:lang w:val="ru"/>
        </w:rPr>
        <w:t xml:space="preserve"> область</w:t>
      </w:r>
      <w:r w:rsidRPr="00661FF8">
        <w:rPr>
          <w:lang w:val="ru"/>
        </w:rPr>
        <w:t xml:space="preserve"> и Карасу</w:t>
      </w:r>
      <w:r w:rsidRPr="005567E5">
        <w:rPr>
          <w:color w:val="B2092D" w:themeColor="accent1" w:themeShade="BF"/>
          <w:lang w:val="ru"/>
        </w:rPr>
        <w:t>й</w:t>
      </w:r>
      <w:r w:rsidRPr="00661FF8">
        <w:rPr>
          <w:lang w:val="ru"/>
        </w:rPr>
        <w:t xml:space="preserve">ский район Ошской </w:t>
      </w:r>
      <w:r>
        <w:rPr>
          <w:lang w:val="ru"/>
        </w:rPr>
        <w:t>области)</w:t>
      </w:r>
      <w:r w:rsidRPr="00661FF8">
        <w:rPr>
          <w:lang w:val="ru"/>
        </w:rPr>
        <w:t xml:space="preserve"> с акцентом на стационарные учреждения.</w:t>
      </w:r>
      <w:r>
        <w:rPr>
          <w:lang w:val="ru"/>
        </w:rPr>
        <w:t xml:space="preserve"> </w:t>
      </w:r>
    </w:p>
    <w:p w14:paraId="75B2D3A6" w14:textId="77777777" w:rsidR="00086663" w:rsidRPr="00A80FEA" w:rsidRDefault="00086663" w:rsidP="00DD5017">
      <w:pPr>
        <w:widowControl w:val="0"/>
        <w:spacing w:line="240" w:lineRule="auto"/>
        <w:jc w:val="both"/>
        <w:rPr>
          <w:i/>
          <w:iCs/>
          <w:lang w:val="ru-RU"/>
        </w:rPr>
      </w:pPr>
      <w:r>
        <w:rPr>
          <w:i/>
          <w:lang w:val="ru"/>
        </w:rPr>
        <w:t>Р</w:t>
      </w:r>
      <w:r w:rsidRPr="00474305">
        <w:rPr>
          <w:i/>
          <w:lang w:val="ru"/>
        </w:rPr>
        <w:t>асследование</w:t>
      </w:r>
      <w:r w:rsidRPr="00C31101">
        <w:rPr>
          <w:i/>
          <w:lang w:val="ru"/>
        </w:rPr>
        <w:t xml:space="preserve"> </w:t>
      </w:r>
      <w:r>
        <w:rPr>
          <w:i/>
          <w:lang w:val="ru"/>
        </w:rPr>
        <w:t>в очагах кон</w:t>
      </w:r>
      <w:r w:rsidRPr="00474305">
        <w:rPr>
          <w:i/>
          <w:lang w:val="ru"/>
        </w:rPr>
        <w:t>такт</w:t>
      </w:r>
      <w:r>
        <w:rPr>
          <w:i/>
          <w:lang w:val="ru"/>
        </w:rPr>
        <w:t>а</w:t>
      </w:r>
    </w:p>
    <w:p w14:paraId="686E7885" w14:textId="5166CEE8" w:rsidR="00086663" w:rsidRPr="005567E5" w:rsidRDefault="00086663" w:rsidP="00DD5017">
      <w:pPr>
        <w:widowControl w:val="0"/>
        <w:spacing w:line="240" w:lineRule="auto"/>
        <w:jc w:val="both"/>
        <w:rPr>
          <w:lang w:val="ru-RU"/>
        </w:rPr>
      </w:pPr>
      <w:r w:rsidRPr="00D30F8E">
        <w:rPr>
          <w:lang w:val="ru"/>
        </w:rPr>
        <w:t>Распоряжением МЗ КР № 429 (2018 г.) б</w:t>
      </w:r>
      <w:r>
        <w:rPr>
          <w:lang w:val="ru"/>
        </w:rPr>
        <w:t xml:space="preserve">ыло утверждено </w:t>
      </w:r>
      <w:r w:rsidRPr="00572AA5">
        <w:rPr>
          <w:lang w:val="ru"/>
        </w:rPr>
        <w:t xml:space="preserve">руководство по расследованию случаев заболевания туберкулезом в Кыргызстане. Общий процесс </w:t>
      </w:r>
      <w:r>
        <w:rPr>
          <w:lang w:val="ru"/>
        </w:rPr>
        <w:t xml:space="preserve">управляется совместно </w:t>
      </w:r>
      <w:r w:rsidRPr="00E43EFA">
        <w:rPr>
          <w:lang w:val="ru"/>
        </w:rPr>
        <w:t>Департаментом профилактики заболеваний и госэпиднадзора (</w:t>
      </w:r>
      <w:r>
        <w:rPr>
          <w:lang w:val="ru"/>
        </w:rPr>
        <w:t>ДПЗиГСЭН</w:t>
      </w:r>
      <w:r w:rsidRPr="00572AA5">
        <w:rPr>
          <w:lang w:val="ru"/>
        </w:rPr>
        <w:t>), ПМСП и противотуберкулезн</w:t>
      </w:r>
      <w:r>
        <w:rPr>
          <w:lang w:val="ru"/>
        </w:rPr>
        <w:t xml:space="preserve">ой </w:t>
      </w:r>
      <w:r w:rsidRPr="00572AA5">
        <w:rPr>
          <w:lang w:val="ru"/>
        </w:rPr>
        <w:t>служб</w:t>
      </w:r>
      <w:r>
        <w:rPr>
          <w:lang w:val="ru"/>
        </w:rPr>
        <w:t>ой. ПМСП</w:t>
      </w:r>
      <w:r w:rsidRPr="00572AA5">
        <w:rPr>
          <w:lang w:val="ru"/>
        </w:rPr>
        <w:t xml:space="preserve"> отвечает за обследование контактных лиц с помощью рентген</w:t>
      </w:r>
      <w:r>
        <w:rPr>
          <w:lang w:val="ru"/>
        </w:rPr>
        <w:t xml:space="preserve">-диагностики </w:t>
      </w:r>
      <w:r w:rsidRPr="00572AA5">
        <w:rPr>
          <w:lang w:val="ru"/>
        </w:rPr>
        <w:t xml:space="preserve">и </w:t>
      </w:r>
      <w:r>
        <w:rPr>
          <w:lang w:val="ru"/>
        </w:rPr>
        <w:t xml:space="preserve">проведения </w:t>
      </w:r>
      <w:r w:rsidRPr="00572AA5">
        <w:rPr>
          <w:lang w:val="ru"/>
        </w:rPr>
        <w:t>кожн</w:t>
      </w:r>
      <w:r>
        <w:rPr>
          <w:lang w:val="ru"/>
        </w:rPr>
        <w:t>ых</w:t>
      </w:r>
      <w:r w:rsidRPr="00572AA5">
        <w:rPr>
          <w:lang w:val="ru"/>
        </w:rPr>
        <w:t xml:space="preserve"> </w:t>
      </w:r>
      <w:r>
        <w:rPr>
          <w:lang w:val="ru"/>
        </w:rPr>
        <w:t>проб</w:t>
      </w:r>
      <w:r w:rsidRPr="00572AA5">
        <w:rPr>
          <w:lang w:val="ru"/>
        </w:rPr>
        <w:t xml:space="preserve"> (</w:t>
      </w:r>
      <w:r>
        <w:rPr>
          <w:lang w:val="ru"/>
        </w:rPr>
        <w:t>среди</w:t>
      </w:r>
      <w:r w:rsidRPr="00572AA5">
        <w:rPr>
          <w:lang w:val="ru"/>
        </w:rPr>
        <w:t xml:space="preserve"> детей). В случае появления симптомов, отклонений на рентгеновском снимке или положительной туберкулиновой кожной пробы, контакт</w:t>
      </w:r>
      <w:r>
        <w:rPr>
          <w:lang w:val="ru"/>
        </w:rPr>
        <w:t>н</w:t>
      </w:r>
      <w:r w:rsidRPr="00572AA5">
        <w:rPr>
          <w:lang w:val="ru"/>
        </w:rPr>
        <w:t>ы</w:t>
      </w:r>
      <w:r>
        <w:rPr>
          <w:lang w:val="ru"/>
        </w:rPr>
        <w:t>е</w:t>
      </w:r>
      <w:r w:rsidRPr="00572AA5">
        <w:rPr>
          <w:lang w:val="ru"/>
        </w:rPr>
        <w:t xml:space="preserve"> </w:t>
      </w:r>
      <w:r>
        <w:rPr>
          <w:lang w:val="ru"/>
        </w:rPr>
        <w:t>по</w:t>
      </w:r>
      <w:r w:rsidRPr="00572AA5">
        <w:rPr>
          <w:lang w:val="ru"/>
        </w:rPr>
        <w:t xml:space="preserve"> туберкулез</w:t>
      </w:r>
      <w:r>
        <w:rPr>
          <w:lang w:val="ru"/>
        </w:rPr>
        <w:t>у</w:t>
      </w:r>
      <w:r w:rsidRPr="00572AA5">
        <w:rPr>
          <w:lang w:val="ru"/>
        </w:rPr>
        <w:t xml:space="preserve"> </w:t>
      </w:r>
      <w:r>
        <w:rPr>
          <w:lang w:val="ru"/>
        </w:rPr>
        <w:t>об</w:t>
      </w:r>
      <w:r w:rsidRPr="00572AA5">
        <w:rPr>
          <w:lang w:val="ru"/>
        </w:rPr>
        <w:t xml:space="preserve">следуются дополнительно с помощью лабораторных тестов (микроскопия, рентген). Результаты теста обсуждаются совместно ПМСП и врачами-фтизиатрами. </w:t>
      </w:r>
      <w:r>
        <w:rPr>
          <w:lang w:val="ru"/>
        </w:rPr>
        <w:t xml:space="preserve">В 2019-2021 гг. среднее число лиц, имевших контакт с пациентами с </w:t>
      </w:r>
      <w:r w:rsidRPr="00096AD6">
        <w:rPr>
          <w:lang w:val="ru"/>
        </w:rPr>
        <w:t>бактериологически подтвержденным туберкулезом легких</w:t>
      </w:r>
      <w:r>
        <w:rPr>
          <w:lang w:val="ru"/>
        </w:rPr>
        <w:t xml:space="preserve"> и прошедших скрининг на туберкулез, составило 3</w:t>
      </w:r>
      <w:r w:rsidR="00D52B7D">
        <w:rPr>
          <w:lang w:val="ru"/>
        </w:rPr>
        <w:t>.</w:t>
      </w:r>
      <w:r>
        <w:rPr>
          <w:lang w:val="ru"/>
        </w:rPr>
        <w:t>2–3</w:t>
      </w:r>
      <w:r w:rsidR="00D52B7D">
        <w:rPr>
          <w:lang w:val="ru"/>
        </w:rPr>
        <w:t>.</w:t>
      </w:r>
      <w:r>
        <w:rPr>
          <w:lang w:val="ru"/>
        </w:rPr>
        <w:t xml:space="preserve">5 чел. на один индексный случай </w:t>
      </w:r>
      <w:r w:rsidRPr="00D52B7D">
        <w:rPr>
          <w:lang w:val="ru"/>
        </w:rPr>
        <w:t>(</w:t>
      </w:r>
      <w:r w:rsidRPr="00D52B7D">
        <w:rPr>
          <w:lang w:val="ru"/>
        </w:rPr>
        <w:fldChar w:fldCharType="begin"/>
      </w:r>
      <w:r w:rsidRPr="00D52B7D">
        <w:rPr>
          <w:lang w:val="ru"/>
        </w:rPr>
        <w:instrText xml:space="preserve"> REF _Ref118818981 \h  \* MERGEFORMAT </w:instrText>
      </w:r>
      <w:r w:rsidRPr="00D52B7D">
        <w:rPr>
          <w:lang w:val="ru"/>
        </w:rPr>
      </w:r>
      <w:r w:rsidRPr="00D52B7D">
        <w:rPr>
          <w:lang w:val="ru"/>
        </w:rPr>
        <w:fldChar w:fldCharType="separate"/>
      </w:r>
      <w:r w:rsidRPr="00D52B7D">
        <w:rPr>
          <w:lang w:val="ru"/>
        </w:rPr>
        <w:t>Таблица 2</w:t>
      </w:r>
      <w:r w:rsidRPr="00D52B7D">
        <w:rPr>
          <w:lang w:val="ru"/>
        </w:rPr>
        <w:fldChar w:fldCharType="end"/>
      </w:r>
      <w:r w:rsidRPr="00D52B7D">
        <w:rPr>
          <w:lang w:val="ru"/>
        </w:rPr>
        <w:t>).</w:t>
      </w:r>
      <w:r>
        <w:rPr>
          <w:lang w:val="ru"/>
        </w:rPr>
        <w:t xml:space="preserve"> </w:t>
      </w:r>
      <w:r w:rsidRPr="008F7277">
        <w:rPr>
          <w:lang w:val="ru"/>
        </w:rPr>
        <w:t>По оценкам, средний размер домохозяйств в Кыргызстане 4</w:t>
      </w:r>
      <w:r w:rsidR="00D52B7D">
        <w:rPr>
          <w:lang w:val="ru"/>
        </w:rPr>
        <w:t>.</w:t>
      </w:r>
      <w:r w:rsidRPr="008F7277">
        <w:rPr>
          <w:lang w:val="ru"/>
        </w:rPr>
        <w:t>2 чел</w:t>
      </w:r>
      <w:r>
        <w:rPr>
          <w:lang w:val="ru"/>
        </w:rPr>
        <w:t>. В</w:t>
      </w:r>
      <w:r w:rsidRPr="001938B0">
        <w:rPr>
          <w:lang w:val="ru"/>
        </w:rPr>
        <w:t xml:space="preserve"> 2020</w:t>
      </w:r>
      <w:r>
        <w:rPr>
          <w:lang w:val="ru"/>
        </w:rPr>
        <w:t> </w:t>
      </w:r>
      <w:r w:rsidRPr="001938B0">
        <w:rPr>
          <w:lang w:val="ru"/>
        </w:rPr>
        <w:t>г</w:t>
      </w:r>
      <w:r>
        <w:rPr>
          <w:lang w:val="ru"/>
        </w:rPr>
        <w:t xml:space="preserve">. </w:t>
      </w:r>
      <w:r w:rsidRPr="00D30F8E">
        <w:rPr>
          <w:lang w:val="ru"/>
        </w:rPr>
        <w:t>инструкция по расследованию контактов</w:t>
      </w:r>
      <w:r w:rsidRPr="001938B0">
        <w:rPr>
          <w:lang w:val="ru"/>
        </w:rPr>
        <w:t xml:space="preserve"> была обновлена</w:t>
      </w:r>
      <w:r>
        <w:rPr>
          <w:lang w:val="ru"/>
        </w:rPr>
        <w:t>,</w:t>
      </w:r>
      <w:r w:rsidRPr="001938B0">
        <w:rPr>
          <w:lang w:val="ru"/>
        </w:rPr>
        <w:t xml:space="preserve"> и в настоящее время внедр</w:t>
      </w:r>
      <w:r>
        <w:rPr>
          <w:lang w:val="ru"/>
        </w:rPr>
        <w:t>яется</w:t>
      </w:r>
      <w:r w:rsidRPr="001938B0">
        <w:rPr>
          <w:lang w:val="ru"/>
        </w:rPr>
        <w:t xml:space="preserve"> в </w:t>
      </w:r>
      <w:r w:rsidR="00755553">
        <w:rPr>
          <w:lang w:val="ru"/>
        </w:rPr>
        <w:t>3 областях, включая Нарынскую</w:t>
      </w:r>
      <w:r w:rsidR="00EE3B82">
        <w:rPr>
          <w:lang w:val="ru"/>
        </w:rPr>
        <w:t>, Баткенскую и Чуйскую области. В инструкции</w:t>
      </w:r>
      <w:r w:rsidR="00755553" w:rsidRPr="00755553">
        <w:rPr>
          <w:lang w:val="ru"/>
        </w:rPr>
        <w:t xml:space="preserve"> </w:t>
      </w:r>
      <w:r w:rsidR="00EE3B82">
        <w:rPr>
          <w:lang w:val="ru"/>
        </w:rPr>
        <w:t>и</w:t>
      </w:r>
      <w:r w:rsidR="00755553" w:rsidRPr="00755553">
        <w:rPr>
          <w:lang w:val="ru"/>
        </w:rPr>
        <w:t>зменились критерии индексного случая, механизм эпид</w:t>
      </w:r>
      <w:r w:rsidR="00EE3B82">
        <w:rPr>
          <w:lang w:val="ru"/>
        </w:rPr>
        <w:t xml:space="preserve">емиологического </w:t>
      </w:r>
      <w:r w:rsidR="00755553" w:rsidRPr="00755553">
        <w:rPr>
          <w:lang w:val="ru"/>
        </w:rPr>
        <w:t>рассле</w:t>
      </w:r>
      <w:r w:rsidR="00EE3B82">
        <w:rPr>
          <w:lang w:val="ru"/>
        </w:rPr>
        <w:t>дования, созданы и внедрены УОФ</w:t>
      </w:r>
      <w:r w:rsidR="00755553" w:rsidRPr="00755553">
        <w:rPr>
          <w:lang w:val="ru"/>
        </w:rPr>
        <w:t>, а также период обследования изменился: контактные должны быть обследованы каждые 6 месяцев независимо от формы ТБ</w:t>
      </w:r>
    </w:p>
    <w:p w14:paraId="711271D6" w14:textId="77777777" w:rsidR="00086663" w:rsidRPr="005567E5" w:rsidRDefault="00086663" w:rsidP="00DD5017">
      <w:pPr>
        <w:pStyle w:val="afff"/>
        <w:keepNext w:val="0"/>
        <w:widowControl w:val="0"/>
        <w:jc w:val="both"/>
        <w:rPr>
          <w:lang w:val="ru-RU"/>
        </w:rPr>
      </w:pPr>
      <w:bookmarkStart w:id="7" w:name="_Ref118818981"/>
      <w:bookmarkStart w:id="8" w:name="_Toc123772411"/>
      <w:r>
        <w:rPr>
          <w:lang w:val="ru"/>
        </w:rPr>
        <w:t xml:space="preserve">Таблица </w:t>
      </w:r>
      <w:r>
        <w:rPr>
          <w:lang w:val="ru"/>
        </w:rPr>
        <w:fldChar w:fldCharType="begin"/>
      </w:r>
      <w:r>
        <w:rPr>
          <w:lang w:val="ru"/>
        </w:rPr>
        <w:instrText xml:space="preserve"> SEQ Table \* ARABIC </w:instrText>
      </w:r>
      <w:r>
        <w:rPr>
          <w:lang w:val="ru"/>
        </w:rPr>
        <w:fldChar w:fldCharType="separate"/>
      </w:r>
      <w:r>
        <w:rPr>
          <w:noProof/>
          <w:lang w:val="ru"/>
        </w:rPr>
        <w:t>2</w:t>
      </w:r>
      <w:r>
        <w:rPr>
          <w:noProof/>
          <w:lang w:val="ru"/>
        </w:rPr>
        <w:fldChar w:fldCharType="end"/>
      </w:r>
      <w:bookmarkEnd w:id="7"/>
      <w:r>
        <w:rPr>
          <w:lang w:val="ru"/>
        </w:rPr>
        <w:t>. Систематический скрининг на туберкулез среди контактных лиц, Кыргызстан, 2019–2021 гг.</w:t>
      </w:r>
      <w:bookmarkEnd w:id="8"/>
    </w:p>
    <w:tbl>
      <w:tblPr>
        <w:tblStyle w:val="afc"/>
        <w:tblW w:w="5000" w:type="pct"/>
        <w:tblLook w:val="04A0" w:firstRow="1" w:lastRow="0" w:firstColumn="1" w:lastColumn="0" w:noHBand="0" w:noVBand="1"/>
      </w:tblPr>
      <w:tblGrid>
        <w:gridCol w:w="7193"/>
        <w:gridCol w:w="1001"/>
        <w:gridCol w:w="1001"/>
        <w:gridCol w:w="999"/>
      </w:tblGrid>
      <w:tr w:rsidR="00086663" w:rsidRPr="006B73D1" w14:paraId="40511241" w14:textId="77777777" w:rsidTr="00071A6B">
        <w:trPr>
          <w:cantSplit/>
          <w:trHeight w:val="20"/>
        </w:trPr>
        <w:tc>
          <w:tcPr>
            <w:tcW w:w="3528" w:type="pct"/>
            <w:shd w:val="clear" w:color="auto" w:fill="D9D9D9" w:themeFill="background1" w:themeFillShade="D9"/>
            <w:hideMark/>
          </w:tcPr>
          <w:p w14:paraId="6BA611AE" w14:textId="77777777" w:rsidR="00086663" w:rsidRPr="006B73D1" w:rsidRDefault="00086663" w:rsidP="00DD5017">
            <w:pPr>
              <w:pStyle w:val="af3"/>
              <w:widowControl w:val="0"/>
              <w:suppressAutoHyphens/>
              <w:jc w:val="both"/>
              <w:rPr>
                <w:b/>
                <w:bCs/>
                <w:sz w:val="20"/>
                <w:szCs w:val="20"/>
              </w:rPr>
            </w:pPr>
            <w:r w:rsidRPr="006B73D1">
              <w:rPr>
                <w:b/>
                <w:bCs/>
                <w:sz w:val="20"/>
                <w:szCs w:val="20"/>
                <w:lang w:val="ru"/>
              </w:rPr>
              <w:t>Индикатор</w:t>
            </w:r>
          </w:p>
        </w:tc>
        <w:tc>
          <w:tcPr>
            <w:tcW w:w="491" w:type="pct"/>
            <w:shd w:val="clear" w:color="auto" w:fill="D9D9D9" w:themeFill="background1" w:themeFillShade="D9"/>
            <w:noWrap/>
            <w:hideMark/>
          </w:tcPr>
          <w:p w14:paraId="5D0132A0" w14:textId="77777777" w:rsidR="00086663" w:rsidRPr="006B73D1" w:rsidRDefault="00086663" w:rsidP="00DD5017">
            <w:pPr>
              <w:pStyle w:val="af3"/>
              <w:widowControl w:val="0"/>
              <w:suppressAutoHyphens/>
              <w:jc w:val="center"/>
              <w:rPr>
                <w:b/>
                <w:bCs/>
                <w:sz w:val="20"/>
                <w:szCs w:val="20"/>
              </w:rPr>
            </w:pPr>
            <w:r w:rsidRPr="006B73D1">
              <w:rPr>
                <w:b/>
                <w:bCs/>
                <w:sz w:val="20"/>
                <w:szCs w:val="20"/>
                <w:lang w:val="ru"/>
              </w:rPr>
              <w:t>2019</w:t>
            </w:r>
          </w:p>
        </w:tc>
        <w:tc>
          <w:tcPr>
            <w:tcW w:w="491" w:type="pct"/>
            <w:shd w:val="clear" w:color="auto" w:fill="D9D9D9" w:themeFill="background1" w:themeFillShade="D9"/>
            <w:noWrap/>
            <w:hideMark/>
          </w:tcPr>
          <w:p w14:paraId="12000C0E" w14:textId="77777777" w:rsidR="00086663" w:rsidRPr="006B73D1" w:rsidRDefault="00086663" w:rsidP="00DD5017">
            <w:pPr>
              <w:pStyle w:val="af3"/>
              <w:widowControl w:val="0"/>
              <w:suppressAutoHyphens/>
              <w:jc w:val="center"/>
              <w:rPr>
                <w:b/>
                <w:bCs/>
                <w:sz w:val="20"/>
                <w:szCs w:val="20"/>
              </w:rPr>
            </w:pPr>
            <w:r w:rsidRPr="006B73D1">
              <w:rPr>
                <w:b/>
                <w:bCs/>
                <w:sz w:val="20"/>
                <w:szCs w:val="20"/>
                <w:lang w:val="ru"/>
              </w:rPr>
              <w:t>2020</w:t>
            </w:r>
          </w:p>
        </w:tc>
        <w:tc>
          <w:tcPr>
            <w:tcW w:w="490" w:type="pct"/>
            <w:shd w:val="clear" w:color="auto" w:fill="D9D9D9" w:themeFill="background1" w:themeFillShade="D9"/>
            <w:noWrap/>
            <w:hideMark/>
          </w:tcPr>
          <w:p w14:paraId="26DB2617" w14:textId="77777777" w:rsidR="00086663" w:rsidRPr="006B73D1" w:rsidRDefault="00086663" w:rsidP="00DD5017">
            <w:pPr>
              <w:pStyle w:val="af3"/>
              <w:widowControl w:val="0"/>
              <w:suppressAutoHyphens/>
              <w:jc w:val="center"/>
              <w:rPr>
                <w:b/>
                <w:bCs/>
                <w:sz w:val="20"/>
                <w:szCs w:val="20"/>
              </w:rPr>
            </w:pPr>
            <w:r w:rsidRPr="006B73D1">
              <w:rPr>
                <w:b/>
                <w:bCs/>
                <w:sz w:val="20"/>
                <w:szCs w:val="20"/>
                <w:lang w:val="ru"/>
              </w:rPr>
              <w:t>2021</w:t>
            </w:r>
          </w:p>
        </w:tc>
      </w:tr>
      <w:tr w:rsidR="00086663" w:rsidRPr="006B73D1" w14:paraId="7F0B755B" w14:textId="77777777" w:rsidTr="00071A6B">
        <w:trPr>
          <w:cantSplit/>
          <w:trHeight w:val="20"/>
        </w:trPr>
        <w:tc>
          <w:tcPr>
            <w:tcW w:w="3528" w:type="pct"/>
            <w:hideMark/>
          </w:tcPr>
          <w:p w14:paraId="01360F8C" w14:textId="77777777" w:rsidR="00086663" w:rsidRPr="006B73D1" w:rsidRDefault="00086663" w:rsidP="00DD5017">
            <w:pPr>
              <w:pStyle w:val="af3"/>
              <w:widowControl w:val="0"/>
              <w:suppressAutoHyphens/>
              <w:jc w:val="both"/>
              <w:rPr>
                <w:sz w:val="20"/>
                <w:szCs w:val="20"/>
                <w:lang w:val="ru-RU"/>
              </w:rPr>
            </w:pPr>
            <w:r w:rsidRPr="006B73D1">
              <w:rPr>
                <w:sz w:val="20"/>
                <w:szCs w:val="20"/>
                <w:lang w:val="ru"/>
              </w:rPr>
              <w:t>Количество людей с бактериологически подтвержденным туберкулезом легких (новые и рецидивы)</w:t>
            </w:r>
          </w:p>
        </w:tc>
        <w:tc>
          <w:tcPr>
            <w:tcW w:w="491" w:type="pct"/>
            <w:noWrap/>
            <w:hideMark/>
          </w:tcPr>
          <w:p w14:paraId="11FF2FB9" w14:textId="295469AA" w:rsidR="00086663" w:rsidRPr="006B73D1" w:rsidRDefault="00086663" w:rsidP="00DD5017">
            <w:pPr>
              <w:pStyle w:val="af3"/>
              <w:widowControl w:val="0"/>
              <w:suppressAutoHyphens/>
              <w:jc w:val="center"/>
              <w:rPr>
                <w:sz w:val="20"/>
                <w:szCs w:val="20"/>
              </w:rPr>
            </w:pPr>
            <w:r w:rsidRPr="006B73D1">
              <w:rPr>
                <w:sz w:val="20"/>
                <w:szCs w:val="20"/>
                <w:lang w:val="ru"/>
              </w:rPr>
              <w:t>3</w:t>
            </w:r>
            <w:r w:rsidR="00D52B7D">
              <w:rPr>
                <w:sz w:val="20"/>
                <w:szCs w:val="20"/>
                <w:lang w:val="ru"/>
              </w:rPr>
              <w:t>,</w:t>
            </w:r>
            <w:r w:rsidRPr="006B73D1">
              <w:rPr>
                <w:sz w:val="20"/>
                <w:szCs w:val="20"/>
                <w:lang w:val="ru"/>
              </w:rPr>
              <w:t>042</w:t>
            </w:r>
          </w:p>
        </w:tc>
        <w:tc>
          <w:tcPr>
            <w:tcW w:w="491" w:type="pct"/>
            <w:noWrap/>
            <w:hideMark/>
          </w:tcPr>
          <w:p w14:paraId="05D69917" w14:textId="5DA934F8" w:rsidR="00086663" w:rsidRPr="006B73D1" w:rsidRDefault="00086663" w:rsidP="00DD5017">
            <w:pPr>
              <w:pStyle w:val="af3"/>
              <w:widowControl w:val="0"/>
              <w:suppressAutoHyphens/>
              <w:jc w:val="center"/>
              <w:rPr>
                <w:sz w:val="20"/>
                <w:szCs w:val="20"/>
              </w:rPr>
            </w:pPr>
            <w:r w:rsidRPr="006B73D1">
              <w:rPr>
                <w:sz w:val="20"/>
                <w:szCs w:val="20"/>
                <w:lang w:val="ru"/>
              </w:rPr>
              <w:t>2</w:t>
            </w:r>
            <w:r w:rsidR="00D52B7D">
              <w:rPr>
                <w:sz w:val="20"/>
                <w:szCs w:val="20"/>
                <w:lang w:val="ru"/>
              </w:rPr>
              <w:t>,</w:t>
            </w:r>
            <w:r w:rsidRPr="006B73D1">
              <w:rPr>
                <w:sz w:val="20"/>
                <w:szCs w:val="20"/>
                <w:lang w:val="ru"/>
              </w:rPr>
              <w:t>252</w:t>
            </w:r>
          </w:p>
        </w:tc>
        <w:tc>
          <w:tcPr>
            <w:tcW w:w="490" w:type="pct"/>
            <w:noWrap/>
            <w:hideMark/>
          </w:tcPr>
          <w:p w14:paraId="14BBADE9" w14:textId="03038F2B" w:rsidR="00086663" w:rsidRPr="006B73D1" w:rsidRDefault="00086663" w:rsidP="00DD5017">
            <w:pPr>
              <w:pStyle w:val="af3"/>
              <w:widowControl w:val="0"/>
              <w:suppressAutoHyphens/>
              <w:jc w:val="center"/>
              <w:rPr>
                <w:sz w:val="20"/>
                <w:szCs w:val="20"/>
              </w:rPr>
            </w:pPr>
            <w:r w:rsidRPr="006B73D1">
              <w:rPr>
                <w:sz w:val="20"/>
                <w:szCs w:val="20"/>
                <w:lang w:val="ru"/>
              </w:rPr>
              <w:t>2</w:t>
            </w:r>
            <w:r w:rsidR="00D52B7D">
              <w:rPr>
                <w:sz w:val="20"/>
                <w:szCs w:val="20"/>
                <w:lang w:val="ru"/>
              </w:rPr>
              <w:t>,</w:t>
            </w:r>
            <w:r w:rsidRPr="006B73D1">
              <w:rPr>
                <w:sz w:val="20"/>
                <w:szCs w:val="20"/>
                <w:lang w:val="ru"/>
              </w:rPr>
              <w:t>381</w:t>
            </w:r>
          </w:p>
        </w:tc>
      </w:tr>
      <w:tr w:rsidR="00086663" w:rsidRPr="006B73D1" w14:paraId="4A5BBE99" w14:textId="77777777" w:rsidTr="00071A6B">
        <w:trPr>
          <w:cantSplit/>
          <w:trHeight w:val="20"/>
        </w:trPr>
        <w:tc>
          <w:tcPr>
            <w:tcW w:w="3528" w:type="pct"/>
            <w:hideMark/>
          </w:tcPr>
          <w:p w14:paraId="75A224F8" w14:textId="77777777" w:rsidR="00086663" w:rsidRPr="006B73D1" w:rsidRDefault="00086663" w:rsidP="00DD5017">
            <w:pPr>
              <w:pStyle w:val="af3"/>
              <w:widowControl w:val="0"/>
              <w:suppressAutoHyphens/>
              <w:jc w:val="both"/>
              <w:rPr>
                <w:sz w:val="20"/>
                <w:szCs w:val="20"/>
                <w:lang w:val="ru-RU"/>
              </w:rPr>
            </w:pPr>
            <w:r w:rsidRPr="006B73D1">
              <w:rPr>
                <w:sz w:val="20"/>
                <w:szCs w:val="20"/>
                <w:lang w:val="ru"/>
              </w:rPr>
              <w:t>Число бытовых контактов бактериологически подтвержденных пациентов с новыми и рецидивирующими туберкулезом в легких, которые были обследованы на туберкулез</w:t>
            </w:r>
          </w:p>
        </w:tc>
        <w:tc>
          <w:tcPr>
            <w:tcW w:w="491" w:type="pct"/>
            <w:noWrap/>
            <w:hideMark/>
          </w:tcPr>
          <w:p w14:paraId="68713EE5" w14:textId="660DA958" w:rsidR="00086663" w:rsidRPr="006B73D1" w:rsidRDefault="00086663" w:rsidP="00DD5017">
            <w:pPr>
              <w:pStyle w:val="af3"/>
              <w:widowControl w:val="0"/>
              <w:suppressAutoHyphens/>
              <w:jc w:val="center"/>
              <w:rPr>
                <w:sz w:val="20"/>
                <w:szCs w:val="20"/>
              </w:rPr>
            </w:pPr>
            <w:r w:rsidRPr="006B73D1">
              <w:rPr>
                <w:sz w:val="20"/>
                <w:szCs w:val="20"/>
                <w:lang w:val="ru"/>
              </w:rPr>
              <w:t>9</w:t>
            </w:r>
            <w:r w:rsidR="00D52B7D">
              <w:rPr>
                <w:sz w:val="20"/>
                <w:szCs w:val="20"/>
                <w:lang w:val="ru"/>
              </w:rPr>
              <w:t>,</w:t>
            </w:r>
            <w:r w:rsidRPr="006B73D1">
              <w:rPr>
                <w:sz w:val="20"/>
                <w:szCs w:val="20"/>
                <w:lang w:val="ru"/>
              </w:rPr>
              <w:t>888</w:t>
            </w:r>
          </w:p>
        </w:tc>
        <w:tc>
          <w:tcPr>
            <w:tcW w:w="491" w:type="pct"/>
            <w:noWrap/>
            <w:hideMark/>
          </w:tcPr>
          <w:p w14:paraId="5B86BA52" w14:textId="4A65C804" w:rsidR="00086663" w:rsidRPr="006B73D1" w:rsidRDefault="00086663" w:rsidP="00DD5017">
            <w:pPr>
              <w:pStyle w:val="af3"/>
              <w:widowControl w:val="0"/>
              <w:suppressAutoHyphens/>
              <w:jc w:val="center"/>
              <w:rPr>
                <w:sz w:val="20"/>
                <w:szCs w:val="20"/>
              </w:rPr>
            </w:pPr>
            <w:r w:rsidRPr="006B73D1">
              <w:rPr>
                <w:sz w:val="20"/>
                <w:szCs w:val="20"/>
                <w:lang w:val="ru"/>
              </w:rPr>
              <w:t>7</w:t>
            </w:r>
            <w:r w:rsidR="00D52B7D">
              <w:rPr>
                <w:sz w:val="20"/>
                <w:szCs w:val="20"/>
                <w:lang w:val="ru"/>
              </w:rPr>
              <w:t>,</w:t>
            </w:r>
            <w:r w:rsidRPr="006B73D1">
              <w:rPr>
                <w:sz w:val="20"/>
                <w:szCs w:val="20"/>
                <w:lang w:val="ru"/>
              </w:rPr>
              <w:t>827*</w:t>
            </w:r>
          </w:p>
        </w:tc>
        <w:tc>
          <w:tcPr>
            <w:tcW w:w="490" w:type="pct"/>
            <w:noWrap/>
            <w:hideMark/>
          </w:tcPr>
          <w:p w14:paraId="5AA6C18A" w14:textId="2ED0D6EC" w:rsidR="00086663" w:rsidRPr="006B73D1" w:rsidRDefault="00086663" w:rsidP="00DD5017">
            <w:pPr>
              <w:pStyle w:val="af3"/>
              <w:widowControl w:val="0"/>
              <w:suppressAutoHyphens/>
              <w:jc w:val="center"/>
              <w:rPr>
                <w:sz w:val="20"/>
                <w:szCs w:val="20"/>
              </w:rPr>
            </w:pPr>
            <w:r w:rsidRPr="006B73D1">
              <w:rPr>
                <w:sz w:val="20"/>
                <w:szCs w:val="20"/>
                <w:lang w:val="ru"/>
              </w:rPr>
              <w:t>7</w:t>
            </w:r>
            <w:r w:rsidR="00D52B7D">
              <w:rPr>
                <w:sz w:val="20"/>
                <w:szCs w:val="20"/>
                <w:lang w:val="ru"/>
              </w:rPr>
              <w:t>,</w:t>
            </w:r>
            <w:r w:rsidRPr="006B73D1">
              <w:rPr>
                <w:sz w:val="20"/>
                <w:szCs w:val="20"/>
                <w:lang w:val="ru"/>
              </w:rPr>
              <w:t>715</w:t>
            </w:r>
          </w:p>
        </w:tc>
      </w:tr>
      <w:tr w:rsidR="00086663" w:rsidRPr="006B73D1" w14:paraId="1435ED9B" w14:textId="77777777" w:rsidTr="00071A6B">
        <w:trPr>
          <w:cantSplit/>
          <w:trHeight w:val="20"/>
        </w:trPr>
        <w:tc>
          <w:tcPr>
            <w:tcW w:w="3528" w:type="pct"/>
            <w:hideMark/>
          </w:tcPr>
          <w:p w14:paraId="3CABC9E6" w14:textId="77777777" w:rsidR="00086663" w:rsidRPr="006B73D1" w:rsidRDefault="00086663" w:rsidP="00DD5017">
            <w:pPr>
              <w:pStyle w:val="af3"/>
              <w:widowControl w:val="0"/>
              <w:suppressAutoHyphens/>
              <w:jc w:val="both"/>
              <w:rPr>
                <w:sz w:val="20"/>
                <w:szCs w:val="20"/>
                <w:lang w:val="ru-RU"/>
              </w:rPr>
            </w:pPr>
            <w:r w:rsidRPr="006B73D1">
              <w:rPr>
                <w:sz w:val="20"/>
                <w:szCs w:val="20"/>
                <w:lang w:val="ru"/>
              </w:rPr>
              <w:t xml:space="preserve">В среднем </w:t>
            </w:r>
            <w:r w:rsidRPr="00DD799A">
              <w:rPr>
                <w:sz w:val="20"/>
                <w:szCs w:val="20"/>
                <w:lang w:val="ru-RU"/>
              </w:rPr>
              <w:t>#</w:t>
            </w:r>
            <w:r w:rsidRPr="006B73D1">
              <w:rPr>
                <w:sz w:val="20"/>
                <w:szCs w:val="20"/>
                <w:lang w:val="ru"/>
              </w:rPr>
              <w:t xml:space="preserve"> контактных лиц, прошедших скрининг на 1 индексного пациента с бактериологически подтвержденным туберкулезом легких (новые и рецидивы)</w:t>
            </w:r>
          </w:p>
        </w:tc>
        <w:tc>
          <w:tcPr>
            <w:tcW w:w="491" w:type="pct"/>
            <w:noWrap/>
            <w:hideMark/>
          </w:tcPr>
          <w:p w14:paraId="256D5FFD" w14:textId="7765DE0F" w:rsidR="00086663" w:rsidRPr="006B73D1" w:rsidRDefault="00086663" w:rsidP="00DD5017">
            <w:pPr>
              <w:pStyle w:val="af3"/>
              <w:widowControl w:val="0"/>
              <w:suppressAutoHyphens/>
              <w:jc w:val="center"/>
              <w:rPr>
                <w:sz w:val="20"/>
                <w:szCs w:val="20"/>
              </w:rPr>
            </w:pPr>
            <w:r w:rsidRPr="006B73D1">
              <w:rPr>
                <w:sz w:val="20"/>
                <w:szCs w:val="20"/>
                <w:lang w:val="ru"/>
              </w:rPr>
              <w:t>3</w:t>
            </w:r>
            <w:r w:rsidR="00D52B7D">
              <w:rPr>
                <w:sz w:val="20"/>
                <w:szCs w:val="20"/>
                <w:lang w:val="ru"/>
              </w:rPr>
              <w:t>.</w:t>
            </w:r>
            <w:r w:rsidRPr="006B73D1">
              <w:rPr>
                <w:sz w:val="20"/>
                <w:szCs w:val="20"/>
                <w:lang w:val="ru"/>
              </w:rPr>
              <w:t>3</w:t>
            </w:r>
          </w:p>
        </w:tc>
        <w:tc>
          <w:tcPr>
            <w:tcW w:w="491" w:type="pct"/>
            <w:noWrap/>
            <w:hideMark/>
          </w:tcPr>
          <w:p w14:paraId="700821CF" w14:textId="176566D4" w:rsidR="00086663" w:rsidRPr="006B73D1" w:rsidRDefault="00086663" w:rsidP="00DD5017">
            <w:pPr>
              <w:pStyle w:val="af3"/>
              <w:widowControl w:val="0"/>
              <w:suppressAutoHyphens/>
              <w:jc w:val="center"/>
              <w:rPr>
                <w:sz w:val="20"/>
                <w:szCs w:val="20"/>
              </w:rPr>
            </w:pPr>
            <w:r w:rsidRPr="006B73D1">
              <w:rPr>
                <w:sz w:val="20"/>
                <w:szCs w:val="20"/>
                <w:lang w:val="ru"/>
              </w:rPr>
              <w:t>3</w:t>
            </w:r>
            <w:r w:rsidR="00D52B7D">
              <w:rPr>
                <w:sz w:val="20"/>
                <w:szCs w:val="20"/>
                <w:lang w:val="ru"/>
              </w:rPr>
              <w:t>.</w:t>
            </w:r>
            <w:r w:rsidRPr="006B73D1">
              <w:rPr>
                <w:sz w:val="20"/>
                <w:szCs w:val="20"/>
                <w:lang w:val="ru"/>
              </w:rPr>
              <w:t>5</w:t>
            </w:r>
          </w:p>
        </w:tc>
        <w:tc>
          <w:tcPr>
            <w:tcW w:w="490" w:type="pct"/>
            <w:noWrap/>
            <w:hideMark/>
          </w:tcPr>
          <w:p w14:paraId="0305E52F" w14:textId="0E327BA6" w:rsidR="00086663" w:rsidRPr="006B73D1" w:rsidRDefault="00086663" w:rsidP="00DD5017">
            <w:pPr>
              <w:pStyle w:val="af3"/>
              <w:widowControl w:val="0"/>
              <w:suppressAutoHyphens/>
              <w:jc w:val="center"/>
              <w:rPr>
                <w:sz w:val="20"/>
                <w:szCs w:val="20"/>
              </w:rPr>
            </w:pPr>
            <w:r w:rsidRPr="006B73D1">
              <w:rPr>
                <w:sz w:val="20"/>
                <w:szCs w:val="20"/>
                <w:lang w:val="ru"/>
              </w:rPr>
              <w:t>3</w:t>
            </w:r>
            <w:r w:rsidR="00D52B7D">
              <w:rPr>
                <w:sz w:val="20"/>
                <w:szCs w:val="20"/>
                <w:lang w:val="ru"/>
              </w:rPr>
              <w:t>.</w:t>
            </w:r>
            <w:r w:rsidRPr="006B73D1">
              <w:rPr>
                <w:sz w:val="20"/>
                <w:szCs w:val="20"/>
                <w:lang w:val="ru"/>
              </w:rPr>
              <w:t>2</w:t>
            </w:r>
          </w:p>
        </w:tc>
      </w:tr>
    </w:tbl>
    <w:p w14:paraId="73E90942" w14:textId="77777777" w:rsidR="00086663" w:rsidRPr="005567E5" w:rsidRDefault="00086663" w:rsidP="00DD5017">
      <w:pPr>
        <w:pStyle w:val="Subcaption"/>
        <w:widowControl w:val="0"/>
        <w:spacing w:after="0"/>
        <w:jc w:val="both"/>
        <w:rPr>
          <w:lang w:val="ru-RU"/>
        </w:rPr>
      </w:pPr>
      <w:r w:rsidRPr="008F7277">
        <w:rPr>
          <w:lang w:val="ru"/>
        </w:rPr>
        <w:t>* Предполагается, что все выявленные контакты с пациентами были обследованы на туберкулез в этом году.</w:t>
      </w:r>
    </w:p>
    <w:p w14:paraId="4E15116D" w14:textId="77777777" w:rsidR="00086663" w:rsidRPr="005567E5" w:rsidRDefault="00086663" w:rsidP="00DD5017">
      <w:pPr>
        <w:pStyle w:val="Subcaption"/>
        <w:widowControl w:val="0"/>
        <w:jc w:val="both"/>
        <w:rPr>
          <w:lang w:val="ru-RU"/>
        </w:rPr>
      </w:pPr>
      <w:r w:rsidRPr="00A21483">
        <w:rPr>
          <w:i/>
          <w:iCs/>
          <w:lang w:val="ru"/>
        </w:rPr>
        <w:t>Источник</w:t>
      </w:r>
      <w:r>
        <w:rPr>
          <w:lang w:val="ru"/>
        </w:rPr>
        <w:t>: Глобальный доклад ВОЗ о туберкулезе 2022 г.</w:t>
      </w:r>
    </w:p>
    <w:p w14:paraId="194A6488" w14:textId="07F91406" w:rsidR="00086663" w:rsidRPr="00D52B7D" w:rsidRDefault="00086663" w:rsidP="00DD5017">
      <w:pPr>
        <w:widowControl w:val="0"/>
        <w:spacing w:line="240" w:lineRule="auto"/>
        <w:jc w:val="both"/>
        <w:rPr>
          <w:lang w:val="ru-RU"/>
        </w:rPr>
      </w:pPr>
      <w:r w:rsidRPr="00F07641">
        <w:rPr>
          <w:lang w:val="ru"/>
        </w:rPr>
        <w:t xml:space="preserve">Из </w:t>
      </w:r>
      <w:r>
        <w:rPr>
          <w:lang w:val="ru"/>
        </w:rPr>
        <w:t>общего числа 13</w:t>
      </w:r>
      <w:r w:rsidR="00D52B7D">
        <w:rPr>
          <w:lang w:val="ru"/>
        </w:rPr>
        <w:t>,</w:t>
      </w:r>
      <w:r>
        <w:rPr>
          <w:lang w:val="ru"/>
        </w:rPr>
        <w:t>461</w:t>
      </w:r>
      <w:r w:rsidRPr="00F07641">
        <w:rPr>
          <w:lang w:val="ru"/>
        </w:rPr>
        <w:t xml:space="preserve"> контактн</w:t>
      </w:r>
      <w:r>
        <w:rPr>
          <w:lang w:val="ru"/>
        </w:rPr>
        <w:t>ых</w:t>
      </w:r>
      <w:r w:rsidRPr="00F07641">
        <w:rPr>
          <w:lang w:val="ru"/>
        </w:rPr>
        <w:t xml:space="preserve"> </w:t>
      </w:r>
      <w:r>
        <w:rPr>
          <w:lang w:val="ru"/>
        </w:rPr>
        <w:t>по туберкулезу</w:t>
      </w:r>
      <w:r w:rsidRPr="00F07641">
        <w:rPr>
          <w:lang w:val="ru"/>
        </w:rPr>
        <w:t>, находи</w:t>
      </w:r>
      <w:r>
        <w:rPr>
          <w:lang w:val="ru"/>
        </w:rPr>
        <w:t xml:space="preserve">вшихся </w:t>
      </w:r>
      <w:r w:rsidRPr="00F07641">
        <w:rPr>
          <w:lang w:val="ru"/>
        </w:rPr>
        <w:t xml:space="preserve">под наблюдением в 2021 году, </w:t>
      </w:r>
      <w:r>
        <w:rPr>
          <w:lang w:val="ru"/>
        </w:rPr>
        <w:t xml:space="preserve">заболевание </w:t>
      </w:r>
      <w:r w:rsidRPr="00F07641">
        <w:rPr>
          <w:lang w:val="ru"/>
        </w:rPr>
        <w:t>диагностирован</w:t>
      </w:r>
      <w:r>
        <w:rPr>
          <w:lang w:val="ru"/>
        </w:rPr>
        <w:t>о</w:t>
      </w:r>
      <w:r w:rsidRPr="00F07641">
        <w:rPr>
          <w:lang w:val="ru"/>
        </w:rPr>
        <w:t xml:space="preserve"> у </w:t>
      </w:r>
      <w:r>
        <w:rPr>
          <w:lang w:val="ru"/>
        </w:rPr>
        <w:t>11</w:t>
      </w:r>
      <w:r w:rsidRPr="00F07641">
        <w:rPr>
          <w:lang w:val="ru"/>
        </w:rPr>
        <w:t>3 чел</w:t>
      </w:r>
      <w:r>
        <w:rPr>
          <w:lang w:val="ru"/>
        </w:rPr>
        <w:t>.</w:t>
      </w:r>
      <w:r w:rsidRPr="00F07641">
        <w:rPr>
          <w:lang w:val="ru"/>
        </w:rPr>
        <w:t xml:space="preserve"> (</w:t>
      </w:r>
      <w:r>
        <w:rPr>
          <w:lang w:val="ru"/>
        </w:rPr>
        <w:t>839</w:t>
      </w:r>
      <w:r w:rsidR="00D52B7D">
        <w:rPr>
          <w:lang w:val="ru"/>
        </w:rPr>
        <w:t>.</w:t>
      </w:r>
      <w:r>
        <w:rPr>
          <w:lang w:val="ru"/>
        </w:rPr>
        <w:t xml:space="preserve">5 </w:t>
      </w:r>
      <w:r w:rsidRPr="00F07641">
        <w:rPr>
          <w:lang w:val="ru"/>
        </w:rPr>
        <w:t>на 100</w:t>
      </w:r>
      <w:r w:rsidR="00D52B7D">
        <w:rPr>
          <w:lang w:val="ru"/>
        </w:rPr>
        <w:t>,</w:t>
      </w:r>
      <w:r w:rsidRPr="00F07641">
        <w:rPr>
          <w:lang w:val="ru"/>
        </w:rPr>
        <w:t xml:space="preserve">000 населения), включая </w:t>
      </w:r>
      <w:r>
        <w:rPr>
          <w:lang w:val="ru"/>
        </w:rPr>
        <w:t xml:space="preserve">76 </w:t>
      </w:r>
      <w:r w:rsidRPr="00F07641">
        <w:rPr>
          <w:lang w:val="ru"/>
        </w:rPr>
        <w:t>детей</w:t>
      </w:r>
      <w:r>
        <w:rPr>
          <w:lang w:val="ru"/>
        </w:rPr>
        <w:t xml:space="preserve"> (из них 27 детей в возрасте до 5 лет</w:t>
      </w:r>
      <w:r w:rsidRPr="00F07641">
        <w:rPr>
          <w:lang w:val="ru"/>
        </w:rPr>
        <w:t>)</w:t>
      </w:r>
      <w:r>
        <w:rPr>
          <w:lang w:val="ru"/>
        </w:rPr>
        <w:t xml:space="preserve"> и 51 чел. (из них 35 детей), которые контактировали с пациентами с </w:t>
      </w:r>
      <w:r w:rsidRPr="00D52B7D">
        <w:rPr>
          <w:lang w:val="ru"/>
        </w:rPr>
        <w:t>МЛУ</w:t>
      </w:r>
      <w:r w:rsidRPr="00D52B7D">
        <w:rPr>
          <w:lang w:val="ru-RU"/>
        </w:rPr>
        <w:t>/РУ</w:t>
      </w:r>
      <w:r w:rsidRPr="00D52B7D">
        <w:rPr>
          <w:lang w:val="ru"/>
        </w:rPr>
        <w:t>-ТБ (</w:t>
      </w:r>
      <w:r w:rsidRPr="00D52B7D">
        <w:rPr>
          <w:lang w:val="ru"/>
        </w:rPr>
        <w:fldChar w:fldCharType="begin"/>
      </w:r>
      <w:r w:rsidRPr="00D52B7D">
        <w:rPr>
          <w:lang w:val="ru"/>
        </w:rPr>
        <w:instrText xml:space="preserve"> REF _Ref123902823 \h  \* MERGEFORMAT </w:instrText>
      </w:r>
      <w:r w:rsidRPr="00D52B7D">
        <w:rPr>
          <w:lang w:val="ru"/>
        </w:rPr>
      </w:r>
      <w:r w:rsidRPr="00D52B7D">
        <w:rPr>
          <w:lang w:val="ru"/>
        </w:rPr>
        <w:fldChar w:fldCharType="separate"/>
      </w:r>
      <w:r w:rsidRPr="00D52B7D">
        <w:rPr>
          <w:lang w:val="ru"/>
        </w:rPr>
        <w:t xml:space="preserve">Таблица </w:t>
      </w:r>
      <w:r w:rsidRPr="00D52B7D">
        <w:rPr>
          <w:noProof/>
          <w:lang w:val="ru"/>
        </w:rPr>
        <w:t>3</w:t>
      </w:r>
      <w:r w:rsidRPr="00D52B7D">
        <w:rPr>
          <w:lang w:val="ru"/>
        </w:rPr>
        <w:fldChar w:fldCharType="end"/>
      </w:r>
      <w:r w:rsidRPr="00D52B7D">
        <w:rPr>
          <w:lang w:val="ru"/>
        </w:rPr>
        <w:t xml:space="preserve">). </w:t>
      </w:r>
    </w:p>
    <w:p w14:paraId="55FF7864" w14:textId="77777777" w:rsidR="00086663" w:rsidRPr="005567E5" w:rsidRDefault="00086663" w:rsidP="00DD5017">
      <w:pPr>
        <w:pStyle w:val="afff"/>
        <w:keepNext w:val="0"/>
        <w:widowControl w:val="0"/>
        <w:jc w:val="both"/>
        <w:rPr>
          <w:lang w:val="ru-RU"/>
        </w:rPr>
      </w:pPr>
      <w:bookmarkStart w:id="9" w:name="_Ref123902823"/>
      <w:bookmarkStart w:id="10" w:name="_Toc123772413"/>
      <w:r w:rsidRPr="00474305">
        <w:rPr>
          <w:lang w:val="ru"/>
        </w:rPr>
        <w:t xml:space="preserve">Таблица </w:t>
      </w:r>
      <w:r>
        <w:rPr>
          <w:lang w:val="ru"/>
        </w:rPr>
        <w:fldChar w:fldCharType="begin"/>
      </w:r>
      <w:r>
        <w:rPr>
          <w:lang w:val="ru"/>
        </w:rPr>
        <w:instrText xml:space="preserve"> SEQ Table \* ARABIC </w:instrText>
      </w:r>
      <w:r>
        <w:rPr>
          <w:lang w:val="ru"/>
        </w:rPr>
        <w:fldChar w:fldCharType="separate"/>
      </w:r>
      <w:r>
        <w:rPr>
          <w:noProof/>
          <w:lang w:val="ru"/>
        </w:rPr>
        <w:t>3</w:t>
      </w:r>
      <w:r>
        <w:rPr>
          <w:noProof/>
          <w:lang w:val="ru"/>
        </w:rPr>
        <w:fldChar w:fldCharType="end"/>
      </w:r>
      <w:bookmarkEnd w:id="9"/>
      <w:r w:rsidRPr="00474305">
        <w:rPr>
          <w:lang w:val="ru"/>
        </w:rPr>
        <w:t>. Скрининг на туберкулез среди контактных лиц, по возрастным группам, Кыргызстан, 2021 г.</w:t>
      </w:r>
      <w:bookmarkEnd w:id="10"/>
    </w:p>
    <w:tbl>
      <w:tblPr>
        <w:tblStyle w:val="afc"/>
        <w:tblW w:w="5000" w:type="pct"/>
        <w:tblLook w:val="04A0" w:firstRow="1" w:lastRow="0" w:firstColumn="1" w:lastColumn="0" w:noHBand="0" w:noVBand="1"/>
      </w:tblPr>
      <w:tblGrid>
        <w:gridCol w:w="4990"/>
        <w:gridCol w:w="970"/>
        <w:gridCol w:w="1058"/>
        <w:gridCol w:w="1058"/>
        <w:gridCol w:w="1058"/>
        <w:gridCol w:w="1060"/>
      </w:tblGrid>
      <w:tr w:rsidR="00086663" w:rsidRPr="00AF4F3B" w14:paraId="4315B1FD" w14:textId="77777777" w:rsidTr="00071A6B">
        <w:tc>
          <w:tcPr>
            <w:tcW w:w="2447" w:type="pct"/>
            <w:vMerge w:val="restart"/>
            <w:shd w:val="clear" w:color="auto" w:fill="D9D9D9" w:themeFill="background1" w:themeFillShade="D9"/>
            <w:vAlign w:val="center"/>
          </w:tcPr>
          <w:p w14:paraId="44BA7D01" w14:textId="77777777" w:rsidR="00086663" w:rsidRPr="005567E5" w:rsidRDefault="00086663" w:rsidP="00DD5017">
            <w:pPr>
              <w:pStyle w:val="af3"/>
              <w:widowControl w:val="0"/>
              <w:jc w:val="both"/>
              <w:rPr>
                <w:b/>
                <w:bCs/>
                <w:sz w:val="20"/>
                <w:szCs w:val="20"/>
                <w:lang w:val="ru-RU"/>
              </w:rPr>
            </w:pPr>
            <w:r w:rsidRPr="00AF4F3B">
              <w:rPr>
                <w:b/>
                <w:bCs/>
                <w:sz w:val="20"/>
                <w:szCs w:val="20"/>
                <w:lang w:val="ru"/>
              </w:rPr>
              <w:t>Контактные лица, прошедшие скрининг на туберкулез</w:t>
            </w:r>
          </w:p>
        </w:tc>
        <w:tc>
          <w:tcPr>
            <w:tcW w:w="2553" w:type="pct"/>
            <w:gridSpan w:val="5"/>
            <w:shd w:val="clear" w:color="auto" w:fill="D9D9D9" w:themeFill="background1" w:themeFillShade="D9"/>
            <w:vAlign w:val="center"/>
          </w:tcPr>
          <w:p w14:paraId="415A5FB0" w14:textId="77777777" w:rsidR="00086663" w:rsidRPr="00AF4F3B" w:rsidRDefault="00086663" w:rsidP="00DD5017">
            <w:pPr>
              <w:pStyle w:val="af3"/>
              <w:widowControl w:val="0"/>
              <w:jc w:val="center"/>
              <w:rPr>
                <w:b/>
                <w:bCs/>
                <w:sz w:val="20"/>
                <w:szCs w:val="20"/>
              </w:rPr>
            </w:pPr>
            <w:r w:rsidRPr="00AF4F3B">
              <w:rPr>
                <w:b/>
                <w:bCs/>
                <w:sz w:val="20"/>
                <w:szCs w:val="20"/>
                <w:lang w:val="ru"/>
              </w:rPr>
              <w:t>Возраст</w:t>
            </w:r>
          </w:p>
        </w:tc>
      </w:tr>
      <w:tr w:rsidR="00086663" w:rsidRPr="00AF4F3B" w14:paraId="0BDA3AB6" w14:textId="77777777" w:rsidTr="00071A6B">
        <w:tc>
          <w:tcPr>
            <w:tcW w:w="2447" w:type="pct"/>
            <w:vMerge/>
            <w:shd w:val="clear" w:color="auto" w:fill="D9D9D9" w:themeFill="background1" w:themeFillShade="D9"/>
            <w:vAlign w:val="center"/>
          </w:tcPr>
          <w:p w14:paraId="325A0297" w14:textId="77777777" w:rsidR="00086663" w:rsidRPr="00AF4F3B" w:rsidRDefault="00086663" w:rsidP="00DD5017">
            <w:pPr>
              <w:pStyle w:val="af3"/>
              <w:widowControl w:val="0"/>
              <w:jc w:val="both"/>
              <w:rPr>
                <w:b/>
                <w:bCs/>
                <w:sz w:val="20"/>
                <w:szCs w:val="20"/>
              </w:rPr>
            </w:pPr>
          </w:p>
        </w:tc>
        <w:tc>
          <w:tcPr>
            <w:tcW w:w="476" w:type="pct"/>
            <w:vMerge w:val="restart"/>
            <w:shd w:val="clear" w:color="auto" w:fill="D9D9D9" w:themeFill="background1" w:themeFillShade="D9"/>
            <w:vAlign w:val="center"/>
          </w:tcPr>
          <w:p w14:paraId="42221FDD" w14:textId="77777777" w:rsidR="00086663" w:rsidRPr="00AF4F3B" w:rsidRDefault="00086663" w:rsidP="00DD5017">
            <w:pPr>
              <w:pStyle w:val="af3"/>
              <w:widowControl w:val="0"/>
              <w:jc w:val="center"/>
              <w:rPr>
                <w:b/>
                <w:bCs/>
                <w:sz w:val="20"/>
                <w:szCs w:val="20"/>
              </w:rPr>
            </w:pPr>
            <w:r w:rsidRPr="00AF4F3B">
              <w:rPr>
                <w:b/>
                <w:bCs/>
                <w:sz w:val="20"/>
                <w:szCs w:val="20"/>
                <w:lang w:val="ru"/>
              </w:rPr>
              <w:t>Итог</w:t>
            </w:r>
          </w:p>
        </w:tc>
        <w:tc>
          <w:tcPr>
            <w:tcW w:w="1038" w:type="pct"/>
            <w:gridSpan w:val="2"/>
            <w:shd w:val="clear" w:color="auto" w:fill="D9D9D9" w:themeFill="background1" w:themeFillShade="D9"/>
            <w:vAlign w:val="center"/>
          </w:tcPr>
          <w:p w14:paraId="322D464A" w14:textId="77777777" w:rsidR="00086663" w:rsidRPr="00AF4F3B" w:rsidRDefault="00086663" w:rsidP="00DD5017">
            <w:pPr>
              <w:pStyle w:val="af3"/>
              <w:widowControl w:val="0"/>
              <w:jc w:val="center"/>
              <w:rPr>
                <w:b/>
                <w:bCs/>
                <w:sz w:val="20"/>
                <w:szCs w:val="20"/>
              </w:rPr>
            </w:pPr>
            <w:r w:rsidRPr="00AF4F3B">
              <w:rPr>
                <w:b/>
                <w:bCs/>
                <w:sz w:val="20"/>
                <w:szCs w:val="20"/>
                <w:lang w:val="ru"/>
              </w:rPr>
              <w:t>0-14</w:t>
            </w:r>
          </w:p>
        </w:tc>
        <w:tc>
          <w:tcPr>
            <w:tcW w:w="1039" w:type="pct"/>
            <w:gridSpan w:val="2"/>
            <w:shd w:val="clear" w:color="auto" w:fill="D9D9D9" w:themeFill="background1" w:themeFillShade="D9"/>
            <w:vAlign w:val="center"/>
          </w:tcPr>
          <w:p w14:paraId="0DEE5908" w14:textId="77777777" w:rsidR="00086663" w:rsidRPr="00AF4F3B" w:rsidRDefault="00086663" w:rsidP="00DD5017">
            <w:pPr>
              <w:pStyle w:val="af3"/>
              <w:widowControl w:val="0"/>
              <w:jc w:val="center"/>
              <w:rPr>
                <w:b/>
                <w:bCs/>
                <w:sz w:val="20"/>
                <w:szCs w:val="20"/>
              </w:rPr>
            </w:pPr>
            <w:r w:rsidRPr="00AF4F3B">
              <w:rPr>
                <w:b/>
                <w:bCs/>
                <w:sz w:val="20"/>
                <w:szCs w:val="20"/>
                <w:lang w:val="ru"/>
              </w:rPr>
              <w:t>15 лет и старше</w:t>
            </w:r>
          </w:p>
        </w:tc>
      </w:tr>
      <w:tr w:rsidR="00086663" w:rsidRPr="00AF4F3B" w14:paraId="472A09EB" w14:textId="77777777" w:rsidTr="00071A6B">
        <w:tc>
          <w:tcPr>
            <w:tcW w:w="2447" w:type="pct"/>
            <w:vMerge/>
            <w:shd w:val="clear" w:color="auto" w:fill="D9D9D9" w:themeFill="background1" w:themeFillShade="D9"/>
            <w:vAlign w:val="center"/>
          </w:tcPr>
          <w:p w14:paraId="4E0B1170" w14:textId="77777777" w:rsidR="00086663" w:rsidRPr="00AF4F3B" w:rsidRDefault="00086663" w:rsidP="00DD5017">
            <w:pPr>
              <w:pStyle w:val="af3"/>
              <w:widowControl w:val="0"/>
              <w:jc w:val="both"/>
              <w:rPr>
                <w:b/>
                <w:bCs/>
                <w:sz w:val="20"/>
                <w:szCs w:val="20"/>
              </w:rPr>
            </w:pPr>
          </w:p>
        </w:tc>
        <w:tc>
          <w:tcPr>
            <w:tcW w:w="476" w:type="pct"/>
            <w:vMerge/>
            <w:shd w:val="clear" w:color="auto" w:fill="D9D9D9" w:themeFill="background1" w:themeFillShade="D9"/>
            <w:vAlign w:val="center"/>
          </w:tcPr>
          <w:p w14:paraId="19A8CDCE" w14:textId="77777777" w:rsidR="00086663" w:rsidRPr="00AF4F3B" w:rsidRDefault="00086663" w:rsidP="00DD5017">
            <w:pPr>
              <w:pStyle w:val="af3"/>
              <w:widowControl w:val="0"/>
              <w:jc w:val="center"/>
              <w:rPr>
                <w:b/>
                <w:bCs/>
                <w:sz w:val="20"/>
                <w:szCs w:val="20"/>
              </w:rPr>
            </w:pPr>
          </w:p>
        </w:tc>
        <w:tc>
          <w:tcPr>
            <w:tcW w:w="519" w:type="pct"/>
            <w:shd w:val="clear" w:color="auto" w:fill="D9D9D9" w:themeFill="background1" w:themeFillShade="D9"/>
            <w:vAlign w:val="center"/>
          </w:tcPr>
          <w:p w14:paraId="7BEC22B0" w14:textId="77777777" w:rsidR="00086663" w:rsidRPr="00AF4F3B" w:rsidRDefault="00086663" w:rsidP="00DD5017">
            <w:pPr>
              <w:pStyle w:val="af3"/>
              <w:widowControl w:val="0"/>
              <w:jc w:val="center"/>
              <w:rPr>
                <w:b/>
                <w:bCs/>
                <w:sz w:val="20"/>
                <w:szCs w:val="20"/>
              </w:rPr>
            </w:pPr>
            <w:r w:rsidRPr="00AF4F3B">
              <w:rPr>
                <w:b/>
                <w:bCs/>
                <w:sz w:val="20"/>
                <w:szCs w:val="20"/>
                <w:lang w:val="ru"/>
              </w:rPr>
              <w:t>0-4</w:t>
            </w:r>
          </w:p>
        </w:tc>
        <w:tc>
          <w:tcPr>
            <w:tcW w:w="519" w:type="pct"/>
            <w:shd w:val="clear" w:color="auto" w:fill="D9D9D9" w:themeFill="background1" w:themeFillShade="D9"/>
            <w:vAlign w:val="center"/>
          </w:tcPr>
          <w:p w14:paraId="2CFBA563" w14:textId="77777777" w:rsidR="00086663" w:rsidRPr="00AF4F3B" w:rsidRDefault="00086663" w:rsidP="00DD5017">
            <w:pPr>
              <w:pStyle w:val="af3"/>
              <w:widowControl w:val="0"/>
              <w:jc w:val="center"/>
              <w:rPr>
                <w:b/>
                <w:bCs/>
                <w:sz w:val="20"/>
                <w:szCs w:val="20"/>
              </w:rPr>
            </w:pPr>
            <w:r w:rsidRPr="00AF4F3B">
              <w:rPr>
                <w:b/>
                <w:bCs/>
                <w:sz w:val="20"/>
                <w:szCs w:val="20"/>
                <w:lang w:val="ru"/>
              </w:rPr>
              <w:t>5-14</w:t>
            </w:r>
          </w:p>
        </w:tc>
        <w:tc>
          <w:tcPr>
            <w:tcW w:w="519" w:type="pct"/>
            <w:shd w:val="clear" w:color="auto" w:fill="D9D9D9" w:themeFill="background1" w:themeFillShade="D9"/>
            <w:vAlign w:val="center"/>
          </w:tcPr>
          <w:p w14:paraId="4D048CB9" w14:textId="77777777" w:rsidR="00086663" w:rsidRPr="00AF4F3B" w:rsidRDefault="00086663" w:rsidP="00DD5017">
            <w:pPr>
              <w:pStyle w:val="af3"/>
              <w:widowControl w:val="0"/>
              <w:jc w:val="center"/>
              <w:rPr>
                <w:b/>
                <w:bCs/>
                <w:sz w:val="20"/>
                <w:szCs w:val="20"/>
              </w:rPr>
            </w:pPr>
            <w:r w:rsidRPr="00AF4F3B">
              <w:rPr>
                <w:b/>
                <w:bCs/>
                <w:sz w:val="20"/>
                <w:szCs w:val="20"/>
                <w:lang w:val="ru"/>
              </w:rPr>
              <w:t>15-17</w:t>
            </w:r>
          </w:p>
        </w:tc>
        <w:tc>
          <w:tcPr>
            <w:tcW w:w="520" w:type="pct"/>
            <w:shd w:val="clear" w:color="auto" w:fill="D9D9D9" w:themeFill="background1" w:themeFillShade="D9"/>
            <w:vAlign w:val="center"/>
          </w:tcPr>
          <w:p w14:paraId="4297732B" w14:textId="77777777" w:rsidR="00086663" w:rsidRPr="00AF4F3B" w:rsidRDefault="00086663" w:rsidP="00DD5017">
            <w:pPr>
              <w:pStyle w:val="af3"/>
              <w:widowControl w:val="0"/>
              <w:jc w:val="center"/>
              <w:rPr>
                <w:b/>
                <w:bCs/>
                <w:sz w:val="20"/>
                <w:szCs w:val="20"/>
              </w:rPr>
            </w:pPr>
            <w:r w:rsidRPr="00AF4F3B">
              <w:rPr>
                <w:b/>
                <w:bCs/>
                <w:sz w:val="20"/>
                <w:szCs w:val="20"/>
                <w:lang w:val="ru"/>
              </w:rPr>
              <w:t>&gt; 18</w:t>
            </w:r>
          </w:p>
        </w:tc>
      </w:tr>
      <w:tr w:rsidR="00086663" w:rsidRPr="00AF4F3B" w14:paraId="601B19DA" w14:textId="77777777" w:rsidTr="00071A6B">
        <w:tc>
          <w:tcPr>
            <w:tcW w:w="2447" w:type="pct"/>
            <w:tcBorders>
              <w:bottom w:val="single" w:sz="4" w:space="0" w:color="auto"/>
            </w:tcBorders>
            <w:vAlign w:val="center"/>
          </w:tcPr>
          <w:p w14:paraId="32CB5949" w14:textId="77777777" w:rsidR="00086663" w:rsidRPr="005567E5" w:rsidRDefault="00086663" w:rsidP="00DD5017">
            <w:pPr>
              <w:widowControl w:val="0"/>
              <w:jc w:val="both"/>
              <w:rPr>
                <w:sz w:val="20"/>
                <w:szCs w:val="20"/>
                <w:lang w:val="ru-RU"/>
              </w:rPr>
            </w:pPr>
            <w:r w:rsidRPr="00AF4F3B">
              <w:rPr>
                <w:sz w:val="20"/>
                <w:szCs w:val="20"/>
                <w:lang w:val="ru"/>
              </w:rPr>
              <w:t>Все проверенные контактные лица, из них:</w:t>
            </w:r>
          </w:p>
        </w:tc>
        <w:tc>
          <w:tcPr>
            <w:tcW w:w="476" w:type="pct"/>
            <w:tcBorders>
              <w:bottom w:val="single" w:sz="4" w:space="0" w:color="auto"/>
            </w:tcBorders>
            <w:vAlign w:val="center"/>
          </w:tcPr>
          <w:p w14:paraId="3E2D01FD" w14:textId="34F1674C" w:rsidR="00086663" w:rsidRPr="00AF4F3B" w:rsidRDefault="00086663" w:rsidP="00DD5017">
            <w:pPr>
              <w:widowControl w:val="0"/>
              <w:jc w:val="center"/>
              <w:rPr>
                <w:sz w:val="20"/>
                <w:szCs w:val="20"/>
              </w:rPr>
            </w:pPr>
            <w:r w:rsidRPr="00AF4F3B">
              <w:rPr>
                <w:sz w:val="20"/>
                <w:szCs w:val="20"/>
                <w:lang w:val="ru"/>
              </w:rPr>
              <w:t>13</w:t>
            </w:r>
            <w:r w:rsidR="00D52B7D">
              <w:rPr>
                <w:sz w:val="20"/>
                <w:szCs w:val="20"/>
                <w:lang w:val="ru"/>
              </w:rPr>
              <w:t>,</w:t>
            </w:r>
            <w:r w:rsidRPr="00AF4F3B">
              <w:rPr>
                <w:sz w:val="20"/>
                <w:szCs w:val="20"/>
                <w:lang w:val="ru"/>
              </w:rPr>
              <w:t>461</w:t>
            </w:r>
          </w:p>
        </w:tc>
        <w:tc>
          <w:tcPr>
            <w:tcW w:w="519" w:type="pct"/>
            <w:tcBorders>
              <w:bottom w:val="single" w:sz="4" w:space="0" w:color="auto"/>
            </w:tcBorders>
            <w:shd w:val="clear" w:color="auto" w:fill="auto"/>
          </w:tcPr>
          <w:p w14:paraId="5FB210CA" w14:textId="084B056A" w:rsidR="00086663" w:rsidRPr="00AF4F3B" w:rsidRDefault="00086663" w:rsidP="00DD5017">
            <w:pPr>
              <w:widowControl w:val="0"/>
              <w:jc w:val="center"/>
              <w:rPr>
                <w:sz w:val="20"/>
                <w:szCs w:val="20"/>
              </w:rPr>
            </w:pPr>
            <w:r w:rsidRPr="00AF4F3B">
              <w:rPr>
                <w:sz w:val="20"/>
                <w:szCs w:val="20"/>
                <w:lang w:val="ru"/>
              </w:rPr>
              <w:t>1</w:t>
            </w:r>
            <w:r w:rsidR="00D52B7D">
              <w:rPr>
                <w:sz w:val="20"/>
                <w:szCs w:val="20"/>
                <w:lang w:val="ru"/>
              </w:rPr>
              <w:t>,</w:t>
            </w:r>
            <w:r w:rsidRPr="00AF4F3B">
              <w:rPr>
                <w:sz w:val="20"/>
                <w:szCs w:val="20"/>
                <w:lang w:val="ru"/>
              </w:rPr>
              <w:t>422</w:t>
            </w:r>
          </w:p>
        </w:tc>
        <w:tc>
          <w:tcPr>
            <w:tcW w:w="519" w:type="pct"/>
            <w:tcBorders>
              <w:bottom w:val="single" w:sz="4" w:space="0" w:color="auto"/>
            </w:tcBorders>
            <w:shd w:val="clear" w:color="auto" w:fill="auto"/>
          </w:tcPr>
          <w:p w14:paraId="4D3AF2F8" w14:textId="17082298" w:rsidR="00086663" w:rsidRPr="00AF4F3B" w:rsidRDefault="00086663" w:rsidP="00DD5017">
            <w:pPr>
              <w:widowControl w:val="0"/>
              <w:jc w:val="center"/>
              <w:rPr>
                <w:sz w:val="20"/>
                <w:szCs w:val="20"/>
              </w:rPr>
            </w:pPr>
            <w:r w:rsidRPr="00AF4F3B">
              <w:rPr>
                <w:sz w:val="20"/>
                <w:szCs w:val="20"/>
                <w:lang w:val="ru"/>
              </w:rPr>
              <w:t>3</w:t>
            </w:r>
            <w:r w:rsidR="00D52B7D">
              <w:rPr>
                <w:sz w:val="20"/>
                <w:szCs w:val="20"/>
                <w:lang w:val="ru"/>
              </w:rPr>
              <w:t>,</w:t>
            </w:r>
            <w:r w:rsidRPr="00AF4F3B">
              <w:rPr>
                <w:sz w:val="20"/>
                <w:szCs w:val="20"/>
                <w:lang w:val="ru"/>
              </w:rPr>
              <w:t>656</w:t>
            </w:r>
          </w:p>
        </w:tc>
        <w:tc>
          <w:tcPr>
            <w:tcW w:w="519" w:type="pct"/>
            <w:tcBorders>
              <w:bottom w:val="single" w:sz="4" w:space="0" w:color="auto"/>
            </w:tcBorders>
            <w:shd w:val="clear" w:color="auto" w:fill="auto"/>
          </w:tcPr>
          <w:p w14:paraId="6987E8E9" w14:textId="77777777" w:rsidR="00086663" w:rsidRPr="00AF4F3B" w:rsidRDefault="00086663" w:rsidP="00DD5017">
            <w:pPr>
              <w:widowControl w:val="0"/>
              <w:jc w:val="center"/>
              <w:rPr>
                <w:sz w:val="20"/>
                <w:szCs w:val="20"/>
              </w:rPr>
            </w:pPr>
            <w:r w:rsidRPr="00AF4F3B">
              <w:rPr>
                <w:sz w:val="20"/>
                <w:szCs w:val="20"/>
                <w:lang w:val="ru"/>
              </w:rPr>
              <w:t>829</w:t>
            </w:r>
          </w:p>
        </w:tc>
        <w:tc>
          <w:tcPr>
            <w:tcW w:w="520" w:type="pct"/>
            <w:tcBorders>
              <w:bottom w:val="single" w:sz="4" w:space="0" w:color="auto"/>
            </w:tcBorders>
          </w:tcPr>
          <w:p w14:paraId="1DFF242A" w14:textId="3E017E98" w:rsidR="00086663" w:rsidRPr="00AF4F3B" w:rsidRDefault="00086663" w:rsidP="00DD5017">
            <w:pPr>
              <w:widowControl w:val="0"/>
              <w:jc w:val="center"/>
              <w:rPr>
                <w:sz w:val="20"/>
                <w:szCs w:val="20"/>
              </w:rPr>
            </w:pPr>
            <w:r w:rsidRPr="00AF4F3B">
              <w:rPr>
                <w:sz w:val="20"/>
                <w:szCs w:val="20"/>
                <w:lang w:val="ru"/>
              </w:rPr>
              <w:t>7</w:t>
            </w:r>
            <w:r w:rsidR="00D52B7D">
              <w:rPr>
                <w:sz w:val="20"/>
                <w:szCs w:val="20"/>
                <w:lang w:val="ru"/>
              </w:rPr>
              <w:t>,</w:t>
            </w:r>
            <w:r w:rsidRPr="00AF4F3B">
              <w:rPr>
                <w:sz w:val="20"/>
                <w:szCs w:val="20"/>
                <w:lang w:val="ru"/>
              </w:rPr>
              <w:t>554</w:t>
            </w:r>
          </w:p>
        </w:tc>
      </w:tr>
      <w:tr w:rsidR="00086663" w:rsidRPr="00AF4F3B" w14:paraId="6BC1E685" w14:textId="77777777" w:rsidTr="00071A6B">
        <w:tc>
          <w:tcPr>
            <w:tcW w:w="2447" w:type="pct"/>
            <w:tcBorders>
              <w:top w:val="nil"/>
              <w:bottom w:val="nil"/>
            </w:tcBorders>
            <w:vAlign w:val="center"/>
          </w:tcPr>
          <w:p w14:paraId="0ABB9BB0" w14:textId="77777777" w:rsidR="00086663" w:rsidRPr="00AF4F3B" w:rsidRDefault="00086663" w:rsidP="00DD5017">
            <w:pPr>
              <w:widowControl w:val="0"/>
              <w:jc w:val="both"/>
              <w:rPr>
                <w:i/>
                <w:iCs/>
                <w:sz w:val="20"/>
                <w:szCs w:val="20"/>
              </w:rPr>
            </w:pPr>
            <w:r w:rsidRPr="00AF4F3B">
              <w:rPr>
                <w:i/>
                <w:iCs/>
                <w:sz w:val="20"/>
                <w:szCs w:val="20"/>
                <w:lang w:val="ru"/>
              </w:rPr>
              <w:t xml:space="preserve">- диагностирован туберкулезом </w:t>
            </w:r>
          </w:p>
        </w:tc>
        <w:tc>
          <w:tcPr>
            <w:tcW w:w="476" w:type="pct"/>
            <w:tcBorders>
              <w:top w:val="nil"/>
              <w:bottom w:val="nil"/>
            </w:tcBorders>
            <w:vAlign w:val="center"/>
          </w:tcPr>
          <w:p w14:paraId="5A505A18" w14:textId="77777777" w:rsidR="00086663" w:rsidRPr="00AF4F3B" w:rsidRDefault="00086663" w:rsidP="00DD5017">
            <w:pPr>
              <w:widowControl w:val="0"/>
              <w:jc w:val="center"/>
              <w:rPr>
                <w:i/>
                <w:iCs/>
                <w:sz w:val="20"/>
                <w:szCs w:val="20"/>
              </w:rPr>
            </w:pPr>
            <w:r w:rsidRPr="00AF4F3B">
              <w:rPr>
                <w:i/>
                <w:iCs/>
                <w:sz w:val="20"/>
                <w:szCs w:val="20"/>
                <w:lang w:val="ru"/>
              </w:rPr>
              <w:t>113</w:t>
            </w:r>
          </w:p>
        </w:tc>
        <w:tc>
          <w:tcPr>
            <w:tcW w:w="519" w:type="pct"/>
            <w:tcBorders>
              <w:top w:val="nil"/>
              <w:bottom w:val="nil"/>
            </w:tcBorders>
            <w:shd w:val="clear" w:color="auto" w:fill="auto"/>
            <w:vAlign w:val="center"/>
          </w:tcPr>
          <w:p w14:paraId="579D3C89" w14:textId="77777777" w:rsidR="00086663" w:rsidRPr="00AF4F3B" w:rsidRDefault="00086663" w:rsidP="00DD5017">
            <w:pPr>
              <w:widowControl w:val="0"/>
              <w:jc w:val="center"/>
              <w:rPr>
                <w:i/>
                <w:iCs/>
                <w:sz w:val="20"/>
                <w:szCs w:val="20"/>
              </w:rPr>
            </w:pPr>
            <w:r w:rsidRPr="00AF4F3B">
              <w:rPr>
                <w:i/>
                <w:iCs/>
                <w:sz w:val="20"/>
                <w:szCs w:val="20"/>
                <w:lang w:val="ru"/>
              </w:rPr>
              <w:t>27</w:t>
            </w:r>
          </w:p>
        </w:tc>
        <w:tc>
          <w:tcPr>
            <w:tcW w:w="519" w:type="pct"/>
            <w:tcBorders>
              <w:top w:val="nil"/>
              <w:bottom w:val="nil"/>
            </w:tcBorders>
            <w:shd w:val="clear" w:color="auto" w:fill="auto"/>
            <w:vAlign w:val="center"/>
          </w:tcPr>
          <w:p w14:paraId="46282A3D" w14:textId="77777777" w:rsidR="00086663" w:rsidRPr="00AF4F3B" w:rsidRDefault="00086663" w:rsidP="00DD5017">
            <w:pPr>
              <w:widowControl w:val="0"/>
              <w:jc w:val="center"/>
              <w:rPr>
                <w:i/>
                <w:iCs/>
                <w:sz w:val="20"/>
                <w:szCs w:val="20"/>
              </w:rPr>
            </w:pPr>
            <w:r w:rsidRPr="00AF4F3B">
              <w:rPr>
                <w:i/>
                <w:iCs/>
                <w:sz w:val="20"/>
                <w:szCs w:val="20"/>
                <w:lang w:val="ru"/>
              </w:rPr>
              <w:t>49</w:t>
            </w:r>
          </w:p>
        </w:tc>
        <w:tc>
          <w:tcPr>
            <w:tcW w:w="519" w:type="pct"/>
            <w:tcBorders>
              <w:top w:val="nil"/>
              <w:bottom w:val="nil"/>
            </w:tcBorders>
            <w:shd w:val="clear" w:color="auto" w:fill="auto"/>
            <w:vAlign w:val="center"/>
          </w:tcPr>
          <w:p w14:paraId="0DE9312B" w14:textId="77777777" w:rsidR="00086663" w:rsidRPr="00AF4F3B" w:rsidRDefault="00086663" w:rsidP="00DD5017">
            <w:pPr>
              <w:widowControl w:val="0"/>
              <w:jc w:val="center"/>
              <w:rPr>
                <w:i/>
                <w:iCs/>
                <w:sz w:val="20"/>
                <w:szCs w:val="20"/>
              </w:rPr>
            </w:pPr>
            <w:r w:rsidRPr="00AF4F3B">
              <w:rPr>
                <w:i/>
                <w:iCs/>
                <w:sz w:val="20"/>
                <w:szCs w:val="20"/>
                <w:lang w:val="ru"/>
              </w:rPr>
              <w:t>9</w:t>
            </w:r>
          </w:p>
        </w:tc>
        <w:tc>
          <w:tcPr>
            <w:tcW w:w="520" w:type="pct"/>
            <w:tcBorders>
              <w:top w:val="nil"/>
              <w:bottom w:val="nil"/>
            </w:tcBorders>
            <w:vAlign w:val="center"/>
          </w:tcPr>
          <w:p w14:paraId="460FEB47" w14:textId="77777777" w:rsidR="00086663" w:rsidRPr="00AF4F3B" w:rsidRDefault="00086663" w:rsidP="00DD5017">
            <w:pPr>
              <w:widowControl w:val="0"/>
              <w:jc w:val="center"/>
              <w:rPr>
                <w:i/>
                <w:iCs/>
                <w:sz w:val="20"/>
                <w:szCs w:val="20"/>
              </w:rPr>
            </w:pPr>
            <w:r w:rsidRPr="00AF4F3B">
              <w:rPr>
                <w:i/>
                <w:iCs/>
                <w:sz w:val="20"/>
                <w:szCs w:val="20"/>
                <w:lang w:val="ru"/>
              </w:rPr>
              <w:t>28</w:t>
            </w:r>
          </w:p>
        </w:tc>
      </w:tr>
      <w:tr w:rsidR="00086663" w:rsidRPr="00AF4F3B" w14:paraId="0BCEF470" w14:textId="77777777" w:rsidTr="00071A6B">
        <w:tc>
          <w:tcPr>
            <w:tcW w:w="2447" w:type="pct"/>
            <w:tcBorders>
              <w:top w:val="nil"/>
              <w:bottom w:val="single" w:sz="4" w:space="0" w:color="auto"/>
            </w:tcBorders>
            <w:vAlign w:val="center"/>
          </w:tcPr>
          <w:p w14:paraId="08B57375" w14:textId="77777777" w:rsidR="00086663" w:rsidRPr="00AF4F3B" w:rsidRDefault="00086663" w:rsidP="00DD5017">
            <w:pPr>
              <w:widowControl w:val="0"/>
              <w:jc w:val="both"/>
              <w:rPr>
                <w:i/>
                <w:iCs/>
                <w:sz w:val="20"/>
                <w:szCs w:val="20"/>
              </w:rPr>
            </w:pPr>
            <w:r w:rsidRPr="00AF4F3B">
              <w:rPr>
                <w:i/>
                <w:iCs/>
                <w:sz w:val="20"/>
                <w:szCs w:val="20"/>
                <w:lang w:val="ru"/>
              </w:rPr>
              <w:t xml:space="preserve">- </w:t>
            </w:r>
            <w:r>
              <w:rPr>
                <w:i/>
                <w:iCs/>
                <w:sz w:val="20"/>
                <w:szCs w:val="20"/>
                <w:lang w:val="ru"/>
              </w:rPr>
              <w:t xml:space="preserve">% </w:t>
            </w:r>
            <w:r w:rsidRPr="00AF4F3B">
              <w:rPr>
                <w:i/>
                <w:iCs/>
                <w:sz w:val="20"/>
                <w:szCs w:val="20"/>
                <w:lang w:val="ru"/>
              </w:rPr>
              <w:t xml:space="preserve">выявления </w:t>
            </w:r>
          </w:p>
        </w:tc>
        <w:tc>
          <w:tcPr>
            <w:tcW w:w="476" w:type="pct"/>
            <w:tcBorders>
              <w:top w:val="nil"/>
              <w:bottom w:val="single" w:sz="4" w:space="0" w:color="auto"/>
            </w:tcBorders>
          </w:tcPr>
          <w:p w14:paraId="341AFBCA" w14:textId="77777777" w:rsidR="00086663" w:rsidRPr="00AF4F3B" w:rsidRDefault="00086663" w:rsidP="00DD5017">
            <w:pPr>
              <w:widowControl w:val="0"/>
              <w:jc w:val="center"/>
              <w:rPr>
                <w:i/>
                <w:iCs/>
                <w:sz w:val="20"/>
                <w:szCs w:val="20"/>
              </w:rPr>
            </w:pPr>
            <w:r w:rsidRPr="00AF4F3B">
              <w:rPr>
                <w:i/>
                <w:iCs/>
                <w:sz w:val="20"/>
                <w:szCs w:val="20"/>
                <w:lang w:val="ru"/>
              </w:rPr>
              <w:t>0</w:t>
            </w:r>
            <w:r>
              <w:rPr>
                <w:i/>
                <w:iCs/>
                <w:sz w:val="20"/>
                <w:szCs w:val="20"/>
                <w:lang w:val="ru"/>
              </w:rPr>
              <w:t>,</w:t>
            </w:r>
            <w:r w:rsidRPr="00AF4F3B">
              <w:rPr>
                <w:i/>
                <w:iCs/>
                <w:sz w:val="20"/>
                <w:szCs w:val="20"/>
                <w:lang w:val="ru"/>
              </w:rPr>
              <w:t>8%</w:t>
            </w:r>
          </w:p>
        </w:tc>
        <w:tc>
          <w:tcPr>
            <w:tcW w:w="519" w:type="pct"/>
            <w:tcBorders>
              <w:top w:val="nil"/>
              <w:bottom w:val="single" w:sz="4" w:space="0" w:color="auto"/>
            </w:tcBorders>
            <w:shd w:val="clear" w:color="auto" w:fill="auto"/>
          </w:tcPr>
          <w:p w14:paraId="0A3A3546" w14:textId="77777777" w:rsidR="00086663" w:rsidRPr="00AF4F3B" w:rsidRDefault="00086663" w:rsidP="00DD5017">
            <w:pPr>
              <w:widowControl w:val="0"/>
              <w:jc w:val="center"/>
              <w:rPr>
                <w:i/>
                <w:iCs/>
                <w:sz w:val="20"/>
                <w:szCs w:val="20"/>
              </w:rPr>
            </w:pPr>
            <w:r w:rsidRPr="00AF4F3B">
              <w:rPr>
                <w:i/>
                <w:iCs/>
                <w:sz w:val="20"/>
                <w:szCs w:val="20"/>
                <w:lang w:val="ru"/>
              </w:rPr>
              <w:t>1</w:t>
            </w:r>
            <w:r>
              <w:rPr>
                <w:i/>
                <w:iCs/>
                <w:sz w:val="20"/>
                <w:szCs w:val="20"/>
                <w:lang w:val="ru"/>
              </w:rPr>
              <w:t>,</w:t>
            </w:r>
            <w:r w:rsidRPr="00AF4F3B">
              <w:rPr>
                <w:i/>
                <w:iCs/>
                <w:sz w:val="20"/>
                <w:szCs w:val="20"/>
                <w:lang w:val="ru"/>
              </w:rPr>
              <w:t>9%</w:t>
            </w:r>
          </w:p>
        </w:tc>
        <w:tc>
          <w:tcPr>
            <w:tcW w:w="519" w:type="pct"/>
            <w:tcBorders>
              <w:top w:val="nil"/>
              <w:bottom w:val="single" w:sz="4" w:space="0" w:color="auto"/>
            </w:tcBorders>
            <w:shd w:val="clear" w:color="auto" w:fill="auto"/>
          </w:tcPr>
          <w:p w14:paraId="761A7D71" w14:textId="77777777" w:rsidR="00086663" w:rsidRPr="00AF4F3B" w:rsidRDefault="00086663" w:rsidP="00DD5017">
            <w:pPr>
              <w:widowControl w:val="0"/>
              <w:jc w:val="center"/>
              <w:rPr>
                <w:i/>
                <w:iCs/>
                <w:sz w:val="20"/>
                <w:szCs w:val="20"/>
              </w:rPr>
            </w:pPr>
            <w:r w:rsidRPr="00AF4F3B">
              <w:rPr>
                <w:i/>
                <w:iCs/>
                <w:sz w:val="20"/>
                <w:szCs w:val="20"/>
                <w:lang w:val="ru"/>
              </w:rPr>
              <w:t>1</w:t>
            </w:r>
            <w:r>
              <w:rPr>
                <w:i/>
                <w:iCs/>
                <w:sz w:val="20"/>
                <w:szCs w:val="20"/>
                <w:lang w:val="ru"/>
              </w:rPr>
              <w:t>,</w:t>
            </w:r>
            <w:r w:rsidRPr="00AF4F3B">
              <w:rPr>
                <w:i/>
                <w:iCs/>
                <w:sz w:val="20"/>
                <w:szCs w:val="20"/>
                <w:lang w:val="ru"/>
              </w:rPr>
              <w:t>3%</w:t>
            </w:r>
          </w:p>
        </w:tc>
        <w:tc>
          <w:tcPr>
            <w:tcW w:w="519" w:type="pct"/>
            <w:tcBorders>
              <w:top w:val="nil"/>
              <w:bottom w:val="single" w:sz="4" w:space="0" w:color="auto"/>
            </w:tcBorders>
            <w:shd w:val="clear" w:color="auto" w:fill="auto"/>
          </w:tcPr>
          <w:p w14:paraId="714B4F09" w14:textId="77777777" w:rsidR="00086663" w:rsidRPr="00AF4F3B" w:rsidRDefault="00086663" w:rsidP="00DD5017">
            <w:pPr>
              <w:widowControl w:val="0"/>
              <w:jc w:val="center"/>
              <w:rPr>
                <w:i/>
                <w:iCs/>
                <w:sz w:val="20"/>
                <w:szCs w:val="20"/>
              </w:rPr>
            </w:pPr>
            <w:r w:rsidRPr="00AF4F3B">
              <w:rPr>
                <w:i/>
                <w:iCs/>
                <w:sz w:val="20"/>
                <w:szCs w:val="20"/>
                <w:lang w:val="ru"/>
              </w:rPr>
              <w:t>1</w:t>
            </w:r>
            <w:r>
              <w:rPr>
                <w:i/>
                <w:iCs/>
                <w:sz w:val="20"/>
                <w:szCs w:val="20"/>
                <w:lang w:val="ru"/>
              </w:rPr>
              <w:t>,</w:t>
            </w:r>
            <w:r w:rsidRPr="00AF4F3B">
              <w:rPr>
                <w:i/>
                <w:iCs/>
                <w:sz w:val="20"/>
                <w:szCs w:val="20"/>
                <w:lang w:val="ru"/>
              </w:rPr>
              <w:t>1%</w:t>
            </w:r>
          </w:p>
        </w:tc>
        <w:tc>
          <w:tcPr>
            <w:tcW w:w="520" w:type="pct"/>
            <w:tcBorders>
              <w:top w:val="nil"/>
              <w:bottom w:val="single" w:sz="4" w:space="0" w:color="auto"/>
            </w:tcBorders>
          </w:tcPr>
          <w:p w14:paraId="7123F731" w14:textId="77777777" w:rsidR="00086663" w:rsidRPr="00AF4F3B" w:rsidRDefault="00086663" w:rsidP="00DD5017">
            <w:pPr>
              <w:widowControl w:val="0"/>
              <w:jc w:val="center"/>
              <w:rPr>
                <w:i/>
                <w:iCs/>
                <w:sz w:val="20"/>
                <w:szCs w:val="20"/>
              </w:rPr>
            </w:pPr>
            <w:r w:rsidRPr="00AF4F3B">
              <w:rPr>
                <w:i/>
                <w:iCs/>
                <w:sz w:val="20"/>
                <w:szCs w:val="20"/>
                <w:lang w:val="ru"/>
              </w:rPr>
              <w:t>0</w:t>
            </w:r>
            <w:r>
              <w:rPr>
                <w:i/>
                <w:iCs/>
                <w:sz w:val="20"/>
                <w:szCs w:val="20"/>
                <w:lang w:val="ru"/>
              </w:rPr>
              <w:t>,</w:t>
            </w:r>
            <w:r w:rsidRPr="00AF4F3B">
              <w:rPr>
                <w:i/>
                <w:iCs/>
                <w:sz w:val="20"/>
                <w:szCs w:val="20"/>
                <w:lang w:val="ru"/>
              </w:rPr>
              <w:t>4%</w:t>
            </w:r>
          </w:p>
        </w:tc>
      </w:tr>
    </w:tbl>
    <w:p w14:paraId="1D8413E1" w14:textId="77777777" w:rsidR="00086663" w:rsidRDefault="00086663" w:rsidP="00DD5017">
      <w:pPr>
        <w:pStyle w:val="Subcaption"/>
        <w:widowControl w:val="0"/>
        <w:jc w:val="both"/>
      </w:pPr>
      <w:r w:rsidRPr="0004727C">
        <w:rPr>
          <w:i/>
          <w:iCs/>
          <w:lang w:val="ru"/>
        </w:rPr>
        <w:t>Источник</w:t>
      </w:r>
      <w:r w:rsidRPr="0004727C">
        <w:rPr>
          <w:lang w:val="ru"/>
        </w:rPr>
        <w:t xml:space="preserve">: НТП. </w:t>
      </w:r>
    </w:p>
    <w:p w14:paraId="6EFB5223" w14:textId="77777777" w:rsidR="00086663" w:rsidRPr="005567E5" w:rsidRDefault="00086663" w:rsidP="00DD5017">
      <w:pPr>
        <w:widowControl w:val="0"/>
        <w:spacing w:line="240" w:lineRule="auto"/>
        <w:jc w:val="both"/>
        <w:rPr>
          <w:lang w:val="ru-RU"/>
        </w:rPr>
      </w:pPr>
      <w:r w:rsidRPr="00A767C1">
        <w:rPr>
          <w:lang w:val="ru"/>
        </w:rPr>
        <w:lastRenderedPageBreak/>
        <w:t>Охват профилактическ</w:t>
      </w:r>
      <w:r>
        <w:rPr>
          <w:lang w:val="ru"/>
        </w:rPr>
        <w:t>им</w:t>
      </w:r>
      <w:r w:rsidRPr="00A767C1">
        <w:rPr>
          <w:lang w:val="ru"/>
        </w:rPr>
        <w:t xml:space="preserve"> </w:t>
      </w:r>
      <w:r>
        <w:rPr>
          <w:lang w:val="ru"/>
        </w:rPr>
        <w:t>лечением</w:t>
      </w:r>
      <w:r w:rsidRPr="00A767C1">
        <w:rPr>
          <w:lang w:val="ru"/>
        </w:rPr>
        <w:t xml:space="preserve"> туберкулеза (</w:t>
      </w:r>
      <w:r>
        <w:rPr>
          <w:lang w:val="ru"/>
        </w:rPr>
        <w:t>ПЛТ</w:t>
      </w:r>
      <w:r w:rsidRPr="00A767C1">
        <w:rPr>
          <w:lang w:val="ru"/>
        </w:rPr>
        <w:t xml:space="preserve">) остается низким во всех приоритетных </w:t>
      </w:r>
      <w:r w:rsidRPr="00D52B7D">
        <w:rPr>
          <w:lang w:val="ru"/>
        </w:rPr>
        <w:t>группах и особенно низким у лиц старше 5 лет (</w:t>
      </w:r>
      <w:r w:rsidRPr="00D52B7D">
        <w:rPr>
          <w:lang w:val="ru"/>
        </w:rPr>
        <w:fldChar w:fldCharType="begin"/>
      </w:r>
      <w:r w:rsidRPr="00D52B7D">
        <w:rPr>
          <w:lang w:val="ru"/>
        </w:rPr>
        <w:instrText xml:space="preserve"> REF _Ref124077574 \h  \* MERGEFORMAT </w:instrText>
      </w:r>
      <w:r w:rsidRPr="00D52B7D">
        <w:rPr>
          <w:lang w:val="ru"/>
        </w:rPr>
      </w:r>
      <w:r w:rsidRPr="00D52B7D">
        <w:rPr>
          <w:lang w:val="ru"/>
        </w:rPr>
        <w:fldChar w:fldCharType="separate"/>
      </w:r>
      <w:r w:rsidRPr="00D52B7D">
        <w:rPr>
          <w:lang w:val="ru"/>
        </w:rPr>
        <w:t xml:space="preserve">Диагр. </w:t>
      </w:r>
      <w:r w:rsidRPr="00D52B7D">
        <w:rPr>
          <w:noProof/>
          <w:lang w:val="ru"/>
        </w:rPr>
        <w:t>1</w:t>
      </w:r>
      <w:r w:rsidRPr="00D52B7D">
        <w:rPr>
          <w:lang w:val="ru"/>
        </w:rPr>
        <w:fldChar w:fldCharType="end"/>
      </w:r>
      <w:r w:rsidRPr="00D52B7D">
        <w:rPr>
          <w:lang w:val="ru"/>
        </w:rPr>
        <w:t>). Текущие рекомендации предписывают</w:t>
      </w:r>
      <w:r w:rsidRPr="00A767C1">
        <w:rPr>
          <w:lang w:val="ru"/>
        </w:rPr>
        <w:t xml:space="preserve"> </w:t>
      </w:r>
      <w:r>
        <w:rPr>
          <w:lang w:val="ru"/>
        </w:rPr>
        <w:t xml:space="preserve">ПЛТ </w:t>
      </w:r>
      <w:r w:rsidRPr="00A767C1">
        <w:rPr>
          <w:lang w:val="ru"/>
        </w:rPr>
        <w:t xml:space="preserve">детям в возрасте до 14 лет </w:t>
      </w:r>
      <w:r w:rsidRPr="00E43EFA">
        <w:rPr>
          <w:lang w:val="ru"/>
        </w:rPr>
        <w:t xml:space="preserve">и ЛЖВ, однако, как правило, только дети в возрасте до 5 лет и ЛЖВ получают его. </w:t>
      </w:r>
      <w:r w:rsidRPr="00E43EFA">
        <w:rPr>
          <w:lang w:val="ru-RU"/>
        </w:rPr>
        <w:t xml:space="preserve">Мониторинг за проведением </w:t>
      </w:r>
      <w:r w:rsidRPr="00E43EFA">
        <w:rPr>
          <w:lang w:val="ru"/>
        </w:rPr>
        <w:t xml:space="preserve">ПЛТ ведется </w:t>
      </w:r>
      <w:r w:rsidRPr="00A767C1">
        <w:rPr>
          <w:lang w:val="ru"/>
        </w:rPr>
        <w:t>не</w:t>
      </w:r>
      <w:r w:rsidRPr="00E43EFA">
        <w:rPr>
          <w:lang w:val="ru"/>
        </w:rPr>
        <w:t xml:space="preserve"> на должном уровне. Общий охват страны ПЛТ снизился с 479 в 2019 г. до 307 в 2021 г. (в т. ч., 126 детей в возрасте до 5 лет). Туберкулиновая кожная проба (ТКП) используется исключительно для диагностики латентной туберкулезной инфекции (ЛТБИ). Тестирование IGRA было введено в пилотных исследовательских проектах </w:t>
      </w:r>
      <w:r w:rsidRPr="00A767C1">
        <w:rPr>
          <w:lang w:val="ru"/>
        </w:rPr>
        <w:t xml:space="preserve">в 2018 году, но в настоящее время недоступно. </w:t>
      </w:r>
      <w:r w:rsidRPr="00EF3A5B">
        <w:rPr>
          <w:lang w:val="ru"/>
        </w:rPr>
        <w:t xml:space="preserve">Результаты исследования указывают на 40% уровень </w:t>
      </w:r>
      <w:r>
        <w:rPr>
          <w:lang w:val="ru"/>
        </w:rPr>
        <w:t>ЛТБИ</w:t>
      </w:r>
      <w:r w:rsidRPr="00EF3A5B">
        <w:rPr>
          <w:lang w:val="ru"/>
        </w:rPr>
        <w:t xml:space="preserve"> среди близких и бытовых контактов [</w:t>
      </w:r>
      <w:r w:rsidRPr="00EF3A5B">
        <w:rPr>
          <w:rStyle w:val="aff1"/>
          <w:lang w:val="ru"/>
        </w:rPr>
        <w:footnoteReference w:id="48"/>
      </w:r>
      <w:r w:rsidRPr="00EF3A5B">
        <w:rPr>
          <w:lang w:val="ru"/>
        </w:rPr>
        <w:t>]. Чтобы</w:t>
      </w:r>
      <w:r>
        <w:rPr>
          <w:lang w:val="ru"/>
        </w:rPr>
        <w:t xml:space="preserve"> достичь этого охвата, страна разрабатывает новое руководство по управлению ЛТБИ, которое будет включать в себя новые диагностические инструменты, такие как IGRA, и более короткие схемы ПЛТ наряду с пересмотренными целевыми группами.</w:t>
      </w:r>
    </w:p>
    <w:p w14:paraId="3A8AF9C8" w14:textId="77777777" w:rsidR="00086663" w:rsidRPr="005567E5" w:rsidRDefault="00086663" w:rsidP="00DD5017">
      <w:pPr>
        <w:pStyle w:val="afff"/>
        <w:keepNext w:val="0"/>
        <w:widowControl w:val="0"/>
        <w:jc w:val="both"/>
        <w:rPr>
          <w:lang w:val="ru-RU"/>
        </w:rPr>
      </w:pPr>
      <w:bookmarkStart w:id="11" w:name="_Ref124077574"/>
      <w:r>
        <w:rPr>
          <w:lang w:val="ru"/>
        </w:rPr>
        <w:t xml:space="preserve">Диагр. </w:t>
      </w:r>
      <w:r>
        <w:rPr>
          <w:lang w:val="ru"/>
        </w:rPr>
        <w:fldChar w:fldCharType="begin"/>
      </w:r>
      <w:r>
        <w:rPr>
          <w:lang w:val="ru"/>
        </w:rPr>
        <w:instrText xml:space="preserve"> SEQ Diag. \* ARABIC </w:instrText>
      </w:r>
      <w:r>
        <w:rPr>
          <w:lang w:val="ru"/>
        </w:rPr>
        <w:fldChar w:fldCharType="separate"/>
      </w:r>
      <w:r>
        <w:rPr>
          <w:noProof/>
          <w:lang w:val="ru"/>
        </w:rPr>
        <w:t>1</w:t>
      </w:r>
      <w:r>
        <w:rPr>
          <w:noProof/>
          <w:lang w:val="ru"/>
        </w:rPr>
        <w:fldChar w:fldCharType="end"/>
      </w:r>
      <w:bookmarkEnd w:id="11"/>
      <w:r>
        <w:rPr>
          <w:lang w:val="ru"/>
        </w:rPr>
        <w:t>. Люди начали профилактическое лечение туберкулеза, Кыргызстан, 2015-2021 гг.</w:t>
      </w:r>
    </w:p>
    <w:p w14:paraId="009D4B3F" w14:textId="77777777" w:rsidR="00086663" w:rsidRDefault="00086663" w:rsidP="00DD5017">
      <w:pPr>
        <w:pStyle w:val="af3"/>
        <w:widowControl w:val="0"/>
        <w:jc w:val="both"/>
      </w:pPr>
      <w:r>
        <w:rPr>
          <w:noProof/>
          <w:lang w:val="ru-RU" w:eastAsia="ru-RU"/>
        </w:rPr>
        <w:drawing>
          <wp:inline distT="0" distB="0" distL="0" distR="0" wp14:anchorId="4E08263A" wp14:editId="29AF5D55">
            <wp:extent cx="3948853" cy="1476546"/>
            <wp:effectExtent l="0" t="0" r="0" b="9525"/>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57348" cy="1479722"/>
                    </a:xfrm>
                    <a:prstGeom prst="rect">
                      <a:avLst/>
                    </a:prstGeom>
                    <a:noFill/>
                    <a:ln>
                      <a:noFill/>
                    </a:ln>
                  </pic:spPr>
                </pic:pic>
              </a:graphicData>
            </a:graphic>
          </wp:inline>
        </w:drawing>
      </w:r>
    </w:p>
    <w:p w14:paraId="2D5C5E58" w14:textId="77777777" w:rsidR="00086663" w:rsidRPr="005567E5" w:rsidRDefault="00086663" w:rsidP="00DD5017">
      <w:pPr>
        <w:pStyle w:val="Subcaption"/>
        <w:widowControl w:val="0"/>
        <w:jc w:val="both"/>
        <w:rPr>
          <w:iCs/>
          <w:lang w:val="ru-RU"/>
        </w:rPr>
      </w:pPr>
      <w:r w:rsidRPr="003226EA">
        <w:rPr>
          <w:i/>
          <w:iCs/>
          <w:lang w:val="ru"/>
        </w:rPr>
        <w:t>Источник</w:t>
      </w:r>
      <w:r w:rsidRPr="002613C5">
        <w:rPr>
          <w:lang w:val="ru"/>
        </w:rPr>
        <w:t xml:space="preserve">: Глобальная база данных ВОЗ по туберкулезу, 2022 г. </w:t>
      </w:r>
    </w:p>
    <w:p w14:paraId="4B9C211F" w14:textId="77777777" w:rsidR="00086663" w:rsidRPr="00A80FEA" w:rsidRDefault="00086663" w:rsidP="00DD5017">
      <w:pPr>
        <w:widowControl w:val="0"/>
        <w:spacing w:line="240" w:lineRule="auto"/>
        <w:jc w:val="both"/>
        <w:rPr>
          <w:b/>
          <w:bCs/>
          <w:iCs/>
          <w:lang w:val="ru-RU"/>
        </w:rPr>
      </w:pPr>
      <w:r w:rsidRPr="004F50E3">
        <w:rPr>
          <w:b/>
          <w:bCs/>
          <w:iCs/>
          <w:lang w:val="ru"/>
        </w:rPr>
        <w:t xml:space="preserve">Лабораторная диагностика, включая </w:t>
      </w:r>
      <w:r>
        <w:rPr>
          <w:b/>
          <w:bCs/>
          <w:iCs/>
          <w:lang w:val="ru"/>
        </w:rPr>
        <w:t>ТЛЧ</w:t>
      </w:r>
    </w:p>
    <w:p w14:paraId="3FAF8EB9" w14:textId="2BAA71E6" w:rsidR="00086663" w:rsidRPr="005567E5" w:rsidRDefault="00086663" w:rsidP="00DD5017">
      <w:pPr>
        <w:widowControl w:val="0"/>
        <w:spacing w:line="240" w:lineRule="auto"/>
        <w:jc w:val="both"/>
        <w:rPr>
          <w:lang w:val="ru-RU"/>
        </w:rPr>
      </w:pPr>
      <w:r w:rsidRPr="005B166B">
        <w:rPr>
          <w:lang w:val="ru"/>
        </w:rPr>
        <w:t>Лабораторная диагностика туберкулеза проводится в 104 ЦОВП по всей стране с помощью микроскопии и экспресс теста диагностики (Xpert). В стране существует 25 платформ GeneXpert, размещенных на центральном, региональном и районном уровнях (</w:t>
      </w:r>
      <w:r w:rsidRPr="005B166B">
        <w:rPr>
          <w:lang w:val="ru"/>
        </w:rPr>
        <w:fldChar w:fldCharType="begin"/>
      </w:r>
      <w:r w:rsidRPr="005B166B">
        <w:rPr>
          <w:lang w:val="ru"/>
        </w:rPr>
        <w:instrText xml:space="preserve"> REF _Ref124009304 \h  \* MERGEFORMAT </w:instrText>
      </w:r>
      <w:r w:rsidRPr="005B166B">
        <w:rPr>
          <w:lang w:val="ru"/>
        </w:rPr>
      </w:r>
      <w:r w:rsidRPr="005B166B">
        <w:rPr>
          <w:lang w:val="ru"/>
        </w:rPr>
        <w:fldChar w:fldCharType="separate"/>
      </w:r>
      <w:r w:rsidRPr="005B166B">
        <w:rPr>
          <w:lang w:val="ru"/>
        </w:rPr>
        <w:t xml:space="preserve">Таблица </w:t>
      </w:r>
      <w:r w:rsidRPr="005B166B">
        <w:rPr>
          <w:noProof/>
          <w:lang w:val="ru"/>
        </w:rPr>
        <w:t>4</w:t>
      </w:r>
      <w:r w:rsidRPr="005B166B">
        <w:rPr>
          <w:lang w:val="ru"/>
        </w:rPr>
        <w:fldChar w:fldCharType="end"/>
      </w:r>
      <w:r w:rsidRPr="005B166B">
        <w:rPr>
          <w:lang w:val="ru"/>
        </w:rPr>
        <w:t xml:space="preserve">). </w:t>
      </w:r>
      <w:r w:rsidR="005B166B" w:rsidRPr="005B166B">
        <w:rPr>
          <w:lang w:val="ru"/>
        </w:rPr>
        <w:t xml:space="preserve">Пять новых платформ GeneXpert будут поставлены в страну в 2023 г. и будут размещены согласно картографии таблицы 4. </w:t>
      </w:r>
      <w:r w:rsidRPr="00A72F03">
        <w:rPr>
          <w:lang w:val="ru"/>
        </w:rPr>
        <w:t xml:space="preserve">Общенациональная сеть противотуберкулезных лабораторий </w:t>
      </w:r>
      <w:r>
        <w:rPr>
          <w:lang w:val="ru-RU"/>
        </w:rPr>
        <w:t xml:space="preserve">также </w:t>
      </w:r>
      <w:r w:rsidRPr="00A72F03">
        <w:rPr>
          <w:lang w:val="ru"/>
        </w:rPr>
        <w:t xml:space="preserve">включает в себя </w:t>
      </w:r>
      <w:r>
        <w:rPr>
          <w:lang w:val="ru"/>
        </w:rPr>
        <w:t>6</w:t>
      </w:r>
      <w:r w:rsidRPr="00A72F03">
        <w:rPr>
          <w:lang w:val="ru"/>
        </w:rPr>
        <w:t xml:space="preserve"> лабораторий, выполняющих </w:t>
      </w:r>
      <w:r>
        <w:rPr>
          <w:lang w:val="ru"/>
        </w:rPr>
        <w:t xml:space="preserve">культуральные </w:t>
      </w:r>
      <w:r w:rsidRPr="00A72F03">
        <w:rPr>
          <w:lang w:val="ru"/>
        </w:rPr>
        <w:t>тесты, и Национальную референс-лабораторию (</w:t>
      </w:r>
      <w:r>
        <w:rPr>
          <w:lang w:val="ru"/>
        </w:rPr>
        <w:t>НРЛ</w:t>
      </w:r>
      <w:r w:rsidRPr="00A72F03">
        <w:rPr>
          <w:lang w:val="ru"/>
        </w:rPr>
        <w:t xml:space="preserve">) в </w:t>
      </w:r>
      <w:r>
        <w:rPr>
          <w:lang w:val="ru"/>
        </w:rPr>
        <w:t>г. </w:t>
      </w:r>
      <w:r w:rsidRPr="00A72F03">
        <w:rPr>
          <w:lang w:val="ru"/>
        </w:rPr>
        <w:t>Бишкеке, которая проводит все тесты на лекарственн</w:t>
      </w:r>
      <w:r>
        <w:rPr>
          <w:lang w:val="ru"/>
        </w:rPr>
        <w:t>ую</w:t>
      </w:r>
      <w:r w:rsidRPr="00A72F03">
        <w:rPr>
          <w:lang w:val="ru"/>
        </w:rPr>
        <w:t xml:space="preserve"> чувствительность (</w:t>
      </w:r>
      <w:r>
        <w:rPr>
          <w:lang w:val="ru"/>
        </w:rPr>
        <w:t>ТЛЧ</w:t>
      </w:r>
      <w:r w:rsidRPr="00A72F03">
        <w:rPr>
          <w:lang w:val="ru"/>
        </w:rPr>
        <w:t>), а с 2017</w:t>
      </w:r>
      <w:r>
        <w:rPr>
          <w:lang w:val="ru"/>
        </w:rPr>
        <w:t> </w:t>
      </w:r>
      <w:r w:rsidRPr="00A72F03">
        <w:rPr>
          <w:lang w:val="ru"/>
        </w:rPr>
        <w:t>г</w:t>
      </w:r>
      <w:r>
        <w:rPr>
          <w:lang w:val="ru"/>
        </w:rPr>
        <w:t>.</w:t>
      </w:r>
      <w:r w:rsidRPr="00A72F03">
        <w:rPr>
          <w:lang w:val="ru"/>
        </w:rPr>
        <w:t xml:space="preserve"> также </w:t>
      </w:r>
      <w:r>
        <w:rPr>
          <w:lang w:val="ru"/>
        </w:rPr>
        <w:t xml:space="preserve">внедрила метод полногеномного </w:t>
      </w:r>
      <w:r w:rsidRPr="00A72F03">
        <w:rPr>
          <w:lang w:val="ru"/>
        </w:rPr>
        <w:t>секвенировани</w:t>
      </w:r>
      <w:r>
        <w:rPr>
          <w:lang w:val="ru"/>
        </w:rPr>
        <w:t>я</w:t>
      </w:r>
      <w:r w:rsidRPr="00A72F03">
        <w:rPr>
          <w:lang w:val="ru"/>
        </w:rPr>
        <w:t xml:space="preserve">. </w:t>
      </w:r>
    </w:p>
    <w:p w14:paraId="4D0312F1" w14:textId="77777777" w:rsidR="00086663" w:rsidRPr="00D7156E" w:rsidRDefault="00086663" w:rsidP="00DD5017">
      <w:pPr>
        <w:widowControl w:val="0"/>
        <w:spacing w:line="240" w:lineRule="auto"/>
        <w:jc w:val="both"/>
        <w:rPr>
          <w:lang w:val="ru-RU"/>
        </w:rPr>
      </w:pPr>
      <w:r>
        <w:rPr>
          <w:lang w:val="ru"/>
        </w:rPr>
        <w:t xml:space="preserve">В </w:t>
      </w:r>
      <w:r w:rsidRPr="00EF6DBA">
        <w:rPr>
          <w:lang w:val="ru"/>
        </w:rPr>
        <w:t xml:space="preserve">соответствии с </w:t>
      </w:r>
      <w:r w:rsidRPr="00EF6DBA">
        <w:rPr>
          <w:i/>
          <w:iCs/>
          <w:lang w:val="ru"/>
        </w:rPr>
        <w:t xml:space="preserve">Дорожной картой по </w:t>
      </w:r>
      <w:r>
        <w:rPr>
          <w:i/>
          <w:iCs/>
          <w:lang w:val="ru-RU"/>
        </w:rPr>
        <w:t xml:space="preserve">реорганизации </w:t>
      </w:r>
      <w:r>
        <w:rPr>
          <w:i/>
          <w:iCs/>
          <w:lang w:val="ru"/>
        </w:rPr>
        <w:t>л</w:t>
      </w:r>
      <w:r w:rsidRPr="00EF6DBA">
        <w:rPr>
          <w:i/>
          <w:iCs/>
          <w:lang w:val="ru"/>
        </w:rPr>
        <w:t>абораторно</w:t>
      </w:r>
      <w:r>
        <w:rPr>
          <w:i/>
          <w:iCs/>
          <w:lang w:val="ru"/>
        </w:rPr>
        <w:t>-диагностической сети противотуберкулезной службы</w:t>
      </w:r>
      <w:r w:rsidRPr="00EF6DBA">
        <w:rPr>
          <w:i/>
          <w:iCs/>
          <w:lang w:val="ru"/>
        </w:rPr>
        <w:t xml:space="preserve"> </w:t>
      </w:r>
      <w:r w:rsidRPr="00EF6DBA">
        <w:rPr>
          <w:lang w:val="ru"/>
        </w:rPr>
        <w:t xml:space="preserve">количество микроскопических лабораторий, </w:t>
      </w:r>
      <w:r>
        <w:rPr>
          <w:lang w:val="ru"/>
        </w:rPr>
        <w:t xml:space="preserve">как ожидается, </w:t>
      </w:r>
      <w:r w:rsidRPr="00EF6DBA">
        <w:rPr>
          <w:lang w:val="ru"/>
        </w:rPr>
        <w:t xml:space="preserve">будет сокращено, чтобы соответствовать количеству </w:t>
      </w:r>
      <w:r>
        <w:rPr>
          <w:lang w:val="ru"/>
        </w:rPr>
        <w:t xml:space="preserve">лабораторий, проводящих диагностику методом </w:t>
      </w:r>
      <w:r>
        <w:t>Xpert</w:t>
      </w:r>
      <w:r w:rsidRPr="0095513E">
        <w:rPr>
          <w:lang w:val="ru-RU"/>
        </w:rPr>
        <w:t xml:space="preserve"> </w:t>
      </w:r>
      <w:r w:rsidRPr="00EF6DBA">
        <w:rPr>
          <w:lang w:val="ru"/>
        </w:rPr>
        <w:t>(</w:t>
      </w:r>
      <w:r w:rsidRPr="00EF6DBA">
        <w:rPr>
          <w:b/>
          <w:bCs/>
          <w:highlight w:val="cyan"/>
          <w:lang w:val="ru"/>
        </w:rPr>
        <w:t>Annex_</w:t>
      </w:r>
      <w:r w:rsidRPr="00EF6DBA">
        <w:rPr>
          <w:highlight w:val="cyan"/>
          <w:lang w:val="ru"/>
        </w:rPr>
        <w:t>.</w:t>
      </w:r>
      <w:r>
        <w:rPr>
          <w:highlight w:val="cyan"/>
          <w:lang w:val="ru"/>
        </w:rPr>
        <w:t xml:space="preserve"> </w:t>
      </w:r>
      <w:r>
        <w:rPr>
          <w:i/>
          <w:iCs/>
          <w:highlight w:val="cyan"/>
          <w:lang w:val="ru"/>
        </w:rPr>
        <w:t>Action P</w:t>
      </w:r>
      <w:r w:rsidRPr="00EF6DBA">
        <w:rPr>
          <w:i/>
          <w:iCs/>
          <w:highlight w:val="cyan"/>
          <w:lang w:val="ru"/>
        </w:rPr>
        <w:t>lan для оптимизации противотуберкулезной помощи</w:t>
      </w:r>
      <w:r w:rsidRPr="00EF6DBA">
        <w:rPr>
          <w:lang w:val="ru"/>
        </w:rPr>
        <w:t>).</w:t>
      </w:r>
      <w:r>
        <w:rPr>
          <w:lang w:val="ru"/>
        </w:rPr>
        <w:t xml:space="preserve"> Общее количество </w:t>
      </w:r>
      <w:r w:rsidRPr="00D7156E">
        <w:rPr>
          <w:lang w:val="ru"/>
        </w:rPr>
        <w:t xml:space="preserve">исследований </w:t>
      </w:r>
      <w:r w:rsidRPr="00D7156E">
        <w:t>Xpert</w:t>
      </w:r>
      <w:r w:rsidRPr="00D7156E">
        <w:rPr>
          <w:lang w:val="ru"/>
        </w:rPr>
        <w:t xml:space="preserve"> снизилось в 2020–2021 годах, хотя и неравномерно по регионам (</w:t>
      </w:r>
      <w:r w:rsidRPr="00D7156E">
        <w:rPr>
          <w:lang w:val="ru"/>
        </w:rPr>
        <w:fldChar w:fldCharType="begin"/>
      </w:r>
      <w:r w:rsidRPr="00D7156E">
        <w:rPr>
          <w:lang w:val="ru"/>
        </w:rPr>
        <w:instrText xml:space="preserve"> REF _Ref124009465 \h  \* MERGEFORMAT </w:instrText>
      </w:r>
      <w:r w:rsidRPr="00D7156E">
        <w:rPr>
          <w:lang w:val="ru"/>
        </w:rPr>
      </w:r>
      <w:r w:rsidRPr="00D7156E">
        <w:rPr>
          <w:lang w:val="ru"/>
        </w:rPr>
        <w:fldChar w:fldCharType="separate"/>
      </w:r>
      <w:r w:rsidRPr="00D7156E">
        <w:rPr>
          <w:lang w:val="ru"/>
        </w:rPr>
        <w:t xml:space="preserve">Диагр. </w:t>
      </w:r>
      <w:r w:rsidRPr="00D7156E">
        <w:rPr>
          <w:noProof/>
          <w:lang w:val="ru"/>
        </w:rPr>
        <w:t>2</w:t>
      </w:r>
      <w:r w:rsidRPr="00D7156E">
        <w:rPr>
          <w:lang w:val="ru"/>
        </w:rPr>
        <w:fldChar w:fldCharType="end"/>
      </w:r>
      <w:r w:rsidRPr="00D7156E">
        <w:rPr>
          <w:lang w:val="ru"/>
        </w:rPr>
        <w:t xml:space="preserve">). </w:t>
      </w:r>
    </w:p>
    <w:p w14:paraId="09FA8930" w14:textId="77777777" w:rsidR="00086663" w:rsidRPr="005567E5" w:rsidRDefault="00086663" w:rsidP="00DD5017">
      <w:pPr>
        <w:pStyle w:val="afff"/>
        <w:keepNext w:val="0"/>
        <w:widowControl w:val="0"/>
        <w:jc w:val="both"/>
        <w:rPr>
          <w:lang w:val="ru-RU"/>
        </w:rPr>
      </w:pPr>
      <w:bookmarkStart w:id="12" w:name="_Ref124009304"/>
      <w:r>
        <w:rPr>
          <w:lang w:val="ru"/>
        </w:rPr>
        <w:t xml:space="preserve">Таблица </w:t>
      </w:r>
      <w:r>
        <w:rPr>
          <w:lang w:val="ru"/>
        </w:rPr>
        <w:fldChar w:fldCharType="begin"/>
      </w:r>
      <w:r>
        <w:rPr>
          <w:lang w:val="ru"/>
        </w:rPr>
        <w:instrText xml:space="preserve"> SEQ Table \* ARABIC </w:instrText>
      </w:r>
      <w:r>
        <w:rPr>
          <w:lang w:val="ru"/>
        </w:rPr>
        <w:fldChar w:fldCharType="separate"/>
      </w:r>
      <w:r>
        <w:rPr>
          <w:noProof/>
          <w:lang w:val="ru"/>
        </w:rPr>
        <w:t>4</w:t>
      </w:r>
      <w:r>
        <w:rPr>
          <w:noProof/>
          <w:lang w:val="ru"/>
        </w:rPr>
        <w:fldChar w:fldCharType="end"/>
      </w:r>
      <w:bookmarkEnd w:id="12"/>
      <w:r>
        <w:rPr>
          <w:lang w:val="ru"/>
        </w:rPr>
        <w:t xml:space="preserve">. Географическое расположение платформ Xpert и </w:t>
      </w:r>
      <w:r w:rsidRPr="00DD799A">
        <w:rPr>
          <w:lang w:val="ru-RU"/>
        </w:rPr>
        <w:t>#</w:t>
      </w:r>
      <w:r>
        <w:rPr>
          <w:lang w:val="ru"/>
        </w:rPr>
        <w:t xml:space="preserve"> модулей, Кыргызстан, 2021.</w:t>
      </w:r>
    </w:p>
    <w:tbl>
      <w:tblPr>
        <w:tblStyle w:val="afc"/>
        <w:tblW w:w="5000" w:type="pct"/>
        <w:tblLook w:val="04A0" w:firstRow="1" w:lastRow="0" w:firstColumn="1" w:lastColumn="0" w:noHBand="0" w:noVBand="1"/>
      </w:tblPr>
      <w:tblGrid>
        <w:gridCol w:w="1786"/>
        <w:gridCol w:w="1894"/>
        <w:gridCol w:w="1702"/>
        <w:gridCol w:w="2451"/>
        <w:gridCol w:w="2361"/>
      </w:tblGrid>
      <w:tr w:rsidR="007E6536" w:rsidRPr="00A26916" w14:paraId="7FC18B95" w14:textId="77777777" w:rsidTr="00DD5017">
        <w:tc>
          <w:tcPr>
            <w:tcW w:w="876" w:type="pct"/>
            <w:vMerge w:val="restart"/>
            <w:shd w:val="clear" w:color="auto" w:fill="D9D9D9" w:themeFill="background1" w:themeFillShade="D9"/>
            <w:vAlign w:val="center"/>
          </w:tcPr>
          <w:p w14:paraId="6B6D9D8C" w14:textId="77777777" w:rsidR="00086663" w:rsidRPr="005B166B" w:rsidRDefault="00086663" w:rsidP="00DD5017">
            <w:pPr>
              <w:widowControl w:val="0"/>
              <w:suppressAutoHyphens/>
              <w:spacing w:after="0"/>
              <w:contextualSpacing/>
              <w:jc w:val="both"/>
              <w:rPr>
                <w:b/>
                <w:bCs/>
                <w:sz w:val="20"/>
                <w:szCs w:val="20"/>
              </w:rPr>
            </w:pPr>
            <w:r w:rsidRPr="005B166B">
              <w:rPr>
                <w:b/>
                <w:bCs/>
                <w:sz w:val="20"/>
                <w:szCs w:val="20"/>
                <w:lang w:val="ru"/>
              </w:rPr>
              <w:t>География</w:t>
            </w:r>
          </w:p>
        </w:tc>
        <w:tc>
          <w:tcPr>
            <w:tcW w:w="929" w:type="pct"/>
            <w:vMerge w:val="restart"/>
            <w:shd w:val="clear" w:color="auto" w:fill="D9D9D9" w:themeFill="background1" w:themeFillShade="D9"/>
            <w:vAlign w:val="center"/>
          </w:tcPr>
          <w:p w14:paraId="6741FD04" w14:textId="77777777" w:rsidR="00086663" w:rsidRPr="005B166B" w:rsidRDefault="00086663" w:rsidP="00DD5017">
            <w:pPr>
              <w:widowControl w:val="0"/>
              <w:suppressAutoHyphens/>
              <w:spacing w:after="0"/>
              <w:contextualSpacing/>
              <w:jc w:val="center"/>
              <w:rPr>
                <w:b/>
                <w:bCs/>
                <w:sz w:val="20"/>
                <w:szCs w:val="20"/>
                <w:lang w:val="ru-RU"/>
              </w:rPr>
            </w:pPr>
            <w:r w:rsidRPr="005B166B">
              <w:rPr>
                <w:b/>
                <w:bCs/>
                <w:sz w:val="20"/>
                <w:szCs w:val="20"/>
                <w:lang w:val="ru"/>
              </w:rPr>
              <w:t>Кол-во платформ (модулей) Xpert</w:t>
            </w:r>
          </w:p>
        </w:tc>
        <w:tc>
          <w:tcPr>
            <w:tcW w:w="3195" w:type="pct"/>
            <w:gridSpan w:val="3"/>
            <w:shd w:val="clear" w:color="auto" w:fill="D9D9D9" w:themeFill="background1" w:themeFillShade="D9"/>
            <w:vAlign w:val="center"/>
          </w:tcPr>
          <w:p w14:paraId="699477B7" w14:textId="77777777" w:rsidR="00086663" w:rsidRPr="005B166B" w:rsidRDefault="00086663" w:rsidP="00DD5017">
            <w:pPr>
              <w:widowControl w:val="0"/>
              <w:suppressAutoHyphens/>
              <w:spacing w:after="0"/>
              <w:contextualSpacing/>
              <w:jc w:val="center"/>
              <w:rPr>
                <w:b/>
                <w:bCs/>
                <w:sz w:val="20"/>
                <w:szCs w:val="20"/>
                <w:lang w:val="ru-RU"/>
              </w:rPr>
            </w:pPr>
            <w:r w:rsidRPr="005B166B">
              <w:rPr>
                <w:b/>
                <w:sz w:val="20"/>
                <w:szCs w:val="20"/>
                <w:lang w:val="ru"/>
              </w:rPr>
              <w:t>Распределение по регионам (количество модулей)</w:t>
            </w:r>
          </w:p>
        </w:tc>
      </w:tr>
      <w:tr w:rsidR="008225CA" w:rsidRPr="00A855D6" w14:paraId="4B20F5C8" w14:textId="77777777" w:rsidTr="00DD5017">
        <w:tc>
          <w:tcPr>
            <w:tcW w:w="876" w:type="pct"/>
            <w:vMerge/>
            <w:shd w:val="clear" w:color="auto" w:fill="D9D9D9" w:themeFill="background1" w:themeFillShade="D9"/>
            <w:vAlign w:val="center"/>
          </w:tcPr>
          <w:p w14:paraId="3F14C6BE" w14:textId="77777777" w:rsidR="00086663" w:rsidRPr="005B166B" w:rsidRDefault="00086663" w:rsidP="00DD5017">
            <w:pPr>
              <w:widowControl w:val="0"/>
              <w:suppressAutoHyphens/>
              <w:spacing w:after="0"/>
              <w:contextualSpacing/>
              <w:jc w:val="both"/>
              <w:rPr>
                <w:b/>
                <w:bCs/>
                <w:sz w:val="20"/>
                <w:szCs w:val="20"/>
                <w:lang w:val="ru-RU"/>
              </w:rPr>
            </w:pPr>
          </w:p>
        </w:tc>
        <w:tc>
          <w:tcPr>
            <w:tcW w:w="929" w:type="pct"/>
            <w:vMerge/>
            <w:shd w:val="clear" w:color="auto" w:fill="D9D9D9" w:themeFill="background1" w:themeFillShade="D9"/>
            <w:vAlign w:val="center"/>
          </w:tcPr>
          <w:p w14:paraId="1B194B5B" w14:textId="77777777" w:rsidR="00086663" w:rsidRPr="005B166B" w:rsidRDefault="00086663" w:rsidP="00DD5017">
            <w:pPr>
              <w:widowControl w:val="0"/>
              <w:suppressAutoHyphens/>
              <w:spacing w:after="0"/>
              <w:contextualSpacing/>
              <w:jc w:val="center"/>
              <w:rPr>
                <w:b/>
                <w:bCs/>
                <w:sz w:val="20"/>
                <w:szCs w:val="20"/>
                <w:lang w:val="ru-RU"/>
              </w:rPr>
            </w:pPr>
          </w:p>
        </w:tc>
        <w:tc>
          <w:tcPr>
            <w:tcW w:w="835" w:type="pct"/>
            <w:shd w:val="clear" w:color="auto" w:fill="D9D9D9" w:themeFill="background1" w:themeFillShade="D9"/>
            <w:vAlign w:val="center"/>
          </w:tcPr>
          <w:p w14:paraId="346C9DDA" w14:textId="3689A28D" w:rsidR="00086663" w:rsidRPr="005B166B" w:rsidRDefault="00DD5017" w:rsidP="00DD5017">
            <w:pPr>
              <w:widowControl w:val="0"/>
              <w:suppressAutoHyphens/>
              <w:spacing w:after="0"/>
              <w:contextualSpacing/>
              <w:jc w:val="center"/>
              <w:rPr>
                <w:b/>
                <w:bCs/>
                <w:sz w:val="20"/>
                <w:szCs w:val="20"/>
                <w:lang w:val="en"/>
              </w:rPr>
            </w:pPr>
            <w:r w:rsidRPr="005B166B">
              <w:rPr>
                <w:b/>
                <w:sz w:val="20"/>
                <w:szCs w:val="20"/>
                <w:lang w:val="ru"/>
              </w:rPr>
              <w:t>Противотубер.</w:t>
            </w:r>
            <w:r w:rsidR="00086663" w:rsidRPr="005B166B">
              <w:rPr>
                <w:b/>
                <w:sz w:val="20"/>
                <w:szCs w:val="20"/>
                <w:lang w:val="ru"/>
              </w:rPr>
              <w:t xml:space="preserve"> система</w:t>
            </w:r>
          </w:p>
        </w:tc>
        <w:tc>
          <w:tcPr>
            <w:tcW w:w="1202" w:type="pct"/>
            <w:shd w:val="clear" w:color="auto" w:fill="D9D9D9" w:themeFill="background1" w:themeFillShade="D9"/>
            <w:vAlign w:val="center"/>
          </w:tcPr>
          <w:p w14:paraId="45F08C16" w14:textId="77777777" w:rsidR="00086663" w:rsidRPr="005B166B" w:rsidRDefault="00086663" w:rsidP="00DD5017">
            <w:pPr>
              <w:widowControl w:val="0"/>
              <w:suppressAutoHyphens/>
              <w:spacing w:after="0"/>
              <w:contextualSpacing/>
              <w:jc w:val="center"/>
              <w:rPr>
                <w:b/>
                <w:bCs/>
                <w:sz w:val="20"/>
                <w:szCs w:val="20"/>
                <w:lang w:val="en"/>
              </w:rPr>
            </w:pPr>
            <w:r w:rsidRPr="005B166B">
              <w:rPr>
                <w:b/>
                <w:sz w:val="20"/>
                <w:szCs w:val="20"/>
                <w:lang w:val="ru"/>
              </w:rPr>
              <w:t>Система ПМСП</w:t>
            </w:r>
          </w:p>
        </w:tc>
        <w:tc>
          <w:tcPr>
            <w:tcW w:w="1158" w:type="pct"/>
            <w:shd w:val="clear" w:color="auto" w:fill="D9D9D9" w:themeFill="background1" w:themeFillShade="D9"/>
            <w:vAlign w:val="center"/>
          </w:tcPr>
          <w:p w14:paraId="383B044E" w14:textId="382BD1BC" w:rsidR="00086663" w:rsidRPr="005B166B" w:rsidRDefault="00086663" w:rsidP="00DD5017">
            <w:pPr>
              <w:widowControl w:val="0"/>
              <w:suppressAutoHyphens/>
              <w:spacing w:after="0"/>
              <w:contextualSpacing/>
              <w:jc w:val="center"/>
              <w:rPr>
                <w:b/>
                <w:bCs/>
                <w:sz w:val="20"/>
                <w:szCs w:val="20"/>
                <w:lang w:val="ru-RU"/>
              </w:rPr>
            </w:pPr>
            <w:r w:rsidRPr="005B166B">
              <w:rPr>
                <w:b/>
                <w:bCs/>
                <w:sz w:val="20"/>
                <w:szCs w:val="20"/>
                <w:lang w:val="ru-RU"/>
              </w:rPr>
              <w:t>Пенитенциарная система</w:t>
            </w:r>
          </w:p>
        </w:tc>
      </w:tr>
      <w:tr w:rsidR="00DD5017" w:rsidRPr="00A855D6" w14:paraId="60DD5957" w14:textId="77777777" w:rsidTr="00DD5017">
        <w:tc>
          <w:tcPr>
            <w:tcW w:w="876" w:type="pct"/>
            <w:vAlign w:val="center"/>
          </w:tcPr>
          <w:p w14:paraId="4A81E481" w14:textId="77777777" w:rsidR="00086663" w:rsidRPr="005B166B" w:rsidRDefault="00086663" w:rsidP="00DD5017">
            <w:pPr>
              <w:widowControl w:val="0"/>
              <w:suppressAutoHyphens/>
              <w:spacing w:after="0"/>
              <w:contextualSpacing/>
              <w:jc w:val="both"/>
              <w:rPr>
                <w:sz w:val="20"/>
                <w:szCs w:val="20"/>
              </w:rPr>
            </w:pPr>
            <w:r w:rsidRPr="005B166B">
              <w:rPr>
                <w:sz w:val="20"/>
                <w:szCs w:val="20"/>
                <w:lang w:val="ru"/>
              </w:rPr>
              <w:t>г. Бишкек</w:t>
            </w:r>
          </w:p>
        </w:tc>
        <w:tc>
          <w:tcPr>
            <w:tcW w:w="929" w:type="pct"/>
            <w:vAlign w:val="center"/>
          </w:tcPr>
          <w:p w14:paraId="74280373" w14:textId="77777777" w:rsidR="00086663" w:rsidRPr="005B166B" w:rsidRDefault="00086663" w:rsidP="00DD5017">
            <w:pPr>
              <w:widowControl w:val="0"/>
              <w:suppressAutoHyphens/>
              <w:spacing w:after="0"/>
              <w:contextualSpacing/>
              <w:jc w:val="center"/>
              <w:rPr>
                <w:sz w:val="20"/>
                <w:szCs w:val="20"/>
              </w:rPr>
            </w:pPr>
            <w:r w:rsidRPr="005B166B">
              <w:rPr>
                <w:sz w:val="20"/>
                <w:szCs w:val="20"/>
                <w:lang w:val="ru"/>
              </w:rPr>
              <w:t>2 (8)</w:t>
            </w:r>
          </w:p>
        </w:tc>
        <w:tc>
          <w:tcPr>
            <w:tcW w:w="835" w:type="pct"/>
            <w:vAlign w:val="center"/>
          </w:tcPr>
          <w:p w14:paraId="441B3D5B" w14:textId="77777777" w:rsidR="00DD5017" w:rsidRPr="005B166B" w:rsidRDefault="00086663" w:rsidP="00DD5017">
            <w:pPr>
              <w:widowControl w:val="0"/>
              <w:suppressAutoHyphens/>
              <w:spacing w:after="0"/>
              <w:contextualSpacing/>
              <w:jc w:val="center"/>
              <w:rPr>
                <w:sz w:val="20"/>
                <w:szCs w:val="20"/>
                <w:lang w:val="ru"/>
              </w:rPr>
            </w:pPr>
            <w:r w:rsidRPr="005B166B">
              <w:rPr>
                <w:sz w:val="20"/>
                <w:szCs w:val="20"/>
                <w:lang w:val="ru"/>
              </w:rPr>
              <w:t>ГЦБТ (4);</w:t>
            </w:r>
          </w:p>
          <w:p w14:paraId="3E1943C5" w14:textId="364304C8" w:rsidR="00086663" w:rsidRPr="005B166B" w:rsidRDefault="00086663" w:rsidP="00DD5017">
            <w:pPr>
              <w:widowControl w:val="0"/>
              <w:suppressAutoHyphens/>
              <w:spacing w:after="0"/>
              <w:contextualSpacing/>
              <w:jc w:val="center"/>
              <w:rPr>
                <w:rFonts w:ascii="Arial Narrow" w:hAnsi="Arial Narrow"/>
                <w:sz w:val="20"/>
                <w:szCs w:val="20"/>
              </w:rPr>
            </w:pPr>
            <w:r w:rsidRPr="005B166B">
              <w:rPr>
                <w:sz w:val="20"/>
                <w:szCs w:val="20"/>
                <w:lang w:val="ru"/>
              </w:rPr>
              <w:t>НРЛ (4)</w:t>
            </w:r>
          </w:p>
        </w:tc>
        <w:tc>
          <w:tcPr>
            <w:tcW w:w="1202" w:type="pct"/>
          </w:tcPr>
          <w:p w14:paraId="6A49B31B" w14:textId="77777777" w:rsidR="00086663" w:rsidRPr="005B166B" w:rsidRDefault="00086663" w:rsidP="00DD5017">
            <w:pPr>
              <w:widowControl w:val="0"/>
              <w:suppressAutoHyphens/>
              <w:spacing w:after="0"/>
              <w:contextualSpacing/>
              <w:jc w:val="center"/>
              <w:rPr>
                <w:rFonts w:ascii="Arial Narrow" w:hAnsi="Arial Narrow"/>
                <w:sz w:val="20"/>
                <w:szCs w:val="20"/>
              </w:rPr>
            </w:pPr>
          </w:p>
        </w:tc>
        <w:tc>
          <w:tcPr>
            <w:tcW w:w="1158" w:type="pct"/>
          </w:tcPr>
          <w:p w14:paraId="28690B25" w14:textId="77777777" w:rsidR="00086663" w:rsidRPr="005B166B" w:rsidRDefault="00086663" w:rsidP="00DD5017">
            <w:pPr>
              <w:widowControl w:val="0"/>
              <w:suppressAutoHyphens/>
              <w:spacing w:after="0"/>
              <w:contextualSpacing/>
              <w:jc w:val="center"/>
              <w:rPr>
                <w:rFonts w:ascii="Arial Narrow" w:hAnsi="Arial Narrow"/>
                <w:sz w:val="20"/>
                <w:szCs w:val="20"/>
              </w:rPr>
            </w:pPr>
          </w:p>
        </w:tc>
      </w:tr>
      <w:tr w:rsidR="00DD5017" w:rsidRPr="00283814" w14:paraId="4A7EBCBA" w14:textId="77777777" w:rsidTr="00DD5017">
        <w:tc>
          <w:tcPr>
            <w:tcW w:w="876" w:type="pct"/>
          </w:tcPr>
          <w:p w14:paraId="26B942B6" w14:textId="77777777" w:rsidR="00086663" w:rsidRPr="005B166B" w:rsidRDefault="00086663" w:rsidP="00DD5017">
            <w:pPr>
              <w:widowControl w:val="0"/>
              <w:suppressAutoHyphens/>
              <w:spacing w:after="0"/>
              <w:contextualSpacing/>
              <w:jc w:val="both"/>
              <w:rPr>
                <w:sz w:val="20"/>
                <w:szCs w:val="20"/>
                <w:lang w:val="en"/>
              </w:rPr>
            </w:pPr>
            <w:r w:rsidRPr="005B166B">
              <w:rPr>
                <w:sz w:val="20"/>
                <w:szCs w:val="20"/>
                <w:lang w:val="ru"/>
              </w:rPr>
              <w:t>Чуйская область</w:t>
            </w:r>
          </w:p>
        </w:tc>
        <w:tc>
          <w:tcPr>
            <w:tcW w:w="929" w:type="pct"/>
          </w:tcPr>
          <w:p w14:paraId="2C410D5F" w14:textId="77777777" w:rsidR="00086663" w:rsidRPr="005B166B" w:rsidRDefault="00086663" w:rsidP="00DD5017">
            <w:pPr>
              <w:widowControl w:val="0"/>
              <w:suppressAutoHyphens/>
              <w:spacing w:after="0"/>
              <w:contextualSpacing/>
              <w:jc w:val="center"/>
              <w:rPr>
                <w:sz w:val="20"/>
                <w:szCs w:val="20"/>
                <w:lang w:val="en"/>
              </w:rPr>
            </w:pPr>
            <w:r w:rsidRPr="005B166B">
              <w:rPr>
                <w:sz w:val="20"/>
                <w:szCs w:val="20"/>
                <w:lang w:val="ru"/>
              </w:rPr>
              <w:t>4 (14)</w:t>
            </w:r>
          </w:p>
        </w:tc>
        <w:tc>
          <w:tcPr>
            <w:tcW w:w="835" w:type="pct"/>
            <w:vAlign w:val="center"/>
          </w:tcPr>
          <w:p w14:paraId="56AAB367" w14:textId="77777777" w:rsidR="00086663" w:rsidRPr="005B166B" w:rsidRDefault="00086663" w:rsidP="00DD5017">
            <w:pPr>
              <w:widowControl w:val="0"/>
              <w:suppressAutoHyphens/>
              <w:spacing w:after="0"/>
              <w:contextualSpacing/>
              <w:jc w:val="center"/>
              <w:rPr>
                <w:rFonts w:ascii="Arial Narrow" w:hAnsi="Arial Narrow"/>
                <w:sz w:val="20"/>
                <w:szCs w:val="20"/>
                <w:lang w:val="ru-RU"/>
              </w:rPr>
            </w:pPr>
          </w:p>
        </w:tc>
        <w:tc>
          <w:tcPr>
            <w:tcW w:w="1202" w:type="pct"/>
            <w:vAlign w:val="center"/>
          </w:tcPr>
          <w:p w14:paraId="05CC7D21" w14:textId="77777777" w:rsidR="00DD5017" w:rsidRPr="005B166B" w:rsidRDefault="00086663" w:rsidP="00DD5017">
            <w:pPr>
              <w:widowControl w:val="0"/>
              <w:suppressAutoHyphens/>
              <w:spacing w:after="0"/>
              <w:contextualSpacing/>
              <w:jc w:val="center"/>
              <w:rPr>
                <w:sz w:val="20"/>
                <w:szCs w:val="20"/>
                <w:lang w:val="ru"/>
              </w:rPr>
            </w:pPr>
            <w:r w:rsidRPr="005B166B">
              <w:rPr>
                <w:sz w:val="20"/>
                <w:szCs w:val="20"/>
                <w:lang w:val="ru"/>
              </w:rPr>
              <w:t>Ысык-</w:t>
            </w:r>
            <w:r w:rsidRPr="005B166B">
              <w:rPr>
                <w:sz w:val="20"/>
                <w:szCs w:val="20"/>
                <w:lang w:val="ru-RU"/>
              </w:rPr>
              <w:t>А</w:t>
            </w:r>
            <w:r w:rsidRPr="005B166B">
              <w:rPr>
                <w:sz w:val="20"/>
                <w:szCs w:val="20"/>
                <w:lang w:val="ru"/>
              </w:rPr>
              <w:t>та</w:t>
            </w:r>
            <w:r w:rsidRPr="005B166B">
              <w:rPr>
                <w:lang w:val="ru"/>
              </w:rPr>
              <w:t xml:space="preserve"> </w:t>
            </w:r>
            <w:r w:rsidRPr="005B166B">
              <w:rPr>
                <w:sz w:val="20"/>
                <w:szCs w:val="20"/>
                <w:lang w:val="ru"/>
              </w:rPr>
              <w:t>ЦОВП (4); Сокулукский ЦОВП (4);</w:t>
            </w:r>
          </w:p>
          <w:p w14:paraId="362E0CE9" w14:textId="77777777" w:rsidR="00DD5017" w:rsidRPr="005B166B" w:rsidRDefault="00086663" w:rsidP="00DD5017">
            <w:pPr>
              <w:widowControl w:val="0"/>
              <w:suppressAutoHyphens/>
              <w:spacing w:after="0"/>
              <w:contextualSpacing/>
              <w:jc w:val="center"/>
              <w:rPr>
                <w:sz w:val="20"/>
                <w:szCs w:val="20"/>
                <w:lang w:val="ru"/>
              </w:rPr>
            </w:pPr>
            <w:r w:rsidRPr="005B166B">
              <w:rPr>
                <w:sz w:val="20"/>
                <w:szCs w:val="20"/>
                <w:lang w:val="ru"/>
              </w:rPr>
              <w:t>Джайыл ЦОВП (4);</w:t>
            </w:r>
          </w:p>
          <w:p w14:paraId="6DB1519A" w14:textId="4214E1FA" w:rsidR="00086663" w:rsidRPr="005B166B" w:rsidRDefault="00086663" w:rsidP="00DD5017">
            <w:pPr>
              <w:widowControl w:val="0"/>
              <w:suppressAutoHyphens/>
              <w:spacing w:after="0"/>
              <w:contextualSpacing/>
              <w:jc w:val="center"/>
              <w:rPr>
                <w:rFonts w:ascii="Arial Narrow" w:hAnsi="Arial Narrow"/>
                <w:sz w:val="20"/>
                <w:szCs w:val="20"/>
                <w:lang w:val="ru-RU"/>
              </w:rPr>
            </w:pPr>
            <w:r w:rsidRPr="005B166B">
              <w:rPr>
                <w:sz w:val="20"/>
                <w:szCs w:val="20"/>
                <w:lang w:val="ru"/>
              </w:rPr>
              <w:t>Токмок ЦОВП (2)</w:t>
            </w:r>
          </w:p>
        </w:tc>
        <w:tc>
          <w:tcPr>
            <w:tcW w:w="1158" w:type="pct"/>
          </w:tcPr>
          <w:p w14:paraId="46948352" w14:textId="77777777" w:rsidR="00086663" w:rsidRPr="005B166B" w:rsidRDefault="00086663" w:rsidP="00DD5017">
            <w:pPr>
              <w:widowControl w:val="0"/>
              <w:suppressAutoHyphens/>
              <w:spacing w:after="0"/>
              <w:contextualSpacing/>
              <w:jc w:val="center"/>
              <w:rPr>
                <w:rFonts w:ascii="Arial Narrow" w:hAnsi="Arial Narrow"/>
                <w:sz w:val="20"/>
                <w:szCs w:val="20"/>
                <w:lang w:val="ru-RU"/>
              </w:rPr>
            </w:pPr>
          </w:p>
        </w:tc>
      </w:tr>
      <w:tr w:rsidR="00DD5017" w:rsidRPr="00A855D6" w14:paraId="250C667F" w14:textId="77777777" w:rsidTr="00DD5017">
        <w:tc>
          <w:tcPr>
            <w:tcW w:w="876" w:type="pct"/>
          </w:tcPr>
          <w:p w14:paraId="7B1B0089" w14:textId="77777777" w:rsidR="00086663" w:rsidRPr="005B166B" w:rsidRDefault="00086663" w:rsidP="00DD5017">
            <w:pPr>
              <w:widowControl w:val="0"/>
              <w:suppressAutoHyphens/>
              <w:spacing w:after="0"/>
              <w:contextualSpacing/>
              <w:jc w:val="both"/>
              <w:rPr>
                <w:sz w:val="20"/>
                <w:szCs w:val="20"/>
                <w:lang w:val="en"/>
              </w:rPr>
            </w:pPr>
            <w:r w:rsidRPr="005B166B">
              <w:rPr>
                <w:sz w:val="20"/>
                <w:szCs w:val="20"/>
                <w:lang w:val="ru"/>
              </w:rPr>
              <w:t xml:space="preserve">Нарынская область </w:t>
            </w:r>
          </w:p>
        </w:tc>
        <w:tc>
          <w:tcPr>
            <w:tcW w:w="929" w:type="pct"/>
            <w:vAlign w:val="center"/>
          </w:tcPr>
          <w:p w14:paraId="55F08739" w14:textId="77777777" w:rsidR="00086663" w:rsidRPr="005B166B" w:rsidRDefault="00086663" w:rsidP="00DD5017">
            <w:pPr>
              <w:widowControl w:val="0"/>
              <w:suppressAutoHyphens/>
              <w:spacing w:after="0"/>
              <w:contextualSpacing/>
              <w:jc w:val="center"/>
              <w:rPr>
                <w:sz w:val="20"/>
                <w:szCs w:val="20"/>
                <w:lang w:val="en"/>
              </w:rPr>
            </w:pPr>
            <w:r w:rsidRPr="005B166B">
              <w:rPr>
                <w:sz w:val="20"/>
                <w:szCs w:val="20"/>
                <w:lang w:val="ru"/>
              </w:rPr>
              <w:t>1 (4)</w:t>
            </w:r>
          </w:p>
        </w:tc>
        <w:tc>
          <w:tcPr>
            <w:tcW w:w="835" w:type="pct"/>
            <w:vAlign w:val="center"/>
          </w:tcPr>
          <w:p w14:paraId="07806E80" w14:textId="77777777" w:rsidR="00086663" w:rsidRPr="005B166B" w:rsidRDefault="00086663" w:rsidP="00DD5017">
            <w:pPr>
              <w:widowControl w:val="0"/>
              <w:suppressAutoHyphens/>
              <w:spacing w:after="0"/>
              <w:contextualSpacing/>
              <w:jc w:val="center"/>
              <w:rPr>
                <w:rFonts w:ascii="Arial Narrow" w:hAnsi="Arial Narrow"/>
                <w:sz w:val="20"/>
                <w:szCs w:val="20"/>
                <w:lang w:val="en"/>
              </w:rPr>
            </w:pPr>
            <w:r w:rsidRPr="005B166B">
              <w:rPr>
                <w:sz w:val="20"/>
                <w:szCs w:val="20"/>
                <w:lang w:val="ru"/>
              </w:rPr>
              <w:t>ОЦБТ (4)</w:t>
            </w:r>
          </w:p>
        </w:tc>
        <w:tc>
          <w:tcPr>
            <w:tcW w:w="1202" w:type="pct"/>
          </w:tcPr>
          <w:p w14:paraId="651BE157" w14:textId="77777777" w:rsidR="00086663" w:rsidRPr="005B166B" w:rsidRDefault="00086663" w:rsidP="00DD5017">
            <w:pPr>
              <w:widowControl w:val="0"/>
              <w:suppressAutoHyphens/>
              <w:spacing w:after="0"/>
              <w:contextualSpacing/>
              <w:jc w:val="center"/>
              <w:rPr>
                <w:rFonts w:ascii="Arial Narrow" w:hAnsi="Arial Narrow"/>
                <w:sz w:val="20"/>
                <w:szCs w:val="20"/>
                <w:lang w:val="en"/>
              </w:rPr>
            </w:pPr>
          </w:p>
        </w:tc>
        <w:tc>
          <w:tcPr>
            <w:tcW w:w="1158" w:type="pct"/>
          </w:tcPr>
          <w:p w14:paraId="79A0B353" w14:textId="77777777" w:rsidR="00086663" w:rsidRPr="005B166B" w:rsidRDefault="00086663" w:rsidP="00DD5017">
            <w:pPr>
              <w:widowControl w:val="0"/>
              <w:suppressAutoHyphens/>
              <w:spacing w:after="0"/>
              <w:contextualSpacing/>
              <w:jc w:val="center"/>
              <w:rPr>
                <w:rFonts w:ascii="Arial Narrow" w:hAnsi="Arial Narrow"/>
                <w:sz w:val="20"/>
                <w:szCs w:val="20"/>
                <w:lang w:val="en"/>
              </w:rPr>
            </w:pPr>
          </w:p>
        </w:tc>
      </w:tr>
      <w:tr w:rsidR="00DD5017" w:rsidRPr="00A855D6" w14:paraId="54DB4331" w14:textId="77777777" w:rsidTr="00DD5017">
        <w:tc>
          <w:tcPr>
            <w:tcW w:w="876" w:type="pct"/>
          </w:tcPr>
          <w:p w14:paraId="67C4ECFA" w14:textId="77777777" w:rsidR="00086663" w:rsidRPr="005B166B" w:rsidRDefault="00086663" w:rsidP="00DD5017">
            <w:pPr>
              <w:widowControl w:val="0"/>
              <w:suppressAutoHyphens/>
              <w:spacing w:after="0"/>
              <w:contextualSpacing/>
              <w:jc w:val="both"/>
              <w:rPr>
                <w:sz w:val="20"/>
                <w:szCs w:val="20"/>
                <w:lang w:val="en"/>
              </w:rPr>
            </w:pPr>
            <w:r w:rsidRPr="005B166B">
              <w:rPr>
                <w:sz w:val="20"/>
                <w:szCs w:val="20"/>
                <w:lang w:val="ru-RU"/>
              </w:rPr>
              <w:t>Таласская область</w:t>
            </w:r>
            <w:r w:rsidRPr="005B166B">
              <w:rPr>
                <w:sz w:val="20"/>
                <w:szCs w:val="20"/>
                <w:lang w:val="ru"/>
              </w:rPr>
              <w:t xml:space="preserve"> </w:t>
            </w:r>
          </w:p>
        </w:tc>
        <w:tc>
          <w:tcPr>
            <w:tcW w:w="929" w:type="pct"/>
            <w:vAlign w:val="center"/>
          </w:tcPr>
          <w:p w14:paraId="08C420AB" w14:textId="77777777" w:rsidR="00086663" w:rsidRPr="005B166B" w:rsidRDefault="00086663" w:rsidP="00DD5017">
            <w:pPr>
              <w:widowControl w:val="0"/>
              <w:suppressAutoHyphens/>
              <w:spacing w:after="0"/>
              <w:contextualSpacing/>
              <w:jc w:val="center"/>
              <w:rPr>
                <w:sz w:val="20"/>
                <w:szCs w:val="20"/>
                <w:lang w:val="en"/>
              </w:rPr>
            </w:pPr>
            <w:r w:rsidRPr="005B166B">
              <w:rPr>
                <w:sz w:val="20"/>
                <w:szCs w:val="20"/>
                <w:lang w:val="ru"/>
              </w:rPr>
              <w:t>1 (4)</w:t>
            </w:r>
          </w:p>
        </w:tc>
        <w:tc>
          <w:tcPr>
            <w:tcW w:w="835" w:type="pct"/>
            <w:vAlign w:val="center"/>
          </w:tcPr>
          <w:p w14:paraId="6725FE89" w14:textId="77777777" w:rsidR="00086663" w:rsidRPr="005B166B" w:rsidRDefault="00086663" w:rsidP="00DD5017">
            <w:pPr>
              <w:widowControl w:val="0"/>
              <w:suppressAutoHyphens/>
              <w:spacing w:after="0"/>
              <w:contextualSpacing/>
              <w:jc w:val="center"/>
              <w:rPr>
                <w:rFonts w:ascii="Arial Narrow" w:hAnsi="Arial Narrow"/>
                <w:sz w:val="20"/>
                <w:szCs w:val="20"/>
                <w:lang w:val="en"/>
              </w:rPr>
            </w:pPr>
            <w:r w:rsidRPr="005B166B">
              <w:rPr>
                <w:sz w:val="20"/>
                <w:szCs w:val="20"/>
                <w:lang w:val="ru"/>
              </w:rPr>
              <w:t>ОЦБТ (4)</w:t>
            </w:r>
          </w:p>
        </w:tc>
        <w:tc>
          <w:tcPr>
            <w:tcW w:w="1202" w:type="pct"/>
          </w:tcPr>
          <w:p w14:paraId="37A2B360" w14:textId="77777777" w:rsidR="00086663" w:rsidRPr="005B166B" w:rsidRDefault="00086663" w:rsidP="00DD5017">
            <w:pPr>
              <w:widowControl w:val="0"/>
              <w:suppressAutoHyphens/>
              <w:spacing w:after="0"/>
              <w:contextualSpacing/>
              <w:jc w:val="center"/>
              <w:rPr>
                <w:rFonts w:ascii="Arial Narrow" w:hAnsi="Arial Narrow"/>
                <w:sz w:val="20"/>
                <w:szCs w:val="20"/>
                <w:lang w:val="en"/>
              </w:rPr>
            </w:pPr>
          </w:p>
        </w:tc>
        <w:tc>
          <w:tcPr>
            <w:tcW w:w="1158" w:type="pct"/>
          </w:tcPr>
          <w:p w14:paraId="77C82909" w14:textId="77777777" w:rsidR="00086663" w:rsidRPr="005B166B" w:rsidRDefault="00086663" w:rsidP="00DD5017">
            <w:pPr>
              <w:widowControl w:val="0"/>
              <w:suppressAutoHyphens/>
              <w:spacing w:after="0"/>
              <w:contextualSpacing/>
              <w:jc w:val="center"/>
              <w:rPr>
                <w:rFonts w:ascii="Arial Narrow" w:hAnsi="Arial Narrow"/>
                <w:sz w:val="20"/>
                <w:szCs w:val="20"/>
                <w:lang w:val="en"/>
              </w:rPr>
            </w:pPr>
          </w:p>
        </w:tc>
      </w:tr>
      <w:tr w:rsidR="00DD5017" w:rsidRPr="00A855D6" w14:paraId="48A24BE7" w14:textId="77777777" w:rsidTr="00DD5017">
        <w:tc>
          <w:tcPr>
            <w:tcW w:w="876" w:type="pct"/>
            <w:vAlign w:val="center"/>
          </w:tcPr>
          <w:p w14:paraId="7AAD91A1" w14:textId="07E25532" w:rsidR="00086663" w:rsidRPr="005B166B" w:rsidRDefault="00086663" w:rsidP="00DD5017">
            <w:pPr>
              <w:widowControl w:val="0"/>
              <w:suppressAutoHyphens/>
              <w:spacing w:after="0"/>
              <w:contextualSpacing/>
              <w:jc w:val="both"/>
              <w:rPr>
                <w:sz w:val="20"/>
                <w:szCs w:val="20"/>
                <w:lang w:val="en"/>
              </w:rPr>
            </w:pPr>
            <w:r w:rsidRPr="005B166B">
              <w:rPr>
                <w:sz w:val="20"/>
                <w:szCs w:val="20"/>
                <w:lang w:val="ru"/>
              </w:rPr>
              <w:t>Ысык</w:t>
            </w:r>
            <w:r w:rsidR="00D7156E" w:rsidRPr="005B166B">
              <w:rPr>
                <w:sz w:val="20"/>
                <w:szCs w:val="20"/>
              </w:rPr>
              <w:t>-</w:t>
            </w:r>
            <w:r w:rsidR="00D7156E" w:rsidRPr="005B166B">
              <w:rPr>
                <w:sz w:val="20"/>
                <w:szCs w:val="20"/>
                <w:lang w:val="ru-RU"/>
              </w:rPr>
              <w:t>К</w:t>
            </w:r>
            <w:r w:rsidRPr="005B166B">
              <w:rPr>
                <w:sz w:val="20"/>
                <w:szCs w:val="20"/>
                <w:lang w:val="ru"/>
              </w:rPr>
              <w:t xml:space="preserve">ульская </w:t>
            </w:r>
            <w:r w:rsidRPr="005B166B">
              <w:rPr>
                <w:sz w:val="20"/>
                <w:szCs w:val="20"/>
                <w:lang w:val="ru"/>
              </w:rPr>
              <w:lastRenderedPageBreak/>
              <w:t>область</w:t>
            </w:r>
          </w:p>
        </w:tc>
        <w:tc>
          <w:tcPr>
            <w:tcW w:w="929" w:type="pct"/>
            <w:vAlign w:val="center"/>
          </w:tcPr>
          <w:p w14:paraId="6FB8BDBA" w14:textId="77777777" w:rsidR="00086663" w:rsidRPr="005B166B" w:rsidRDefault="00086663" w:rsidP="00DD5017">
            <w:pPr>
              <w:widowControl w:val="0"/>
              <w:suppressAutoHyphens/>
              <w:spacing w:after="0"/>
              <w:contextualSpacing/>
              <w:jc w:val="center"/>
              <w:rPr>
                <w:sz w:val="20"/>
                <w:szCs w:val="20"/>
                <w:lang w:val="en"/>
              </w:rPr>
            </w:pPr>
            <w:r w:rsidRPr="005B166B">
              <w:rPr>
                <w:sz w:val="20"/>
                <w:szCs w:val="20"/>
                <w:lang w:val="ru"/>
              </w:rPr>
              <w:lastRenderedPageBreak/>
              <w:t>2 (6)</w:t>
            </w:r>
          </w:p>
        </w:tc>
        <w:tc>
          <w:tcPr>
            <w:tcW w:w="835" w:type="pct"/>
            <w:vAlign w:val="center"/>
          </w:tcPr>
          <w:p w14:paraId="1D538CAC" w14:textId="77777777" w:rsidR="00086663" w:rsidRPr="005B166B" w:rsidRDefault="00086663" w:rsidP="00DD5017">
            <w:pPr>
              <w:widowControl w:val="0"/>
              <w:suppressAutoHyphens/>
              <w:spacing w:after="0"/>
              <w:contextualSpacing/>
              <w:jc w:val="center"/>
              <w:rPr>
                <w:rFonts w:ascii="Arial Narrow" w:hAnsi="Arial Narrow"/>
                <w:sz w:val="20"/>
                <w:szCs w:val="20"/>
              </w:rPr>
            </w:pPr>
            <w:r w:rsidRPr="005B166B">
              <w:rPr>
                <w:sz w:val="20"/>
                <w:szCs w:val="20"/>
                <w:lang w:val="ru"/>
              </w:rPr>
              <w:t>ОЦБТ (4)</w:t>
            </w:r>
          </w:p>
        </w:tc>
        <w:tc>
          <w:tcPr>
            <w:tcW w:w="1202" w:type="pct"/>
          </w:tcPr>
          <w:p w14:paraId="29485EF4" w14:textId="77777777" w:rsidR="00086663" w:rsidRPr="005B166B" w:rsidRDefault="00086663" w:rsidP="00DD5017">
            <w:pPr>
              <w:widowControl w:val="0"/>
              <w:suppressAutoHyphens/>
              <w:spacing w:after="0"/>
              <w:contextualSpacing/>
              <w:jc w:val="center"/>
              <w:rPr>
                <w:rFonts w:ascii="Arial Narrow" w:hAnsi="Arial Narrow"/>
                <w:sz w:val="20"/>
                <w:szCs w:val="20"/>
                <w:lang w:val="en"/>
              </w:rPr>
            </w:pPr>
            <w:r w:rsidRPr="005B166B">
              <w:rPr>
                <w:sz w:val="20"/>
                <w:szCs w:val="20"/>
                <w:lang w:val="ru"/>
              </w:rPr>
              <w:t>Балыкчы ЦОВП (2)</w:t>
            </w:r>
          </w:p>
        </w:tc>
        <w:tc>
          <w:tcPr>
            <w:tcW w:w="1158" w:type="pct"/>
          </w:tcPr>
          <w:p w14:paraId="586F8085" w14:textId="77777777" w:rsidR="00086663" w:rsidRPr="005B166B" w:rsidRDefault="00086663" w:rsidP="00DD5017">
            <w:pPr>
              <w:widowControl w:val="0"/>
              <w:suppressAutoHyphens/>
              <w:spacing w:after="0"/>
              <w:contextualSpacing/>
              <w:jc w:val="center"/>
              <w:rPr>
                <w:rFonts w:ascii="Arial Narrow" w:hAnsi="Arial Narrow"/>
                <w:sz w:val="20"/>
                <w:szCs w:val="20"/>
                <w:lang w:val="en"/>
              </w:rPr>
            </w:pPr>
          </w:p>
        </w:tc>
      </w:tr>
      <w:tr w:rsidR="00DD5017" w:rsidRPr="00283814" w14:paraId="3908C779" w14:textId="77777777" w:rsidTr="00DD5017">
        <w:tc>
          <w:tcPr>
            <w:tcW w:w="876" w:type="pct"/>
          </w:tcPr>
          <w:p w14:paraId="1546B1BD" w14:textId="77777777" w:rsidR="00086663" w:rsidRPr="005B166B" w:rsidRDefault="00086663" w:rsidP="00DD5017">
            <w:pPr>
              <w:widowControl w:val="0"/>
              <w:suppressAutoHyphens/>
              <w:spacing w:after="0"/>
              <w:contextualSpacing/>
              <w:jc w:val="both"/>
              <w:rPr>
                <w:sz w:val="20"/>
                <w:szCs w:val="20"/>
                <w:lang w:val="en"/>
              </w:rPr>
            </w:pPr>
            <w:r w:rsidRPr="005B166B">
              <w:rPr>
                <w:sz w:val="20"/>
                <w:szCs w:val="20"/>
                <w:lang w:val="ru"/>
              </w:rPr>
              <w:t>Ошская область</w:t>
            </w:r>
          </w:p>
        </w:tc>
        <w:tc>
          <w:tcPr>
            <w:tcW w:w="929" w:type="pct"/>
            <w:vAlign w:val="center"/>
          </w:tcPr>
          <w:p w14:paraId="541D6AD0" w14:textId="77777777" w:rsidR="00086663" w:rsidRPr="005B166B" w:rsidRDefault="00086663" w:rsidP="00DD5017">
            <w:pPr>
              <w:widowControl w:val="0"/>
              <w:suppressAutoHyphens/>
              <w:spacing w:after="0"/>
              <w:contextualSpacing/>
              <w:jc w:val="center"/>
              <w:rPr>
                <w:sz w:val="20"/>
                <w:szCs w:val="20"/>
                <w:lang w:val="en"/>
              </w:rPr>
            </w:pPr>
            <w:r w:rsidRPr="005B166B">
              <w:rPr>
                <w:sz w:val="20"/>
                <w:szCs w:val="20"/>
                <w:lang w:val="ru"/>
              </w:rPr>
              <w:t>5 (16)</w:t>
            </w:r>
          </w:p>
        </w:tc>
        <w:tc>
          <w:tcPr>
            <w:tcW w:w="835" w:type="pct"/>
            <w:vAlign w:val="center"/>
          </w:tcPr>
          <w:p w14:paraId="07978E86" w14:textId="77777777" w:rsidR="00086663" w:rsidRPr="005B166B" w:rsidRDefault="00086663" w:rsidP="00DD5017">
            <w:pPr>
              <w:widowControl w:val="0"/>
              <w:suppressAutoHyphens/>
              <w:spacing w:after="0"/>
              <w:contextualSpacing/>
              <w:jc w:val="center"/>
              <w:rPr>
                <w:sz w:val="20"/>
                <w:szCs w:val="20"/>
                <w:lang w:val="ru"/>
              </w:rPr>
            </w:pPr>
            <w:r w:rsidRPr="005B166B">
              <w:rPr>
                <w:sz w:val="20"/>
                <w:szCs w:val="20"/>
                <w:lang w:val="ru"/>
              </w:rPr>
              <w:t>ОЦБТ (4)</w:t>
            </w:r>
          </w:p>
          <w:p w14:paraId="1FBF335C" w14:textId="77777777" w:rsidR="00086663" w:rsidRPr="005B166B" w:rsidRDefault="00086663" w:rsidP="00DD5017">
            <w:pPr>
              <w:widowControl w:val="0"/>
              <w:suppressAutoHyphens/>
              <w:spacing w:after="0"/>
              <w:contextualSpacing/>
              <w:jc w:val="center"/>
              <w:rPr>
                <w:rFonts w:ascii="Arial Narrow" w:hAnsi="Arial Narrow"/>
                <w:sz w:val="20"/>
                <w:szCs w:val="20"/>
              </w:rPr>
            </w:pPr>
            <w:r w:rsidRPr="005B166B">
              <w:rPr>
                <w:sz w:val="20"/>
                <w:szCs w:val="20"/>
                <w:lang w:val="ru"/>
              </w:rPr>
              <w:t>ГЦБТ (4)</w:t>
            </w:r>
          </w:p>
        </w:tc>
        <w:tc>
          <w:tcPr>
            <w:tcW w:w="1202" w:type="pct"/>
          </w:tcPr>
          <w:p w14:paraId="3BEDF5F6" w14:textId="77777777" w:rsidR="00DD5017" w:rsidRPr="005B166B" w:rsidRDefault="00086663" w:rsidP="00DD5017">
            <w:pPr>
              <w:widowControl w:val="0"/>
              <w:suppressAutoHyphens/>
              <w:spacing w:after="0"/>
              <w:contextualSpacing/>
              <w:jc w:val="center"/>
              <w:rPr>
                <w:sz w:val="20"/>
                <w:szCs w:val="20"/>
                <w:lang w:val="ru"/>
              </w:rPr>
            </w:pPr>
            <w:r w:rsidRPr="005B166B">
              <w:rPr>
                <w:sz w:val="20"/>
                <w:szCs w:val="20"/>
                <w:lang w:val="ru"/>
              </w:rPr>
              <w:t xml:space="preserve">Кара-Суу ЦОВП (4); Ноокат ЦОВП (2); </w:t>
            </w:r>
          </w:p>
          <w:p w14:paraId="05221BE1" w14:textId="6DE316C8" w:rsidR="00086663" w:rsidRPr="005B166B" w:rsidRDefault="00086663" w:rsidP="00DD5017">
            <w:pPr>
              <w:widowControl w:val="0"/>
              <w:suppressAutoHyphens/>
              <w:spacing w:after="0"/>
              <w:contextualSpacing/>
              <w:jc w:val="center"/>
              <w:rPr>
                <w:rFonts w:ascii="Arial Narrow" w:hAnsi="Arial Narrow"/>
                <w:sz w:val="20"/>
                <w:szCs w:val="20"/>
                <w:lang w:val="ru-RU"/>
              </w:rPr>
            </w:pPr>
            <w:r w:rsidRPr="005B166B">
              <w:rPr>
                <w:sz w:val="20"/>
                <w:szCs w:val="20"/>
                <w:lang w:val="ru"/>
              </w:rPr>
              <w:t>Узген ЦОВП (2)</w:t>
            </w:r>
          </w:p>
        </w:tc>
        <w:tc>
          <w:tcPr>
            <w:tcW w:w="1158" w:type="pct"/>
          </w:tcPr>
          <w:p w14:paraId="089436D9" w14:textId="77777777" w:rsidR="00086663" w:rsidRPr="005B166B" w:rsidRDefault="00086663" w:rsidP="00DD5017">
            <w:pPr>
              <w:widowControl w:val="0"/>
              <w:suppressAutoHyphens/>
              <w:spacing w:after="0"/>
              <w:contextualSpacing/>
              <w:jc w:val="center"/>
              <w:rPr>
                <w:rFonts w:ascii="Arial Narrow" w:hAnsi="Arial Narrow"/>
                <w:sz w:val="20"/>
                <w:szCs w:val="20"/>
                <w:lang w:val="ru-RU"/>
              </w:rPr>
            </w:pPr>
          </w:p>
        </w:tc>
      </w:tr>
      <w:tr w:rsidR="00DD5017" w:rsidRPr="00A26916" w14:paraId="04CE8762" w14:textId="77777777" w:rsidTr="00DD5017">
        <w:tc>
          <w:tcPr>
            <w:tcW w:w="876" w:type="pct"/>
          </w:tcPr>
          <w:p w14:paraId="20D93FFB" w14:textId="77777777" w:rsidR="00086663" w:rsidRPr="005B166B" w:rsidRDefault="00086663" w:rsidP="00DD5017">
            <w:pPr>
              <w:widowControl w:val="0"/>
              <w:suppressAutoHyphens/>
              <w:spacing w:after="0"/>
              <w:contextualSpacing/>
              <w:jc w:val="both"/>
              <w:rPr>
                <w:sz w:val="20"/>
                <w:szCs w:val="20"/>
                <w:lang w:val="en"/>
              </w:rPr>
            </w:pPr>
            <w:r w:rsidRPr="005B166B">
              <w:rPr>
                <w:sz w:val="20"/>
                <w:szCs w:val="20"/>
                <w:lang w:val="ru"/>
              </w:rPr>
              <w:t>Джалал-Абадская область</w:t>
            </w:r>
          </w:p>
        </w:tc>
        <w:tc>
          <w:tcPr>
            <w:tcW w:w="929" w:type="pct"/>
            <w:vAlign w:val="center"/>
          </w:tcPr>
          <w:p w14:paraId="49783D8D" w14:textId="77777777" w:rsidR="00086663" w:rsidRPr="005B166B" w:rsidRDefault="00086663" w:rsidP="00DD5017">
            <w:pPr>
              <w:widowControl w:val="0"/>
              <w:suppressAutoHyphens/>
              <w:spacing w:after="0"/>
              <w:contextualSpacing/>
              <w:jc w:val="center"/>
              <w:rPr>
                <w:sz w:val="20"/>
                <w:szCs w:val="20"/>
                <w:lang w:val="en"/>
              </w:rPr>
            </w:pPr>
            <w:r w:rsidRPr="005B166B">
              <w:rPr>
                <w:sz w:val="20"/>
                <w:szCs w:val="20"/>
                <w:lang w:val="ru"/>
              </w:rPr>
              <w:t>4 (12)</w:t>
            </w:r>
          </w:p>
        </w:tc>
        <w:tc>
          <w:tcPr>
            <w:tcW w:w="835" w:type="pct"/>
            <w:vAlign w:val="center"/>
          </w:tcPr>
          <w:p w14:paraId="24DE1AFF" w14:textId="77777777" w:rsidR="00086663" w:rsidRPr="005B166B" w:rsidRDefault="00086663" w:rsidP="00DD5017">
            <w:pPr>
              <w:widowControl w:val="0"/>
              <w:suppressAutoHyphens/>
              <w:spacing w:after="0"/>
              <w:contextualSpacing/>
              <w:jc w:val="center"/>
              <w:rPr>
                <w:rFonts w:ascii="Arial Narrow" w:hAnsi="Arial Narrow"/>
                <w:sz w:val="20"/>
                <w:szCs w:val="20"/>
                <w:lang w:val="en"/>
              </w:rPr>
            </w:pPr>
            <w:r w:rsidRPr="005B166B">
              <w:rPr>
                <w:sz w:val="20"/>
                <w:szCs w:val="20"/>
                <w:lang w:val="ru"/>
              </w:rPr>
              <w:t>ОЦБТ (4)</w:t>
            </w:r>
          </w:p>
        </w:tc>
        <w:tc>
          <w:tcPr>
            <w:tcW w:w="1202" w:type="pct"/>
          </w:tcPr>
          <w:p w14:paraId="393FE0F5" w14:textId="77777777" w:rsidR="00DD5017" w:rsidRPr="005B166B" w:rsidRDefault="00086663" w:rsidP="00DD5017">
            <w:pPr>
              <w:widowControl w:val="0"/>
              <w:suppressAutoHyphens/>
              <w:spacing w:after="0"/>
              <w:contextualSpacing/>
              <w:jc w:val="center"/>
              <w:rPr>
                <w:sz w:val="20"/>
                <w:szCs w:val="20"/>
                <w:lang w:val="ru-RU"/>
              </w:rPr>
            </w:pPr>
            <w:r w:rsidRPr="005B166B">
              <w:rPr>
                <w:sz w:val="20"/>
                <w:szCs w:val="20"/>
                <w:lang w:val="ru"/>
              </w:rPr>
              <w:t>Сузак</w:t>
            </w:r>
            <w:r w:rsidRPr="005B166B">
              <w:rPr>
                <w:sz w:val="20"/>
                <w:szCs w:val="20"/>
                <w:lang w:val="ru-RU"/>
              </w:rPr>
              <w:t xml:space="preserve"> </w:t>
            </w:r>
            <w:r w:rsidRPr="005B166B">
              <w:rPr>
                <w:sz w:val="20"/>
                <w:szCs w:val="20"/>
                <w:lang w:val="ru"/>
              </w:rPr>
              <w:t>ЦОВП</w:t>
            </w:r>
            <w:r w:rsidRPr="005B166B">
              <w:rPr>
                <w:sz w:val="20"/>
                <w:szCs w:val="20"/>
                <w:lang w:val="ru-RU"/>
              </w:rPr>
              <w:t xml:space="preserve"> (4);</w:t>
            </w:r>
          </w:p>
          <w:p w14:paraId="56360F8C" w14:textId="77777777" w:rsidR="00DD5017" w:rsidRPr="005B166B" w:rsidRDefault="00086663" w:rsidP="00DD5017">
            <w:pPr>
              <w:widowControl w:val="0"/>
              <w:suppressAutoHyphens/>
              <w:spacing w:after="0"/>
              <w:contextualSpacing/>
              <w:jc w:val="center"/>
              <w:rPr>
                <w:sz w:val="20"/>
                <w:szCs w:val="20"/>
                <w:lang w:val="ru-RU"/>
              </w:rPr>
            </w:pPr>
            <w:r w:rsidRPr="005B166B">
              <w:rPr>
                <w:sz w:val="20"/>
                <w:szCs w:val="20"/>
                <w:lang w:val="ru"/>
              </w:rPr>
              <w:t>Токтогул</w:t>
            </w:r>
            <w:r w:rsidRPr="005B166B">
              <w:rPr>
                <w:sz w:val="20"/>
                <w:szCs w:val="20"/>
                <w:lang w:val="ru-RU"/>
              </w:rPr>
              <w:t xml:space="preserve"> </w:t>
            </w:r>
            <w:r w:rsidRPr="005B166B">
              <w:rPr>
                <w:sz w:val="20"/>
                <w:szCs w:val="20"/>
                <w:lang w:val="ru"/>
              </w:rPr>
              <w:t>ЦОВП</w:t>
            </w:r>
            <w:r w:rsidRPr="005B166B">
              <w:rPr>
                <w:sz w:val="20"/>
                <w:szCs w:val="20"/>
                <w:lang w:val="ru-RU"/>
              </w:rPr>
              <w:t xml:space="preserve"> (2);</w:t>
            </w:r>
          </w:p>
          <w:p w14:paraId="77BE7B21" w14:textId="449D00D7" w:rsidR="00086663" w:rsidRPr="005B166B" w:rsidRDefault="00086663" w:rsidP="00DD5017">
            <w:pPr>
              <w:widowControl w:val="0"/>
              <w:suppressAutoHyphens/>
              <w:spacing w:after="0"/>
              <w:contextualSpacing/>
              <w:jc w:val="center"/>
              <w:rPr>
                <w:rFonts w:ascii="Arial Narrow" w:hAnsi="Arial Narrow"/>
                <w:sz w:val="20"/>
                <w:szCs w:val="20"/>
                <w:lang w:val="ru-RU"/>
              </w:rPr>
            </w:pPr>
            <w:r w:rsidRPr="005B166B">
              <w:rPr>
                <w:sz w:val="20"/>
                <w:szCs w:val="20"/>
                <w:lang w:val="ru"/>
              </w:rPr>
              <w:t>Аксы</w:t>
            </w:r>
            <w:r w:rsidRPr="005B166B">
              <w:rPr>
                <w:sz w:val="20"/>
                <w:szCs w:val="20"/>
                <w:lang w:val="ru-RU"/>
              </w:rPr>
              <w:t xml:space="preserve"> </w:t>
            </w:r>
            <w:r w:rsidRPr="005B166B">
              <w:rPr>
                <w:sz w:val="20"/>
                <w:szCs w:val="20"/>
                <w:lang w:val="ru"/>
              </w:rPr>
              <w:t xml:space="preserve">ЦОВП </w:t>
            </w:r>
            <w:r w:rsidRPr="005B166B">
              <w:rPr>
                <w:sz w:val="20"/>
                <w:szCs w:val="20"/>
                <w:lang w:val="ru-RU"/>
              </w:rPr>
              <w:t>(2)</w:t>
            </w:r>
          </w:p>
        </w:tc>
        <w:tc>
          <w:tcPr>
            <w:tcW w:w="1158" w:type="pct"/>
          </w:tcPr>
          <w:p w14:paraId="6186A0AA" w14:textId="77777777" w:rsidR="00086663" w:rsidRPr="005B166B" w:rsidRDefault="00086663" w:rsidP="00DD5017">
            <w:pPr>
              <w:widowControl w:val="0"/>
              <w:suppressAutoHyphens/>
              <w:spacing w:after="0"/>
              <w:contextualSpacing/>
              <w:jc w:val="center"/>
              <w:rPr>
                <w:rFonts w:ascii="Arial Narrow" w:hAnsi="Arial Narrow"/>
                <w:sz w:val="20"/>
                <w:szCs w:val="20"/>
                <w:lang w:val="ru-RU"/>
              </w:rPr>
            </w:pPr>
          </w:p>
        </w:tc>
      </w:tr>
      <w:tr w:rsidR="00DD5017" w:rsidRPr="00A855D6" w14:paraId="76833149" w14:textId="77777777" w:rsidTr="00DD5017">
        <w:tc>
          <w:tcPr>
            <w:tcW w:w="876" w:type="pct"/>
          </w:tcPr>
          <w:p w14:paraId="022C641E" w14:textId="77777777" w:rsidR="00086663" w:rsidRPr="005B166B" w:rsidRDefault="00086663" w:rsidP="00DD5017">
            <w:pPr>
              <w:widowControl w:val="0"/>
              <w:suppressAutoHyphens/>
              <w:spacing w:after="0"/>
              <w:contextualSpacing/>
              <w:jc w:val="both"/>
              <w:rPr>
                <w:sz w:val="20"/>
                <w:szCs w:val="20"/>
              </w:rPr>
            </w:pPr>
            <w:r w:rsidRPr="005B166B">
              <w:rPr>
                <w:sz w:val="20"/>
                <w:szCs w:val="20"/>
                <w:lang w:val="ru"/>
              </w:rPr>
              <w:t>Баткенская область</w:t>
            </w:r>
          </w:p>
        </w:tc>
        <w:tc>
          <w:tcPr>
            <w:tcW w:w="929" w:type="pct"/>
            <w:vAlign w:val="center"/>
          </w:tcPr>
          <w:p w14:paraId="7C097822" w14:textId="77777777" w:rsidR="00086663" w:rsidRPr="005B166B" w:rsidRDefault="00086663" w:rsidP="00DD5017">
            <w:pPr>
              <w:widowControl w:val="0"/>
              <w:suppressAutoHyphens/>
              <w:spacing w:after="0"/>
              <w:contextualSpacing/>
              <w:jc w:val="center"/>
              <w:rPr>
                <w:sz w:val="20"/>
                <w:szCs w:val="20"/>
                <w:lang w:val="en"/>
              </w:rPr>
            </w:pPr>
            <w:r w:rsidRPr="005B166B">
              <w:rPr>
                <w:sz w:val="20"/>
                <w:szCs w:val="20"/>
                <w:lang w:val="ru"/>
              </w:rPr>
              <w:t>3 (8)</w:t>
            </w:r>
          </w:p>
        </w:tc>
        <w:tc>
          <w:tcPr>
            <w:tcW w:w="835" w:type="pct"/>
            <w:vAlign w:val="center"/>
          </w:tcPr>
          <w:p w14:paraId="1252BB20" w14:textId="77777777" w:rsidR="00086663" w:rsidRPr="005B166B" w:rsidRDefault="00086663" w:rsidP="00DD5017">
            <w:pPr>
              <w:widowControl w:val="0"/>
              <w:suppressAutoHyphens/>
              <w:spacing w:after="0"/>
              <w:contextualSpacing/>
              <w:jc w:val="center"/>
              <w:rPr>
                <w:rFonts w:ascii="Arial Narrow" w:hAnsi="Arial Narrow"/>
                <w:sz w:val="20"/>
                <w:szCs w:val="20"/>
              </w:rPr>
            </w:pPr>
            <w:r w:rsidRPr="005B166B">
              <w:rPr>
                <w:sz w:val="20"/>
                <w:szCs w:val="20"/>
                <w:lang w:val="ru"/>
              </w:rPr>
              <w:t>ОЦБТ (4)</w:t>
            </w:r>
          </w:p>
        </w:tc>
        <w:tc>
          <w:tcPr>
            <w:tcW w:w="1202" w:type="pct"/>
          </w:tcPr>
          <w:p w14:paraId="5D796748" w14:textId="77777777" w:rsidR="00DD5017" w:rsidRPr="005B166B" w:rsidRDefault="00086663" w:rsidP="00DD5017">
            <w:pPr>
              <w:widowControl w:val="0"/>
              <w:suppressAutoHyphens/>
              <w:spacing w:after="0"/>
              <w:contextualSpacing/>
              <w:jc w:val="center"/>
              <w:rPr>
                <w:sz w:val="20"/>
                <w:szCs w:val="20"/>
              </w:rPr>
            </w:pPr>
            <w:r w:rsidRPr="005B166B">
              <w:rPr>
                <w:sz w:val="20"/>
                <w:szCs w:val="20"/>
                <w:lang w:val="ru"/>
              </w:rPr>
              <w:t>Лейлек</w:t>
            </w:r>
            <w:r w:rsidRPr="005B166B">
              <w:rPr>
                <w:sz w:val="20"/>
                <w:szCs w:val="20"/>
              </w:rPr>
              <w:t xml:space="preserve"> </w:t>
            </w:r>
            <w:r w:rsidRPr="005B166B">
              <w:rPr>
                <w:sz w:val="20"/>
                <w:szCs w:val="20"/>
                <w:lang w:val="ru"/>
              </w:rPr>
              <w:t>ЦОВП</w:t>
            </w:r>
            <w:r w:rsidRPr="005B166B">
              <w:rPr>
                <w:sz w:val="20"/>
                <w:szCs w:val="20"/>
              </w:rPr>
              <w:t xml:space="preserve"> (2);</w:t>
            </w:r>
          </w:p>
          <w:p w14:paraId="0AE16E1B" w14:textId="3DBED836" w:rsidR="00086663" w:rsidRPr="005B166B" w:rsidRDefault="00086663" w:rsidP="00DD5017">
            <w:pPr>
              <w:widowControl w:val="0"/>
              <w:suppressAutoHyphens/>
              <w:spacing w:after="0"/>
              <w:contextualSpacing/>
              <w:jc w:val="center"/>
              <w:rPr>
                <w:rFonts w:ascii="Arial Narrow" w:hAnsi="Arial Narrow"/>
                <w:sz w:val="20"/>
                <w:szCs w:val="20"/>
                <w:lang w:val="en"/>
              </w:rPr>
            </w:pPr>
            <w:r w:rsidRPr="005B166B">
              <w:rPr>
                <w:sz w:val="20"/>
                <w:szCs w:val="20"/>
                <w:lang w:val="ru"/>
              </w:rPr>
              <w:t>Кызыл</w:t>
            </w:r>
            <w:r w:rsidRPr="005B166B">
              <w:rPr>
                <w:sz w:val="20"/>
                <w:szCs w:val="20"/>
              </w:rPr>
              <w:t>-</w:t>
            </w:r>
            <w:r w:rsidRPr="005B166B">
              <w:rPr>
                <w:sz w:val="20"/>
                <w:szCs w:val="20"/>
                <w:lang w:val="ru"/>
              </w:rPr>
              <w:t>Кыя</w:t>
            </w:r>
            <w:r w:rsidRPr="005B166B">
              <w:rPr>
                <w:sz w:val="20"/>
                <w:szCs w:val="20"/>
              </w:rPr>
              <w:t xml:space="preserve"> </w:t>
            </w:r>
            <w:r w:rsidRPr="005B166B">
              <w:rPr>
                <w:sz w:val="20"/>
                <w:szCs w:val="20"/>
                <w:lang w:val="ru"/>
              </w:rPr>
              <w:t>ЦОВП</w:t>
            </w:r>
            <w:r w:rsidRPr="005B166B">
              <w:rPr>
                <w:sz w:val="20"/>
                <w:szCs w:val="20"/>
              </w:rPr>
              <w:t xml:space="preserve"> (2)</w:t>
            </w:r>
          </w:p>
        </w:tc>
        <w:tc>
          <w:tcPr>
            <w:tcW w:w="1158" w:type="pct"/>
          </w:tcPr>
          <w:p w14:paraId="0549AD1F" w14:textId="77777777" w:rsidR="00086663" w:rsidRPr="005B166B" w:rsidRDefault="00086663" w:rsidP="00DD5017">
            <w:pPr>
              <w:widowControl w:val="0"/>
              <w:suppressAutoHyphens/>
              <w:spacing w:after="0"/>
              <w:contextualSpacing/>
              <w:jc w:val="center"/>
              <w:rPr>
                <w:rFonts w:ascii="Arial Narrow" w:hAnsi="Arial Narrow"/>
                <w:sz w:val="20"/>
                <w:szCs w:val="20"/>
                <w:lang w:val="en"/>
              </w:rPr>
            </w:pPr>
          </w:p>
        </w:tc>
      </w:tr>
      <w:tr w:rsidR="00DD5017" w:rsidRPr="00A553D9" w14:paraId="4450A66E" w14:textId="77777777" w:rsidTr="00DD5017">
        <w:tc>
          <w:tcPr>
            <w:tcW w:w="876" w:type="pct"/>
          </w:tcPr>
          <w:p w14:paraId="2206B21C" w14:textId="77777777" w:rsidR="00086663" w:rsidRPr="005B166B" w:rsidRDefault="00086663" w:rsidP="00DD5017">
            <w:pPr>
              <w:widowControl w:val="0"/>
              <w:suppressAutoHyphens/>
              <w:spacing w:after="0"/>
              <w:contextualSpacing/>
              <w:jc w:val="both"/>
              <w:rPr>
                <w:sz w:val="20"/>
                <w:szCs w:val="20"/>
              </w:rPr>
            </w:pPr>
            <w:r w:rsidRPr="005B166B">
              <w:rPr>
                <w:sz w:val="20"/>
                <w:szCs w:val="20"/>
                <w:lang w:val="ru"/>
              </w:rPr>
              <w:t>Пенитенциарная система</w:t>
            </w:r>
          </w:p>
        </w:tc>
        <w:tc>
          <w:tcPr>
            <w:tcW w:w="929" w:type="pct"/>
            <w:vAlign w:val="center"/>
          </w:tcPr>
          <w:p w14:paraId="75EBA7EC" w14:textId="77777777" w:rsidR="00086663" w:rsidRPr="005B166B" w:rsidRDefault="00086663" w:rsidP="00DD5017">
            <w:pPr>
              <w:widowControl w:val="0"/>
              <w:suppressAutoHyphens/>
              <w:spacing w:after="0"/>
              <w:contextualSpacing/>
              <w:jc w:val="center"/>
              <w:rPr>
                <w:sz w:val="20"/>
                <w:szCs w:val="20"/>
                <w:lang w:val="en"/>
              </w:rPr>
            </w:pPr>
            <w:r w:rsidRPr="005B166B">
              <w:rPr>
                <w:sz w:val="20"/>
                <w:szCs w:val="20"/>
                <w:lang w:val="ru"/>
              </w:rPr>
              <w:t>3 (12)</w:t>
            </w:r>
          </w:p>
        </w:tc>
        <w:tc>
          <w:tcPr>
            <w:tcW w:w="835" w:type="pct"/>
            <w:vAlign w:val="center"/>
          </w:tcPr>
          <w:p w14:paraId="6C95FB13" w14:textId="77777777" w:rsidR="00086663" w:rsidRPr="005B166B" w:rsidRDefault="00086663" w:rsidP="00DD5017">
            <w:pPr>
              <w:widowControl w:val="0"/>
              <w:suppressAutoHyphens/>
              <w:spacing w:after="0"/>
              <w:contextualSpacing/>
              <w:jc w:val="center"/>
              <w:rPr>
                <w:rFonts w:ascii="Arial Narrow" w:hAnsi="Arial Narrow"/>
                <w:sz w:val="20"/>
                <w:szCs w:val="20"/>
                <w:lang w:val="en"/>
              </w:rPr>
            </w:pPr>
          </w:p>
        </w:tc>
        <w:tc>
          <w:tcPr>
            <w:tcW w:w="1202" w:type="pct"/>
          </w:tcPr>
          <w:p w14:paraId="50CDE8EF" w14:textId="77777777" w:rsidR="00086663" w:rsidRPr="005B166B" w:rsidRDefault="00086663" w:rsidP="00DD5017">
            <w:pPr>
              <w:widowControl w:val="0"/>
              <w:suppressAutoHyphens/>
              <w:spacing w:after="0"/>
              <w:contextualSpacing/>
              <w:jc w:val="center"/>
              <w:rPr>
                <w:rFonts w:ascii="Arial Narrow" w:hAnsi="Arial Narrow"/>
                <w:sz w:val="20"/>
                <w:szCs w:val="20"/>
                <w:lang w:val="en"/>
              </w:rPr>
            </w:pPr>
          </w:p>
        </w:tc>
        <w:tc>
          <w:tcPr>
            <w:tcW w:w="1158" w:type="pct"/>
          </w:tcPr>
          <w:p w14:paraId="2A535BC8" w14:textId="77777777" w:rsidR="00DD5017" w:rsidRPr="005B166B" w:rsidRDefault="00086663" w:rsidP="00DD5017">
            <w:pPr>
              <w:widowControl w:val="0"/>
              <w:suppressAutoHyphens/>
              <w:spacing w:after="0"/>
              <w:contextualSpacing/>
              <w:jc w:val="center"/>
              <w:rPr>
                <w:sz w:val="20"/>
                <w:szCs w:val="20"/>
                <w:lang w:val="ru"/>
              </w:rPr>
            </w:pPr>
            <w:r w:rsidRPr="005B166B">
              <w:rPr>
                <w:sz w:val="20"/>
                <w:szCs w:val="20"/>
                <w:lang w:val="ru"/>
              </w:rPr>
              <w:t xml:space="preserve">СИЗО </w:t>
            </w:r>
            <w:r w:rsidRPr="005B166B">
              <w:rPr>
                <w:sz w:val="20"/>
                <w:szCs w:val="20"/>
                <w:lang w:val="ru-RU"/>
              </w:rPr>
              <w:t>№</w:t>
            </w:r>
            <w:r w:rsidRPr="005B166B">
              <w:rPr>
                <w:sz w:val="20"/>
                <w:szCs w:val="20"/>
                <w:lang w:val="ru"/>
              </w:rPr>
              <w:t>1: 2</w:t>
            </w:r>
            <w:r w:rsidR="00DD5017" w:rsidRPr="005B166B">
              <w:rPr>
                <w:sz w:val="20"/>
                <w:szCs w:val="20"/>
                <w:lang w:val="ru"/>
              </w:rPr>
              <w:t xml:space="preserve"> </w:t>
            </w:r>
            <w:r w:rsidRPr="005B166B">
              <w:rPr>
                <w:sz w:val="20"/>
                <w:szCs w:val="20"/>
                <w:lang w:val="ru"/>
              </w:rPr>
              <w:t>ед. (4+4);</w:t>
            </w:r>
          </w:p>
          <w:p w14:paraId="066DFB5C" w14:textId="05D3D307" w:rsidR="00086663" w:rsidRPr="005B166B" w:rsidRDefault="00086663" w:rsidP="00DD5017">
            <w:pPr>
              <w:widowControl w:val="0"/>
              <w:suppressAutoHyphens/>
              <w:spacing w:after="0"/>
              <w:contextualSpacing/>
              <w:jc w:val="center"/>
              <w:rPr>
                <w:rFonts w:ascii="Arial Narrow" w:hAnsi="Arial Narrow"/>
                <w:sz w:val="20"/>
                <w:szCs w:val="20"/>
                <w:lang w:val="ru-RU"/>
              </w:rPr>
            </w:pPr>
            <w:r w:rsidRPr="005B166B">
              <w:rPr>
                <w:sz w:val="20"/>
                <w:szCs w:val="20"/>
                <w:lang w:val="ru"/>
              </w:rPr>
              <w:t>Колония №31 (4)</w:t>
            </w:r>
          </w:p>
        </w:tc>
      </w:tr>
      <w:tr w:rsidR="00DD5017" w:rsidRPr="00A855D6" w14:paraId="60F1E681" w14:textId="77777777" w:rsidTr="00DD5017">
        <w:tc>
          <w:tcPr>
            <w:tcW w:w="876" w:type="pct"/>
          </w:tcPr>
          <w:p w14:paraId="650D91AA" w14:textId="77777777" w:rsidR="00086663" w:rsidRPr="005B166B" w:rsidRDefault="00086663" w:rsidP="00DD5017">
            <w:pPr>
              <w:widowControl w:val="0"/>
              <w:suppressAutoHyphens/>
              <w:spacing w:after="0"/>
              <w:contextualSpacing/>
              <w:jc w:val="both"/>
              <w:rPr>
                <w:b/>
                <w:bCs/>
                <w:sz w:val="20"/>
                <w:szCs w:val="20"/>
              </w:rPr>
            </w:pPr>
            <w:r w:rsidRPr="005B166B">
              <w:rPr>
                <w:b/>
                <w:bCs/>
                <w:sz w:val="20"/>
                <w:szCs w:val="20"/>
                <w:lang w:val="ru"/>
              </w:rPr>
              <w:t>Страна, всего</w:t>
            </w:r>
          </w:p>
        </w:tc>
        <w:tc>
          <w:tcPr>
            <w:tcW w:w="929" w:type="pct"/>
          </w:tcPr>
          <w:p w14:paraId="549A2071" w14:textId="77777777" w:rsidR="00086663" w:rsidRPr="005B166B" w:rsidRDefault="00086663" w:rsidP="00DD5017">
            <w:pPr>
              <w:widowControl w:val="0"/>
              <w:suppressAutoHyphens/>
              <w:spacing w:after="0"/>
              <w:contextualSpacing/>
              <w:jc w:val="center"/>
              <w:rPr>
                <w:b/>
                <w:bCs/>
                <w:sz w:val="20"/>
                <w:szCs w:val="20"/>
                <w:lang w:val="en"/>
              </w:rPr>
            </w:pPr>
            <w:r w:rsidRPr="005B166B">
              <w:rPr>
                <w:b/>
                <w:bCs/>
                <w:sz w:val="20"/>
                <w:szCs w:val="20"/>
                <w:lang w:val="ru"/>
              </w:rPr>
              <w:t>25 (84)</w:t>
            </w:r>
          </w:p>
        </w:tc>
        <w:tc>
          <w:tcPr>
            <w:tcW w:w="835" w:type="pct"/>
            <w:vAlign w:val="center"/>
          </w:tcPr>
          <w:p w14:paraId="37DB684B" w14:textId="77777777" w:rsidR="00086663" w:rsidRPr="005B166B" w:rsidRDefault="00086663" w:rsidP="00DD5017">
            <w:pPr>
              <w:widowControl w:val="0"/>
              <w:suppressAutoHyphens/>
              <w:spacing w:after="0"/>
              <w:contextualSpacing/>
              <w:jc w:val="center"/>
              <w:rPr>
                <w:b/>
                <w:bCs/>
                <w:sz w:val="20"/>
                <w:szCs w:val="20"/>
              </w:rPr>
            </w:pPr>
            <w:r w:rsidRPr="005B166B">
              <w:rPr>
                <w:b/>
                <w:bCs/>
                <w:sz w:val="20"/>
                <w:szCs w:val="20"/>
                <w:lang w:val="ru"/>
              </w:rPr>
              <w:t>9 (36)</w:t>
            </w:r>
          </w:p>
        </w:tc>
        <w:tc>
          <w:tcPr>
            <w:tcW w:w="1202" w:type="pct"/>
          </w:tcPr>
          <w:p w14:paraId="773CC588" w14:textId="77777777" w:rsidR="00086663" w:rsidRPr="005B166B" w:rsidRDefault="00086663" w:rsidP="00DD5017">
            <w:pPr>
              <w:widowControl w:val="0"/>
              <w:suppressAutoHyphens/>
              <w:spacing w:after="0"/>
              <w:contextualSpacing/>
              <w:jc w:val="center"/>
              <w:rPr>
                <w:b/>
                <w:bCs/>
                <w:sz w:val="20"/>
                <w:szCs w:val="20"/>
              </w:rPr>
            </w:pPr>
            <w:r w:rsidRPr="005B166B">
              <w:rPr>
                <w:b/>
                <w:bCs/>
                <w:sz w:val="20"/>
                <w:szCs w:val="20"/>
                <w:lang w:val="ru"/>
              </w:rPr>
              <w:t>13 (36)</w:t>
            </w:r>
          </w:p>
        </w:tc>
        <w:tc>
          <w:tcPr>
            <w:tcW w:w="1158" w:type="pct"/>
          </w:tcPr>
          <w:p w14:paraId="7172ECC3" w14:textId="77777777" w:rsidR="00086663" w:rsidRPr="005B166B" w:rsidRDefault="00086663" w:rsidP="00DD5017">
            <w:pPr>
              <w:widowControl w:val="0"/>
              <w:suppressAutoHyphens/>
              <w:spacing w:after="0"/>
              <w:contextualSpacing/>
              <w:jc w:val="center"/>
              <w:rPr>
                <w:b/>
                <w:bCs/>
                <w:sz w:val="20"/>
                <w:szCs w:val="20"/>
              </w:rPr>
            </w:pPr>
            <w:r w:rsidRPr="005B166B">
              <w:rPr>
                <w:b/>
                <w:bCs/>
                <w:sz w:val="20"/>
                <w:szCs w:val="20"/>
                <w:lang w:val="ru"/>
              </w:rPr>
              <w:t>3 (12)</w:t>
            </w:r>
          </w:p>
        </w:tc>
      </w:tr>
    </w:tbl>
    <w:p w14:paraId="3B24D1D5" w14:textId="77777777" w:rsidR="00086663" w:rsidRPr="005567E5" w:rsidRDefault="00086663" w:rsidP="00DD5017">
      <w:pPr>
        <w:pStyle w:val="Subcaption"/>
        <w:widowControl w:val="0"/>
        <w:jc w:val="both"/>
        <w:rPr>
          <w:lang w:val="ru-RU"/>
        </w:rPr>
      </w:pPr>
      <w:r w:rsidRPr="003A22EB">
        <w:rPr>
          <w:i/>
          <w:iCs/>
          <w:lang w:val="ru"/>
        </w:rPr>
        <w:t>Источник</w:t>
      </w:r>
      <w:r>
        <w:rPr>
          <w:lang w:val="ru"/>
        </w:rPr>
        <w:t xml:space="preserve">: </w:t>
      </w:r>
      <w:r>
        <w:rPr>
          <w:lang w:val="ru-RU"/>
        </w:rPr>
        <w:t>НТП</w:t>
      </w:r>
      <w:r>
        <w:rPr>
          <w:lang w:val="ru"/>
        </w:rPr>
        <w:t>.</w:t>
      </w:r>
    </w:p>
    <w:p w14:paraId="0E92B299" w14:textId="77777777" w:rsidR="00086663" w:rsidRPr="005567E5" w:rsidRDefault="00086663" w:rsidP="00DD5017">
      <w:pPr>
        <w:pStyle w:val="afff"/>
        <w:keepNext w:val="0"/>
        <w:widowControl w:val="0"/>
        <w:jc w:val="both"/>
        <w:rPr>
          <w:lang w:val="ru-RU"/>
        </w:rPr>
      </w:pPr>
      <w:bookmarkStart w:id="13" w:name="_Ref124009465"/>
      <w:r>
        <w:rPr>
          <w:lang w:val="ru"/>
        </w:rPr>
        <w:t xml:space="preserve">Диагр. </w:t>
      </w:r>
      <w:r>
        <w:rPr>
          <w:lang w:val="ru"/>
        </w:rPr>
        <w:fldChar w:fldCharType="begin"/>
      </w:r>
      <w:r>
        <w:rPr>
          <w:lang w:val="ru"/>
        </w:rPr>
        <w:instrText xml:space="preserve"> SEQ Diag. \* ARABIC </w:instrText>
      </w:r>
      <w:r>
        <w:rPr>
          <w:lang w:val="ru"/>
        </w:rPr>
        <w:fldChar w:fldCharType="separate"/>
      </w:r>
      <w:r>
        <w:rPr>
          <w:noProof/>
          <w:lang w:val="ru"/>
        </w:rPr>
        <w:t>2</w:t>
      </w:r>
      <w:r>
        <w:rPr>
          <w:noProof/>
          <w:lang w:val="ru"/>
        </w:rPr>
        <w:fldChar w:fldCharType="end"/>
      </w:r>
      <w:bookmarkEnd w:id="13"/>
      <w:r>
        <w:rPr>
          <w:lang w:val="ru"/>
        </w:rPr>
        <w:t xml:space="preserve">. </w:t>
      </w:r>
      <w:r w:rsidRPr="00EF6DBA">
        <w:rPr>
          <w:lang w:val="ru"/>
        </w:rPr>
        <w:t xml:space="preserve">Проведены тесты </w:t>
      </w:r>
      <w:r>
        <w:rPr>
          <w:lang w:val="ru"/>
        </w:rPr>
        <w:t xml:space="preserve">Xpert по регионам, Кыргызстан, </w:t>
      </w:r>
      <w:r w:rsidRPr="00EF6DBA">
        <w:rPr>
          <w:lang w:val="ru"/>
        </w:rPr>
        <w:t>201</w:t>
      </w:r>
      <w:r>
        <w:rPr>
          <w:lang w:val="ru"/>
        </w:rPr>
        <w:t>9</w:t>
      </w:r>
      <w:r w:rsidRPr="00EF6DBA">
        <w:rPr>
          <w:lang w:val="ru"/>
        </w:rPr>
        <w:t>–20</w:t>
      </w:r>
      <w:r>
        <w:rPr>
          <w:lang w:val="ru"/>
        </w:rPr>
        <w:t>21 гг.</w:t>
      </w:r>
    </w:p>
    <w:p w14:paraId="2CDA3F5F" w14:textId="77777777" w:rsidR="00086663" w:rsidRDefault="00086663" w:rsidP="00DD5017">
      <w:pPr>
        <w:pStyle w:val="af3"/>
        <w:widowControl w:val="0"/>
        <w:jc w:val="both"/>
        <w:rPr>
          <w:lang w:val="en"/>
        </w:rPr>
      </w:pPr>
      <w:r>
        <w:rPr>
          <w:noProof/>
          <w:lang w:val="ru-RU" w:eastAsia="ru-RU"/>
        </w:rPr>
        <w:drawing>
          <wp:inline distT="0" distB="0" distL="0" distR="0" wp14:anchorId="479C4CB0" wp14:editId="5236C85D">
            <wp:extent cx="5936615" cy="2073965"/>
            <wp:effectExtent l="0" t="0" r="6985" b="2540"/>
            <wp:docPr id="24" name="Chart 11">
              <a:extLst xmlns:a="http://schemas.openxmlformats.org/drawingml/2006/main">
                <a:ext uri="{FF2B5EF4-FFF2-40B4-BE49-F238E27FC236}">
                  <a16:creationId xmlns:a16="http://schemas.microsoft.com/office/drawing/2014/main" id="{8527279F-6E69-3F6A-6EF2-AC2C1531DA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4BBDE44C" w14:textId="77777777" w:rsidR="00086663" w:rsidRPr="005567E5" w:rsidRDefault="00086663" w:rsidP="00DD5017">
      <w:pPr>
        <w:pStyle w:val="Subcaption"/>
        <w:widowControl w:val="0"/>
        <w:jc w:val="both"/>
        <w:rPr>
          <w:lang w:val="ru-RU"/>
        </w:rPr>
      </w:pPr>
      <w:r w:rsidRPr="003A22EB">
        <w:rPr>
          <w:i/>
          <w:iCs/>
          <w:lang w:val="ru"/>
        </w:rPr>
        <w:t>Источник</w:t>
      </w:r>
      <w:r>
        <w:rPr>
          <w:lang w:val="ru"/>
        </w:rPr>
        <w:t>: Доклад миссии рКЗС ЕРБ ВОЗ, Кыргызстан, 2021 г.</w:t>
      </w:r>
    </w:p>
    <w:p w14:paraId="4EEC07B5" w14:textId="77777777" w:rsidR="00086663" w:rsidRPr="005567E5" w:rsidRDefault="00086663" w:rsidP="00DD5017">
      <w:pPr>
        <w:pStyle w:val="afff"/>
        <w:keepNext w:val="0"/>
        <w:widowControl w:val="0"/>
        <w:jc w:val="both"/>
        <w:rPr>
          <w:lang w:val="ru-RU"/>
        </w:rPr>
      </w:pPr>
      <w:r>
        <w:rPr>
          <w:lang w:val="ru"/>
        </w:rPr>
        <w:t xml:space="preserve">Таблица </w:t>
      </w:r>
      <w:r>
        <w:rPr>
          <w:lang w:val="ru"/>
        </w:rPr>
        <w:fldChar w:fldCharType="begin"/>
      </w:r>
      <w:r>
        <w:rPr>
          <w:lang w:val="ru"/>
        </w:rPr>
        <w:instrText xml:space="preserve"> SEQ Table \* ARABIC </w:instrText>
      </w:r>
      <w:r>
        <w:rPr>
          <w:lang w:val="ru"/>
        </w:rPr>
        <w:fldChar w:fldCharType="separate"/>
      </w:r>
      <w:r>
        <w:rPr>
          <w:noProof/>
          <w:lang w:val="ru"/>
        </w:rPr>
        <w:t>5</w:t>
      </w:r>
      <w:r>
        <w:rPr>
          <w:noProof/>
          <w:lang w:val="ru"/>
        </w:rPr>
        <w:fldChar w:fldCharType="end"/>
      </w:r>
      <w:r>
        <w:rPr>
          <w:lang w:val="ru"/>
        </w:rPr>
        <w:t xml:space="preserve">. Охват ТЛЧ </w:t>
      </w:r>
      <w:r>
        <w:rPr>
          <w:lang w:val="ru-RU"/>
        </w:rPr>
        <w:t xml:space="preserve">как минимум </w:t>
      </w:r>
      <w:r>
        <w:rPr>
          <w:lang w:val="ru"/>
        </w:rPr>
        <w:t>к рифампицину среди людей с бактериологически подтвержденным новым и рецидивирующим туберкулезом.</w:t>
      </w:r>
    </w:p>
    <w:tbl>
      <w:tblPr>
        <w:tblStyle w:val="afc"/>
        <w:tblW w:w="0" w:type="auto"/>
        <w:tblLook w:val="04A0" w:firstRow="1" w:lastRow="0" w:firstColumn="1" w:lastColumn="0" w:noHBand="0" w:noVBand="1"/>
      </w:tblPr>
      <w:tblGrid>
        <w:gridCol w:w="3114"/>
        <w:gridCol w:w="1417"/>
        <w:gridCol w:w="1417"/>
      </w:tblGrid>
      <w:tr w:rsidR="00086663" w:rsidRPr="00416E9A" w14:paraId="5C46749D" w14:textId="77777777" w:rsidTr="00071A6B">
        <w:tc>
          <w:tcPr>
            <w:tcW w:w="3114" w:type="dxa"/>
            <w:shd w:val="clear" w:color="auto" w:fill="D9D9D9" w:themeFill="background1" w:themeFillShade="D9"/>
          </w:tcPr>
          <w:p w14:paraId="4FF08B43" w14:textId="77777777" w:rsidR="00086663" w:rsidRPr="00416E9A" w:rsidRDefault="00086663" w:rsidP="00DD5017">
            <w:pPr>
              <w:widowControl w:val="0"/>
              <w:jc w:val="both"/>
              <w:rPr>
                <w:b/>
                <w:bCs/>
                <w:sz w:val="20"/>
                <w:szCs w:val="20"/>
              </w:rPr>
            </w:pPr>
            <w:r w:rsidRPr="00416E9A">
              <w:rPr>
                <w:b/>
                <w:bCs/>
                <w:sz w:val="20"/>
                <w:szCs w:val="20"/>
                <w:lang w:val="ru"/>
              </w:rPr>
              <w:t>Местоположение</w:t>
            </w:r>
          </w:p>
        </w:tc>
        <w:tc>
          <w:tcPr>
            <w:tcW w:w="1417" w:type="dxa"/>
            <w:shd w:val="clear" w:color="auto" w:fill="D9D9D9" w:themeFill="background1" w:themeFillShade="D9"/>
          </w:tcPr>
          <w:p w14:paraId="5A1B6161" w14:textId="77777777" w:rsidR="00086663" w:rsidRPr="00416E9A" w:rsidRDefault="00086663" w:rsidP="00DD5017">
            <w:pPr>
              <w:widowControl w:val="0"/>
              <w:jc w:val="center"/>
              <w:rPr>
                <w:b/>
                <w:bCs/>
                <w:sz w:val="20"/>
                <w:szCs w:val="20"/>
              </w:rPr>
            </w:pPr>
            <w:r w:rsidRPr="00416E9A">
              <w:rPr>
                <w:b/>
                <w:bCs/>
                <w:sz w:val="20"/>
                <w:szCs w:val="20"/>
                <w:lang w:val="ru"/>
              </w:rPr>
              <w:t>2021</w:t>
            </w:r>
          </w:p>
        </w:tc>
        <w:tc>
          <w:tcPr>
            <w:tcW w:w="1417" w:type="dxa"/>
            <w:shd w:val="clear" w:color="auto" w:fill="D9D9D9" w:themeFill="background1" w:themeFillShade="D9"/>
          </w:tcPr>
          <w:p w14:paraId="6773B07C" w14:textId="77777777" w:rsidR="00086663" w:rsidRPr="00416E9A" w:rsidRDefault="00086663" w:rsidP="00DD5017">
            <w:pPr>
              <w:widowControl w:val="0"/>
              <w:jc w:val="center"/>
              <w:rPr>
                <w:b/>
                <w:bCs/>
                <w:sz w:val="20"/>
                <w:szCs w:val="20"/>
              </w:rPr>
            </w:pPr>
            <w:r w:rsidRPr="00416E9A">
              <w:rPr>
                <w:b/>
                <w:bCs/>
                <w:sz w:val="20"/>
                <w:szCs w:val="20"/>
                <w:lang w:val="ru"/>
              </w:rPr>
              <w:t>1 кв</w:t>
            </w:r>
            <w:r>
              <w:rPr>
                <w:b/>
                <w:bCs/>
                <w:sz w:val="20"/>
                <w:szCs w:val="20"/>
                <w:lang w:val="ru"/>
              </w:rPr>
              <w:t>.</w:t>
            </w:r>
            <w:r w:rsidRPr="00416E9A">
              <w:rPr>
                <w:b/>
                <w:bCs/>
                <w:sz w:val="20"/>
                <w:szCs w:val="20"/>
                <w:lang w:val="ru"/>
              </w:rPr>
              <w:t xml:space="preserve"> 2022</w:t>
            </w:r>
          </w:p>
        </w:tc>
      </w:tr>
      <w:tr w:rsidR="00086663" w:rsidRPr="00416E9A" w14:paraId="5E091407" w14:textId="77777777" w:rsidTr="00071A6B">
        <w:tc>
          <w:tcPr>
            <w:tcW w:w="3114" w:type="dxa"/>
          </w:tcPr>
          <w:p w14:paraId="15F496A3" w14:textId="77777777" w:rsidR="00086663" w:rsidRPr="005B166B" w:rsidRDefault="00086663" w:rsidP="00DD5017">
            <w:pPr>
              <w:widowControl w:val="0"/>
              <w:jc w:val="both"/>
              <w:rPr>
                <w:sz w:val="20"/>
                <w:szCs w:val="20"/>
              </w:rPr>
            </w:pPr>
            <w:r w:rsidRPr="005B166B">
              <w:rPr>
                <w:sz w:val="20"/>
                <w:szCs w:val="20"/>
                <w:lang w:val="ru"/>
              </w:rPr>
              <w:t>Таласский ОЦБТ</w:t>
            </w:r>
          </w:p>
        </w:tc>
        <w:tc>
          <w:tcPr>
            <w:tcW w:w="1417" w:type="dxa"/>
          </w:tcPr>
          <w:p w14:paraId="63439865" w14:textId="77777777" w:rsidR="00086663" w:rsidRPr="005B166B" w:rsidRDefault="00086663" w:rsidP="00DD5017">
            <w:pPr>
              <w:widowControl w:val="0"/>
              <w:jc w:val="center"/>
              <w:rPr>
                <w:sz w:val="20"/>
                <w:szCs w:val="20"/>
              </w:rPr>
            </w:pPr>
            <w:r w:rsidRPr="005B166B">
              <w:rPr>
                <w:sz w:val="20"/>
                <w:szCs w:val="20"/>
                <w:lang w:val="ru"/>
              </w:rPr>
              <w:t>95%</w:t>
            </w:r>
          </w:p>
        </w:tc>
        <w:tc>
          <w:tcPr>
            <w:tcW w:w="1417" w:type="dxa"/>
          </w:tcPr>
          <w:p w14:paraId="333A48D6" w14:textId="77777777" w:rsidR="00086663" w:rsidRPr="005B166B" w:rsidRDefault="00086663" w:rsidP="00DD5017">
            <w:pPr>
              <w:widowControl w:val="0"/>
              <w:jc w:val="center"/>
              <w:rPr>
                <w:sz w:val="20"/>
                <w:szCs w:val="20"/>
              </w:rPr>
            </w:pPr>
            <w:r w:rsidRPr="005B166B">
              <w:rPr>
                <w:sz w:val="20"/>
                <w:szCs w:val="20"/>
                <w:lang w:val="ru"/>
              </w:rPr>
              <w:t>100%</w:t>
            </w:r>
          </w:p>
        </w:tc>
      </w:tr>
      <w:tr w:rsidR="00086663" w:rsidRPr="00416E9A" w14:paraId="69834AB4" w14:textId="77777777" w:rsidTr="00071A6B">
        <w:tc>
          <w:tcPr>
            <w:tcW w:w="3114" w:type="dxa"/>
          </w:tcPr>
          <w:p w14:paraId="1D524C07" w14:textId="77777777" w:rsidR="00086663" w:rsidRPr="005B166B" w:rsidRDefault="00086663" w:rsidP="00DD5017">
            <w:pPr>
              <w:widowControl w:val="0"/>
              <w:jc w:val="both"/>
              <w:rPr>
                <w:sz w:val="20"/>
                <w:szCs w:val="20"/>
              </w:rPr>
            </w:pPr>
            <w:r w:rsidRPr="005B166B">
              <w:rPr>
                <w:sz w:val="20"/>
                <w:szCs w:val="20"/>
                <w:lang w:val="ru"/>
              </w:rPr>
              <w:t>Нарынский ОЦБТ</w:t>
            </w:r>
          </w:p>
        </w:tc>
        <w:tc>
          <w:tcPr>
            <w:tcW w:w="1417" w:type="dxa"/>
          </w:tcPr>
          <w:p w14:paraId="793B6934" w14:textId="77777777" w:rsidR="00086663" w:rsidRPr="005B166B" w:rsidRDefault="00086663" w:rsidP="00DD5017">
            <w:pPr>
              <w:widowControl w:val="0"/>
              <w:jc w:val="center"/>
              <w:rPr>
                <w:sz w:val="20"/>
                <w:szCs w:val="20"/>
              </w:rPr>
            </w:pPr>
            <w:r w:rsidRPr="005B166B">
              <w:rPr>
                <w:sz w:val="20"/>
                <w:szCs w:val="20"/>
                <w:lang w:val="ru"/>
              </w:rPr>
              <w:t>97%</w:t>
            </w:r>
          </w:p>
        </w:tc>
        <w:tc>
          <w:tcPr>
            <w:tcW w:w="1417" w:type="dxa"/>
          </w:tcPr>
          <w:p w14:paraId="773FE6B9" w14:textId="77777777" w:rsidR="00086663" w:rsidRPr="005B166B" w:rsidRDefault="00086663" w:rsidP="00DD5017">
            <w:pPr>
              <w:widowControl w:val="0"/>
              <w:jc w:val="center"/>
              <w:rPr>
                <w:sz w:val="20"/>
                <w:szCs w:val="20"/>
              </w:rPr>
            </w:pPr>
            <w:r w:rsidRPr="005B166B">
              <w:rPr>
                <w:sz w:val="20"/>
                <w:szCs w:val="20"/>
                <w:lang w:val="ru"/>
              </w:rPr>
              <w:t>97%</w:t>
            </w:r>
          </w:p>
        </w:tc>
      </w:tr>
      <w:tr w:rsidR="00086663" w:rsidRPr="00416E9A" w14:paraId="36D3EE9A" w14:textId="77777777" w:rsidTr="00071A6B">
        <w:tc>
          <w:tcPr>
            <w:tcW w:w="3114" w:type="dxa"/>
          </w:tcPr>
          <w:p w14:paraId="6CD5D333" w14:textId="77777777" w:rsidR="00086663" w:rsidRPr="005B166B" w:rsidRDefault="00086663" w:rsidP="00DD5017">
            <w:pPr>
              <w:widowControl w:val="0"/>
              <w:jc w:val="both"/>
              <w:rPr>
                <w:sz w:val="20"/>
                <w:szCs w:val="20"/>
              </w:rPr>
            </w:pPr>
            <w:r w:rsidRPr="005B166B">
              <w:rPr>
                <w:sz w:val="20"/>
                <w:szCs w:val="20"/>
                <w:lang w:val="ru"/>
              </w:rPr>
              <w:t>Исиккул ОЦБТ</w:t>
            </w:r>
          </w:p>
        </w:tc>
        <w:tc>
          <w:tcPr>
            <w:tcW w:w="1417" w:type="dxa"/>
          </w:tcPr>
          <w:p w14:paraId="62143660" w14:textId="77777777" w:rsidR="00086663" w:rsidRPr="005B166B" w:rsidRDefault="00086663" w:rsidP="00DD5017">
            <w:pPr>
              <w:widowControl w:val="0"/>
              <w:jc w:val="center"/>
              <w:rPr>
                <w:sz w:val="20"/>
                <w:szCs w:val="20"/>
              </w:rPr>
            </w:pPr>
            <w:r w:rsidRPr="005B166B">
              <w:rPr>
                <w:sz w:val="20"/>
                <w:szCs w:val="20"/>
                <w:lang w:val="ru"/>
              </w:rPr>
              <w:t>92%</w:t>
            </w:r>
          </w:p>
        </w:tc>
        <w:tc>
          <w:tcPr>
            <w:tcW w:w="1417" w:type="dxa"/>
          </w:tcPr>
          <w:p w14:paraId="3C76DB9D" w14:textId="77777777" w:rsidR="00086663" w:rsidRPr="005B166B" w:rsidRDefault="00086663" w:rsidP="00DD5017">
            <w:pPr>
              <w:widowControl w:val="0"/>
              <w:jc w:val="center"/>
              <w:rPr>
                <w:sz w:val="20"/>
                <w:szCs w:val="20"/>
              </w:rPr>
            </w:pPr>
            <w:r w:rsidRPr="005B166B">
              <w:rPr>
                <w:sz w:val="20"/>
                <w:szCs w:val="20"/>
                <w:lang w:val="ru"/>
              </w:rPr>
              <w:t>100%</w:t>
            </w:r>
          </w:p>
        </w:tc>
      </w:tr>
      <w:tr w:rsidR="00086663" w:rsidRPr="00416E9A" w14:paraId="242FF74D" w14:textId="77777777" w:rsidTr="00071A6B">
        <w:tc>
          <w:tcPr>
            <w:tcW w:w="3114" w:type="dxa"/>
          </w:tcPr>
          <w:p w14:paraId="7B75583E" w14:textId="77777777" w:rsidR="00086663" w:rsidRPr="005B166B" w:rsidRDefault="00086663" w:rsidP="00DD5017">
            <w:pPr>
              <w:widowControl w:val="0"/>
              <w:jc w:val="both"/>
              <w:rPr>
                <w:sz w:val="20"/>
                <w:szCs w:val="20"/>
              </w:rPr>
            </w:pPr>
            <w:r w:rsidRPr="005B166B">
              <w:rPr>
                <w:sz w:val="20"/>
                <w:szCs w:val="20"/>
                <w:lang w:val="ru"/>
              </w:rPr>
              <w:t>Джалал-абадский</w:t>
            </w:r>
            <w:r w:rsidRPr="005B166B">
              <w:rPr>
                <w:lang w:val="ru"/>
              </w:rPr>
              <w:t xml:space="preserve"> </w:t>
            </w:r>
            <w:r w:rsidRPr="005B166B">
              <w:rPr>
                <w:sz w:val="20"/>
                <w:szCs w:val="20"/>
                <w:lang w:val="ru"/>
              </w:rPr>
              <w:t>ОЦБТ</w:t>
            </w:r>
          </w:p>
        </w:tc>
        <w:tc>
          <w:tcPr>
            <w:tcW w:w="1417" w:type="dxa"/>
          </w:tcPr>
          <w:p w14:paraId="5FC73B9B" w14:textId="77777777" w:rsidR="00086663" w:rsidRPr="005B166B" w:rsidRDefault="00086663" w:rsidP="00DD5017">
            <w:pPr>
              <w:widowControl w:val="0"/>
              <w:jc w:val="center"/>
              <w:rPr>
                <w:sz w:val="20"/>
                <w:szCs w:val="20"/>
              </w:rPr>
            </w:pPr>
            <w:r w:rsidRPr="005B166B">
              <w:rPr>
                <w:sz w:val="20"/>
                <w:szCs w:val="20"/>
                <w:lang w:val="ru"/>
              </w:rPr>
              <w:t>93%</w:t>
            </w:r>
          </w:p>
        </w:tc>
        <w:tc>
          <w:tcPr>
            <w:tcW w:w="1417" w:type="dxa"/>
          </w:tcPr>
          <w:p w14:paraId="79469786" w14:textId="77777777" w:rsidR="00086663" w:rsidRPr="005B166B" w:rsidRDefault="00086663" w:rsidP="00DD5017">
            <w:pPr>
              <w:widowControl w:val="0"/>
              <w:jc w:val="center"/>
              <w:rPr>
                <w:sz w:val="20"/>
                <w:szCs w:val="20"/>
              </w:rPr>
            </w:pPr>
            <w:r w:rsidRPr="005B166B">
              <w:rPr>
                <w:sz w:val="20"/>
                <w:szCs w:val="20"/>
                <w:lang w:val="ru"/>
              </w:rPr>
              <w:t>98%</w:t>
            </w:r>
          </w:p>
        </w:tc>
      </w:tr>
      <w:tr w:rsidR="00086663" w:rsidRPr="00416E9A" w14:paraId="2906FE25" w14:textId="77777777" w:rsidTr="00071A6B">
        <w:tc>
          <w:tcPr>
            <w:tcW w:w="3114" w:type="dxa"/>
          </w:tcPr>
          <w:p w14:paraId="5F2F161E" w14:textId="77777777" w:rsidR="00086663" w:rsidRPr="005B166B" w:rsidRDefault="00086663" w:rsidP="00DD5017">
            <w:pPr>
              <w:widowControl w:val="0"/>
              <w:jc w:val="both"/>
              <w:rPr>
                <w:sz w:val="20"/>
                <w:szCs w:val="20"/>
              </w:rPr>
            </w:pPr>
            <w:r w:rsidRPr="005B166B">
              <w:rPr>
                <w:sz w:val="20"/>
                <w:szCs w:val="20"/>
                <w:lang w:val="ru"/>
              </w:rPr>
              <w:t>Ошский ОЦБТ</w:t>
            </w:r>
          </w:p>
        </w:tc>
        <w:tc>
          <w:tcPr>
            <w:tcW w:w="1417" w:type="dxa"/>
          </w:tcPr>
          <w:p w14:paraId="2C70723D" w14:textId="77777777" w:rsidR="00086663" w:rsidRPr="005B166B" w:rsidRDefault="00086663" w:rsidP="00DD5017">
            <w:pPr>
              <w:widowControl w:val="0"/>
              <w:jc w:val="center"/>
              <w:rPr>
                <w:sz w:val="20"/>
                <w:szCs w:val="20"/>
              </w:rPr>
            </w:pPr>
            <w:r w:rsidRPr="005B166B">
              <w:rPr>
                <w:sz w:val="20"/>
                <w:szCs w:val="20"/>
                <w:lang w:val="ru"/>
              </w:rPr>
              <w:t>94%</w:t>
            </w:r>
          </w:p>
        </w:tc>
        <w:tc>
          <w:tcPr>
            <w:tcW w:w="1417" w:type="dxa"/>
          </w:tcPr>
          <w:p w14:paraId="70DB52DE" w14:textId="77777777" w:rsidR="00086663" w:rsidRPr="005B166B" w:rsidRDefault="00086663" w:rsidP="00DD5017">
            <w:pPr>
              <w:widowControl w:val="0"/>
              <w:jc w:val="center"/>
              <w:rPr>
                <w:sz w:val="20"/>
                <w:szCs w:val="20"/>
              </w:rPr>
            </w:pPr>
            <w:r w:rsidRPr="005B166B">
              <w:rPr>
                <w:sz w:val="20"/>
                <w:szCs w:val="20"/>
                <w:lang w:val="ru"/>
              </w:rPr>
              <w:t>95%</w:t>
            </w:r>
          </w:p>
        </w:tc>
      </w:tr>
      <w:tr w:rsidR="00086663" w:rsidRPr="00416E9A" w14:paraId="68358963" w14:textId="77777777" w:rsidTr="00071A6B">
        <w:tc>
          <w:tcPr>
            <w:tcW w:w="3114" w:type="dxa"/>
          </w:tcPr>
          <w:p w14:paraId="0C508FB6" w14:textId="77777777" w:rsidR="00086663" w:rsidRPr="005B166B" w:rsidRDefault="00086663" w:rsidP="00DD5017">
            <w:pPr>
              <w:widowControl w:val="0"/>
              <w:jc w:val="both"/>
              <w:rPr>
                <w:sz w:val="20"/>
                <w:szCs w:val="20"/>
              </w:rPr>
            </w:pPr>
            <w:r w:rsidRPr="005B166B">
              <w:rPr>
                <w:sz w:val="20"/>
                <w:szCs w:val="20"/>
                <w:lang w:val="ru"/>
              </w:rPr>
              <w:t>ГЦБТ г.Ош</w:t>
            </w:r>
          </w:p>
        </w:tc>
        <w:tc>
          <w:tcPr>
            <w:tcW w:w="1417" w:type="dxa"/>
          </w:tcPr>
          <w:p w14:paraId="09A5EA6C" w14:textId="77777777" w:rsidR="00086663" w:rsidRPr="005B166B" w:rsidRDefault="00086663" w:rsidP="00DD5017">
            <w:pPr>
              <w:widowControl w:val="0"/>
              <w:jc w:val="center"/>
              <w:rPr>
                <w:sz w:val="20"/>
                <w:szCs w:val="20"/>
              </w:rPr>
            </w:pPr>
            <w:r w:rsidRPr="005B166B">
              <w:rPr>
                <w:sz w:val="20"/>
                <w:szCs w:val="20"/>
                <w:lang w:val="ru"/>
              </w:rPr>
              <w:t>87%</w:t>
            </w:r>
          </w:p>
        </w:tc>
        <w:tc>
          <w:tcPr>
            <w:tcW w:w="1417" w:type="dxa"/>
          </w:tcPr>
          <w:p w14:paraId="3D1EF8A4" w14:textId="77777777" w:rsidR="00086663" w:rsidRPr="005B166B" w:rsidRDefault="00086663" w:rsidP="00DD5017">
            <w:pPr>
              <w:widowControl w:val="0"/>
              <w:jc w:val="center"/>
              <w:rPr>
                <w:sz w:val="20"/>
                <w:szCs w:val="20"/>
              </w:rPr>
            </w:pPr>
            <w:r w:rsidRPr="005B166B">
              <w:rPr>
                <w:sz w:val="20"/>
                <w:szCs w:val="20"/>
                <w:lang w:val="ru"/>
              </w:rPr>
              <w:t>84%</w:t>
            </w:r>
          </w:p>
        </w:tc>
      </w:tr>
      <w:tr w:rsidR="00086663" w:rsidRPr="00416E9A" w14:paraId="06E0DE9D" w14:textId="77777777" w:rsidTr="00071A6B">
        <w:tc>
          <w:tcPr>
            <w:tcW w:w="3114" w:type="dxa"/>
          </w:tcPr>
          <w:p w14:paraId="68E484B0" w14:textId="77777777" w:rsidR="00086663" w:rsidRPr="005B166B" w:rsidRDefault="00086663" w:rsidP="00DD5017">
            <w:pPr>
              <w:widowControl w:val="0"/>
              <w:jc w:val="both"/>
              <w:rPr>
                <w:sz w:val="20"/>
                <w:szCs w:val="20"/>
              </w:rPr>
            </w:pPr>
            <w:r w:rsidRPr="005B166B">
              <w:rPr>
                <w:sz w:val="20"/>
                <w:szCs w:val="20"/>
                <w:lang w:val="ru"/>
              </w:rPr>
              <w:t>Баткенский ГЦБТ</w:t>
            </w:r>
          </w:p>
        </w:tc>
        <w:tc>
          <w:tcPr>
            <w:tcW w:w="1417" w:type="dxa"/>
          </w:tcPr>
          <w:p w14:paraId="21C33918" w14:textId="77777777" w:rsidR="00086663" w:rsidRPr="005B166B" w:rsidRDefault="00086663" w:rsidP="00DD5017">
            <w:pPr>
              <w:widowControl w:val="0"/>
              <w:jc w:val="center"/>
              <w:rPr>
                <w:sz w:val="20"/>
                <w:szCs w:val="20"/>
              </w:rPr>
            </w:pPr>
            <w:r w:rsidRPr="005B166B">
              <w:rPr>
                <w:sz w:val="20"/>
                <w:szCs w:val="20"/>
                <w:lang w:val="ru"/>
              </w:rPr>
              <w:t>87%</w:t>
            </w:r>
          </w:p>
        </w:tc>
        <w:tc>
          <w:tcPr>
            <w:tcW w:w="1417" w:type="dxa"/>
          </w:tcPr>
          <w:p w14:paraId="5972096F" w14:textId="77777777" w:rsidR="00086663" w:rsidRPr="005B166B" w:rsidRDefault="00086663" w:rsidP="00DD5017">
            <w:pPr>
              <w:widowControl w:val="0"/>
              <w:jc w:val="center"/>
              <w:rPr>
                <w:sz w:val="20"/>
                <w:szCs w:val="20"/>
              </w:rPr>
            </w:pPr>
            <w:r w:rsidRPr="005B166B">
              <w:rPr>
                <w:sz w:val="20"/>
                <w:szCs w:val="20"/>
                <w:lang w:val="ru"/>
              </w:rPr>
              <w:t>98%</w:t>
            </w:r>
          </w:p>
        </w:tc>
      </w:tr>
      <w:tr w:rsidR="00086663" w:rsidRPr="00416E9A" w14:paraId="02BA47BF" w14:textId="77777777" w:rsidTr="00071A6B">
        <w:tc>
          <w:tcPr>
            <w:tcW w:w="3114" w:type="dxa"/>
          </w:tcPr>
          <w:p w14:paraId="7BC8E71A" w14:textId="77777777" w:rsidR="00086663" w:rsidRPr="005B166B" w:rsidRDefault="00086663" w:rsidP="00DD5017">
            <w:pPr>
              <w:widowControl w:val="0"/>
              <w:jc w:val="both"/>
              <w:rPr>
                <w:sz w:val="20"/>
                <w:szCs w:val="20"/>
              </w:rPr>
            </w:pPr>
            <w:r w:rsidRPr="005B166B">
              <w:rPr>
                <w:sz w:val="20"/>
                <w:szCs w:val="20"/>
                <w:lang w:val="ru"/>
              </w:rPr>
              <w:t>Чуйский ЦОВП</w:t>
            </w:r>
          </w:p>
        </w:tc>
        <w:tc>
          <w:tcPr>
            <w:tcW w:w="1417" w:type="dxa"/>
          </w:tcPr>
          <w:p w14:paraId="6556C7E1" w14:textId="77777777" w:rsidR="00086663" w:rsidRPr="005B166B" w:rsidRDefault="00086663" w:rsidP="00DD5017">
            <w:pPr>
              <w:widowControl w:val="0"/>
              <w:jc w:val="center"/>
              <w:rPr>
                <w:sz w:val="20"/>
                <w:szCs w:val="20"/>
              </w:rPr>
            </w:pPr>
            <w:r w:rsidRPr="005B166B">
              <w:rPr>
                <w:sz w:val="20"/>
                <w:szCs w:val="20"/>
                <w:lang w:val="ru"/>
              </w:rPr>
              <w:t>95%</w:t>
            </w:r>
          </w:p>
        </w:tc>
        <w:tc>
          <w:tcPr>
            <w:tcW w:w="1417" w:type="dxa"/>
          </w:tcPr>
          <w:p w14:paraId="4D3EF142" w14:textId="77777777" w:rsidR="00086663" w:rsidRPr="005B166B" w:rsidRDefault="00086663" w:rsidP="00DD5017">
            <w:pPr>
              <w:widowControl w:val="0"/>
              <w:jc w:val="center"/>
              <w:rPr>
                <w:sz w:val="20"/>
                <w:szCs w:val="20"/>
              </w:rPr>
            </w:pPr>
            <w:r w:rsidRPr="005B166B">
              <w:rPr>
                <w:sz w:val="20"/>
                <w:szCs w:val="20"/>
                <w:lang w:val="ru"/>
              </w:rPr>
              <w:t>98%</w:t>
            </w:r>
          </w:p>
        </w:tc>
      </w:tr>
      <w:tr w:rsidR="00086663" w:rsidRPr="00416E9A" w14:paraId="1CD5747F" w14:textId="77777777" w:rsidTr="00071A6B">
        <w:tc>
          <w:tcPr>
            <w:tcW w:w="3114" w:type="dxa"/>
          </w:tcPr>
          <w:p w14:paraId="3F5F2AE6" w14:textId="77777777" w:rsidR="00086663" w:rsidRPr="005B166B" w:rsidRDefault="00086663" w:rsidP="00DD5017">
            <w:pPr>
              <w:widowControl w:val="0"/>
              <w:jc w:val="both"/>
              <w:rPr>
                <w:sz w:val="20"/>
                <w:szCs w:val="20"/>
              </w:rPr>
            </w:pPr>
            <w:r w:rsidRPr="005B166B">
              <w:rPr>
                <w:sz w:val="20"/>
                <w:szCs w:val="20"/>
                <w:lang w:val="ru"/>
              </w:rPr>
              <w:t>ГЦБТ г.Бишкек</w:t>
            </w:r>
          </w:p>
        </w:tc>
        <w:tc>
          <w:tcPr>
            <w:tcW w:w="1417" w:type="dxa"/>
          </w:tcPr>
          <w:p w14:paraId="40FDA275" w14:textId="77777777" w:rsidR="00086663" w:rsidRPr="005B166B" w:rsidRDefault="00086663" w:rsidP="00DD5017">
            <w:pPr>
              <w:widowControl w:val="0"/>
              <w:jc w:val="center"/>
              <w:rPr>
                <w:sz w:val="20"/>
                <w:szCs w:val="20"/>
              </w:rPr>
            </w:pPr>
            <w:r w:rsidRPr="005B166B">
              <w:rPr>
                <w:sz w:val="20"/>
                <w:szCs w:val="20"/>
                <w:lang w:val="ru"/>
              </w:rPr>
              <w:t>95%</w:t>
            </w:r>
          </w:p>
        </w:tc>
        <w:tc>
          <w:tcPr>
            <w:tcW w:w="1417" w:type="dxa"/>
          </w:tcPr>
          <w:p w14:paraId="5D4E385F" w14:textId="77777777" w:rsidR="00086663" w:rsidRPr="005B166B" w:rsidRDefault="00086663" w:rsidP="00DD5017">
            <w:pPr>
              <w:widowControl w:val="0"/>
              <w:jc w:val="center"/>
              <w:rPr>
                <w:sz w:val="20"/>
                <w:szCs w:val="20"/>
              </w:rPr>
            </w:pPr>
            <w:r w:rsidRPr="005B166B">
              <w:rPr>
                <w:sz w:val="20"/>
                <w:szCs w:val="20"/>
                <w:lang w:val="ru"/>
              </w:rPr>
              <w:t>87%</w:t>
            </w:r>
          </w:p>
        </w:tc>
      </w:tr>
      <w:tr w:rsidR="00086663" w:rsidRPr="00416E9A" w14:paraId="11BE9896" w14:textId="77777777" w:rsidTr="00071A6B">
        <w:tc>
          <w:tcPr>
            <w:tcW w:w="3114" w:type="dxa"/>
          </w:tcPr>
          <w:p w14:paraId="43E2F9C3" w14:textId="77777777" w:rsidR="00086663" w:rsidRPr="005B166B" w:rsidRDefault="00086663" w:rsidP="00DD5017">
            <w:pPr>
              <w:widowControl w:val="0"/>
              <w:jc w:val="both"/>
              <w:rPr>
                <w:sz w:val="20"/>
                <w:szCs w:val="20"/>
              </w:rPr>
            </w:pPr>
            <w:r w:rsidRPr="005B166B">
              <w:rPr>
                <w:sz w:val="20"/>
                <w:szCs w:val="20"/>
                <w:lang w:val="ru"/>
              </w:rPr>
              <w:t>Пенитенциарная система</w:t>
            </w:r>
          </w:p>
        </w:tc>
        <w:tc>
          <w:tcPr>
            <w:tcW w:w="1417" w:type="dxa"/>
          </w:tcPr>
          <w:p w14:paraId="75948E92" w14:textId="77777777" w:rsidR="00086663" w:rsidRPr="005B166B" w:rsidRDefault="00086663" w:rsidP="00DD5017">
            <w:pPr>
              <w:widowControl w:val="0"/>
              <w:jc w:val="center"/>
              <w:rPr>
                <w:sz w:val="20"/>
                <w:szCs w:val="20"/>
              </w:rPr>
            </w:pPr>
            <w:r w:rsidRPr="005B166B">
              <w:rPr>
                <w:sz w:val="20"/>
                <w:szCs w:val="20"/>
                <w:lang w:val="ru"/>
              </w:rPr>
              <w:t>88%</w:t>
            </w:r>
          </w:p>
        </w:tc>
        <w:tc>
          <w:tcPr>
            <w:tcW w:w="1417" w:type="dxa"/>
          </w:tcPr>
          <w:p w14:paraId="5F2E63FC" w14:textId="77777777" w:rsidR="00086663" w:rsidRPr="005B166B" w:rsidRDefault="00086663" w:rsidP="00DD5017">
            <w:pPr>
              <w:widowControl w:val="0"/>
              <w:jc w:val="center"/>
              <w:rPr>
                <w:sz w:val="20"/>
                <w:szCs w:val="20"/>
              </w:rPr>
            </w:pPr>
            <w:r w:rsidRPr="005B166B">
              <w:rPr>
                <w:sz w:val="20"/>
                <w:szCs w:val="20"/>
                <w:lang w:val="ru"/>
              </w:rPr>
              <w:t>86%</w:t>
            </w:r>
          </w:p>
        </w:tc>
      </w:tr>
      <w:tr w:rsidR="00086663" w:rsidRPr="00416E9A" w14:paraId="146CAB6C" w14:textId="77777777" w:rsidTr="00071A6B">
        <w:tc>
          <w:tcPr>
            <w:tcW w:w="3114" w:type="dxa"/>
          </w:tcPr>
          <w:p w14:paraId="3C484F7B" w14:textId="77777777" w:rsidR="00086663" w:rsidRPr="00416E9A" w:rsidRDefault="00086663" w:rsidP="00DD5017">
            <w:pPr>
              <w:widowControl w:val="0"/>
              <w:jc w:val="both"/>
              <w:rPr>
                <w:sz w:val="20"/>
                <w:szCs w:val="20"/>
              </w:rPr>
            </w:pPr>
            <w:r>
              <w:rPr>
                <w:sz w:val="20"/>
                <w:szCs w:val="20"/>
                <w:lang w:val="ru"/>
              </w:rPr>
              <w:t>НРЛ</w:t>
            </w:r>
          </w:p>
        </w:tc>
        <w:tc>
          <w:tcPr>
            <w:tcW w:w="1417" w:type="dxa"/>
          </w:tcPr>
          <w:p w14:paraId="3D1E04E4" w14:textId="77777777" w:rsidR="00086663" w:rsidRPr="00416E9A" w:rsidRDefault="00086663" w:rsidP="00DD5017">
            <w:pPr>
              <w:widowControl w:val="0"/>
              <w:jc w:val="center"/>
              <w:rPr>
                <w:sz w:val="20"/>
                <w:szCs w:val="20"/>
              </w:rPr>
            </w:pPr>
            <w:r w:rsidRPr="00416E9A">
              <w:rPr>
                <w:sz w:val="20"/>
                <w:szCs w:val="20"/>
                <w:lang w:val="ru"/>
              </w:rPr>
              <w:t>94%</w:t>
            </w:r>
          </w:p>
        </w:tc>
        <w:tc>
          <w:tcPr>
            <w:tcW w:w="1417" w:type="dxa"/>
          </w:tcPr>
          <w:p w14:paraId="43AE6530" w14:textId="77777777" w:rsidR="00086663" w:rsidRPr="00416E9A" w:rsidRDefault="00086663" w:rsidP="00DD5017">
            <w:pPr>
              <w:widowControl w:val="0"/>
              <w:jc w:val="center"/>
              <w:rPr>
                <w:sz w:val="20"/>
                <w:szCs w:val="20"/>
              </w:rPr>
            </w:pPr>
            <w:r w:rsidRPr="00416E9A">
              <w:rPr>
                <w:sz w:val="20"/>
                <w:szCs w:val="20"/>
                <w:lang w:val="ru"/>
              </w:rPr>
              <w:t>96%</w:t>
            </w:r>
          </w:p>
        </w:tc>
      </w:tr>
    </w:tbl>
    <w:p w14:paraId="27F8FE91" w14:textId="77777777" w:rsidR="00086663" w:rsidRPr="004F50E3" w:rsidRDefault="00086663" w:rsidP="00DD5017">
      <w:pPr>
        <w:pStyle w:val="Subcaption"/>
        <w:widowControl w:val="0"/>
        <w:jc w:val="both"/>
      </w:pPr>
      <w:r w:rsidRPr="003226EA">
        <w:rPr>
          <w:i/>
          <w:iCs/>
          <w:lang w:val="ru"/>
        </w:rPr>
        <w:t>Источник</w:t>
      </w:r>
      <w:r>
        <w:rPr>
          <w:lang w:val="ru"/>
        </w:rPr>
        <w:t>: ПРООН, 2022 г.</w:t>
      </w:r>
    </w:p>
    <w:p w14:paraId="164ABA39" w14:textId="77777777" w:rsidR="00086663" w:rsidRPr="005567E5" w:rsidRDefault="00086663" w:rsidP="00DD5017">
      <w:pPr>
        <w:pStyle w:val="afff"/>
        <w:keepNext w:val="0"/>
        <w:widowControl w:val="0"/>
        <w:rPr>
          <w:lang w:val="ru-RU"/>
        </w:rPr>
      </w:pPr>
      <w:r>
        <w:rPr>
          <w:lang w:val="ru"/>
        </w:rPr>
        <w:t xml:space="preserve">Диагр. </w:t>
      </w:r>
      <w:r>
        <w:rPr>
          <w:lang w:val="ru"/>
        </w:rPr>
        <w:fldChar w:fldCharType="begin"/>
      </w:r>
      <w:r>
        <w:rPr>
          <w:lang w:val="ru"/>
        </w:rPr>
        <w:instrText xml:space="preserve"> SEQ Diag. \* ARABIC </w:instrText>
      </w:r>
      <w:r>
        <w:rPr>
          <w:lang w:val="ru"/>
        </w:rPr>
        <w:fldChar w:fldCharType="separate"/>
      </w:r>
      <w:r>
        <w:rPr>
          <w:noProof/>
          <w:lang w:val="ru"/>
        </w:rPr>
        <w:t>3</w:t>
      </w:r>
      <w:r>
        <w:rPr>
          <w:noProof/>
          <w:lang w:val="ru"/>
        </w:rPr>
        <w:fldChar w:fldCharType="end"/>
      </w:r>
      <w:r w:rsidRPr="00416E9A">
        <w:rPr>
          <w:lang w:val="ru"/>
        </w:rPr>
        <w:t>. Процент бактериологического подтверждения среди всех больных туберкулезом легких, Кыргызстан, 2021</w:t>
      </w:r>
      <w:r>
        <w:rPr>
          <w:lang w:val="ru"/>
        </w:rPr>
        <w:t xml:space="preserve"> г</w:t>
      </w:r>
      <w:r w:rsidRPr="00416E9A">
        <w:rPr>
          <w:lang w:val="ru"/>
        </w:rPr>
        <w:t>.</w:t>
      </w:r>
    </w:p>
    <w:p w14:paraId="4BD6E35D" w14:textId="77777777" w:rsidR="00086663" w:rsidRDefault="00086663" w:rsidP="00DD5017">
      <w:pPr>
        <w:pStyle w:val="af3"/>
        <w:widowControl w:val="0"/>
        <w:jc w:val="both"/>
      </w:pPr>
      <w:r>
        <w:rPr>
          <w:noProof/>
          <w:lang w:val="ru-RU" w:eastAsia="ru-RU"/>
        </w:rPr>
        <w:lastRenderedPageBreak/>
        <w:drawing>
          <wp:inline distT="0" distB="0" distL="0" distR="0" wp14:anchorId="1AB17C1E" wp14:editId="25F346B1">
            <wp:extent cx="5940425" cy="1954614"/>
            <wp:effectExtent l="0" t="0" r="3175" b="7620"/>
            <wp:docPr id="25" name="Chart 7">
              <a:extLst xmlns:a="http://schemas.openxmlformats.org/drawingml/2006/main">
                <a:ext uri="{FF2B5EF4-FFF2-40B4-BE49-F238E27FC236}">
                  <a16:creationId xmlns:a16="http://schemas.microsoft.com/office/drawing/2014/main" id="{D2E12AF8-0B3B-C343-73B8-CCEBB80FA7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0DDD4BA4" w14:textId="77777777" w:rsidR="00086663" w:rsidRPr="005567E5" w:rsidRDefault="00086663" w:rsidP="00DD5017">
      <w:pPr>
        <w:pStyle w:val="Subcaption"/>
        <w:widowControl w:val="0"/>
        <w:jc w:val="both"/>
        <w:rPr>
          <w:lang w:val="ru-RU"/>
        </w:rPr>
      </w:pPr>
      <w:r w:rsidRPr="003226EA">
        <w:rPr>
          <w:i/>
          <w:iCs/>
          <w:lang w:val="ru"/>
        </w:rPr>
        <w:t>Источник</w:t>
      </w:r>
      <w:r>
        <w:rPr>
          <w:lang w:val="ru"/>
        </w:rPr>
        <w:t>: ПРООН, 2022 г.</w:t>
      </w:r>
    </w:p>
    <w:p w14:paraId="7DAB98C8" w14:textId="77777777" w:rsidR="00086663" w:rsidRPr="005567E5" w:rsidRDefault="00086663" w:rsidP="00DD5017">
      <w:pPr>
        <w:widowControl w:val="0"/>
        <w:spacing w:line="240" w:lineRule="auto"/>
        <w:jc w:val="both"/>
        <w:rPr>
          <w:lang w:val="ru-RU"/>
        </w:rPr>
      </w:pPr>
      <w:r>
        <w:rPr>
          <w:lang w:val="ru"/>
        </w:rPr>
        <w:t>ТЛЧ</w:t>
      </w:r>
      <w:r w:rsidRPr="00607509">
        <w:rPr>
          <w:lang w:val="ru"/>
        </w:rPr>
        <w:t xml:space="preserve"> для новых </w:t>
      </w:r>
      <w:r>
        <w:rPr>
          <w:lang w:val="ru"/>
        </w:rPr>
        <w:t>противотуберкулезных</w:t>
      </w:r>
      <w:r w:rsidRPr="00607509">
        <w:rPr>
          <w:lang w:val="ru"/>
        </w:rPr>
        <w:t xml:space="preserve"> препаратов </w:t>
      </w:r>
      <w:r>
        <w:rPr>
          <w:lang w:val="ru"/>
        </w:rPr>
        <w:t>(Bdq, Dlm</w:t>
      </w:r>
      <w:r w:rsidRPr="00607509">
        <w:rPr>
          <w:lang w:val="ru"/>
        </w:rPr>
        <w:t xml:space="preserve">, </w:t>
      </w:r>
      <w:r>
        <w:rPr>
          <w:lang w:val="ru"/>
        </w:rPr>
        <w:t>Cfz</w:t>
      </w:r>
      <w:r w:rsidRPr="00607509">
        <w:rPr>
          <w:lang w:val="ru"/>
        </w:rPr>
        <w:t xml:space="preserve"> и </w:t>
      </w:r>
      <w:r>
        <w:rPr>
          <w:lang w:val="ru"/>
        </w:rPr>
        <w:t>Lzd)</w:t>
      </w:r>
      <w:r w:rsidRPr="00607509">
        <w:rPr>
          <w:lang w:val="ru"/>
        </w:rPr>
        <w:t xml:space="preserve"> был</w:t>
      </w:r>
      <w:r>
        <w:rPr>
          <w:lang w:val="ru"/>
        </w:rPr>
        <w:t>и</w:t>
      </w:r>
      <w:r w:rsidRPr="00607509">
        <w:rPr>
          <w:lang w:val="ru"/>
        </w:rPr>
        <w:t xml:space="preserve"> внедрен</w:t>
      </w:r>
      <w:r>
        <w:rPr>
          <w:lang w:val="ru"/>
        </w:rPr>
        <w:t>ы</w:t>
      </w:r>
      <w:r w:rsidRPr="00607509">
        <w:rPr>
          <w:lang w:val="ru"/>
        </w:rPr>
        <w:t xml:space="preserve"> в 2019 году при техническом содействии </w:t>
      </w:r>
      <w:r>
        <w:rPr>
          <w:lang w:val="ru"/>
        </w:rPr>
        <w:t>СРЛ в Гаутинге</w:t>
      </w:r>
      <w:r w:rsidRPr="00607509">
        <w:rPr>
          <w:lang w:val="ru"/>
        </w:rPr>
        <w:t>.</w:t>
      </w:r>
      <w:r>
        <w:rPr>
          <w:lang w:val="ru"/>
        </w:rPr>
        <w:t xml:space="preserve"> С января 2022 г. НРЛ </w:t>
      </w:r>
      <w:r w:rsidRPr="00B455C5">
        <w:rPr>
          <w:lang w:val="ru"/>
        </w:rPr>
        <w:t xml:space="preserve">автоматически загружает результаты </w:t>
      </w:r>
      <w:r>
        <w:rPr>
          <w:lang w:val="ru"/>
        </w:rPr>
        <w:t xml:space="preserve">ТЛЧ </w:t>
      </w:r>
      <w:r w:rsidRPr="00B455C5">
        <w:rPr>
          <w:lang w:val="ru"/>
        </w:rPr>
        <w:t xml:space="preserve">по новым препаратам </w:t>
      </w:r>
      <w:r>
        <w:rPr>
          <w:lang w:val="ru"/>
        </w:rPr>
        <w:t xml:space="preserve">в </w:t>
      </w:r>
      <w:r w:rsidRPr="00BA7829">
        <w:rPr>
          <w:lang w:val="ru"/>
        </w:rPr>
        <w:t>Информационн</w:t>
      </w:r>
      <w:r>
        <w:rPr>
          <w:lang w:val="ru"/>
        </w:rPr>
        <w:t>ую</w:t>
      </w:r>
      <w:r w:rsidRPr="00BA7829">
        <w:rPr>
          <w:lang w:val="ru"/>
        </w:rPr>
        <w:t xml:space="preserve"> систем</w:t>
      </w:r>
      <w:r>
        <w:rPr>
          <w:lang w:val="ru"/>
        </w:rPr>
        <w:t>у</w:t>
      </w:r>
      <w:r w:rsidRPr="00BA7829">
        <w:rPr>
          <w:lang w:val="ru"/>
        </w:rPr>
        <w:t xml:space="preserve"> управления лабораторными данным</w:t>
      </w:r>
      <w:r>
        <w:rPr>
          <w:lang w:val="ru"/>
        </w:rPr>
        <w:t>и (ИСУЛД)</w:t>
      </w:r>
      <w:r w:rsidRPr="00B455C5">
        <w:rPr>
          <w:lang w:val="ru"/>
        </w:rPr>
        <w:t>.</w:t>
      </w:r>
      <w:r>
        <w:rPr>
          <w:lang w:val="ru"/>
        </w:rPr>
        <w:t xml:space="preserve"> В 2022 г. НРЛ успешно прошла сертификацию ISO 15189. </w:t>
      </w:r>
    </w:p>
    <w:p w14:paraId="3B11386D" w14:textId="77777777" w:rsidR="00086663" w:rsidRPr="005567E5" w:rsidRDefault="00086663" w:rsidP="00DD5017">
      <w:pPr>
        <w:widowControl w:val="0"/>
        <w:spacing w:line="240" w:lineRule="auto"/>
        <w:jc w:val="both"/>
        <w:rPr>
          <w:lang w:val="ru-RU"/>
        </w:rPr>
      </w:pPr>
      <w:r>
        <w:rPr>
          <w:lang w:val="ru"/>
        </w:rPr>
        <w:t>ИСУЛД</w:t>
      </w:r>
      <w:r w:rsidRPr="00BA7829">
        <w:rPr>
          <w:lang w:val="ru"/>
        </w:rPr>
        <w:t xml:space="preserve"> в настоящее время внедрен</w:t>
      </w:r>
      <w:r>
        <w:rPr>
          <w:lang w:val="ru"/>
        </w:rPr>
        <w:t>а</w:t>
      </w:r>
      <w:r w:rsidRPr="00BA7829">
        <w:rPr>
          <w:lang w:val="ru"/>
        </w:rPr>
        <w:t xml:space="preserve"> во всех противотуберкулезных лабораториях стран</w:t>
      </w:r>
      <w:r>
        <w:rPr>
          <w:lang w:val="ru"/>
        </w:rPr>
        <w:t xml:space="preserve">ы. </w:t>
      </w:r>
      <w:r w:rsidRPr="00BA7829">
        <w:rPr>
          <w:lang w:val="ru"/>
        </w:rPr>
        <w:t>Синхронизация</w:t>
      </w:r>
      <w:r>
        <w:rPr>
          <w:lang w:val="ru"/>
        </w:rPr>
        <w:t xml:space="preserve"> ИСУЛД</w:t>
      </w:r>
      <w:r w:rsidRPr="00BA7829">
        <w:rPr>
          <w:lang w:val="ru"/>
        </w:rPr>
        <w:t xml:space="preserve"> с Национальным регистром туберкулеза </w:t>
      </w:r>
      <w:r>
        <w:rPr>
          <w:lang w:val="ru"/>
        </w:rPr>
        <w:t xml:space="preserve">направлена на </w:t>
      </w:r>
      <w:r w:rsidRPr="00BA7829">
        <w:rPr>
          <w:lang w:val="ru"/>
        </w:rPr>
        <w:t>обеспечение интегрированного управления данными пациентов, охватывая как клинические, так и лабораторные компоненты</w:t>
      </w:r>
      <w:r>
        <w:rPr>
          <w:lang w:val="ru"/>
        </w:rPr>
        <w:t>. Планируется дальнейшее расширение внедрения ИСУЛД по всей стране с уделением особого внимания сети ПМСП.</w:t>
      </w:r>
    </w:p>
    <w:p w14:paraId="487ACBAF" w14:textId="77777777" w:rsidR="005B166B" w:rsidRDefault="005B166B" w:rsidP="00DD5017">
      <w:pPr>
        <w:widowControl w:val="0"/>
        <w:spacing w:line="240" w:lineRule="auto"/>
        <w:jc w:val="both"/>
        <w:rPr>
          <w:lang w:val="ru"/>
        </w:rPr>
      </w:pPr>
      <w:r w:rsidRPr="005B166B">
        <w:rPr>
          <w:lang w:val="ru"/>
        </w:rPr>
        <w:t>Критической проблемой с диагностикой туберкулеза и ТЛЧ в Кыргызстане является большая сеть микроскопических лабораторий и только один сайт (НРЛ), который покрывает общие потребности страны в гарантированном качестве ТЛЧ. Отсутствие межрегиональной лаборатории в отдаленных регионах препятствует национальным усилиям по ликвидации туберкулеза. Грант Глобального Фонда 2021–2023 поддерживает специалистов лабораторий и закупку лабораторных реагентов для тестирования. В рамках экономии планируется закупить лабораторный модуль для Ошского ОЦБТ в 2023 году (GIZ обеспечивает техническую помощь через специалистов СРЛ Гаутинг). Из-за заключения ДГСЭН относительно обеспечения биобезопасности близлежащих жилых строений (50м вместо регламентированных 300) проект поставлен на паузу, но НТП в данный момент занимается решением данного вопроса (установка высокого уровня HEPA фильтров).</w:t>
      </w:r>
    </w:p>
    <w:p w14:paraId="4E1EB460" w14:textId="3311AF31" w:rsidR="00086663" w:rsidRPr="005567E5" w:rsidRDefault="00086663" w:rsidP="00DD5017">
      <w:pPr>
        <w:widowControl w:val="0"/>
        <w:spacing w:line="240" w:lineRule="auto"/>
        <w:jc w:val="both"/>
        <w:rPr>
          <w:b/>
          <w:bCs/>
          <w:iCs/>
          <w:lang w:val="ru-RU"/>
        </w:rPr>
      </w:pPr>
      <w:r w:rsidRPr="002C3700">
        <w:rPr>
          <w:b/>
          <w:bCs/>
          <w:iCs/>
          <w:lang w:val="ru"/>
        </w:rPr>
        <w:t>Транспортная система биологического материала</w:t>
      </w:r>
    </w:p>
    <w:p w14:paraId="0AFAAE94" w14:textId="77777777" w:rsidR="00086663" w:rsidRPr="00154D66" w:rsidRDefault="00086663" w:rsidP="00DD5017">
      <w:pPr>
        <w:widowControl w:val="0"/>
        <w:spacing w:line="240" w:lineRule="auto"/>
        <w:jc w:val="both"/>
        <w:rPr>
          <w:lang w:val="ru"/>
        </w:rPr>
      </w:pPr>
      <w:r w:rsidRPr="00967FDA">
        <w:rPr>
          <w:lang w:val="ru"/>
        </w:rPr>
        <w:t xml:space="preserve">В настоящее время лабораторная диагностика туберкулеза </w:t>
      </w:r>
      <w:r>
        <w:rPr>
          <w:lang w:val="ru"/>
        </w:rPr>
        <w:t xml:space="preserve">поддерживается </w:t>
      </w:r>
      <w:r w:rsidRPr="00967FDA">
        <w:rPr>
          <w:lang w:val="ru"/>
        </w:rPr>
        <w:t xml:space="preserve">двумя уровнями </w:t>
      </w:r>
      <w:r>
        <w:rPr>
          <w:lang w:val="ru"/>
        </w:rPr>
        <w:t>системы транспортировки образцов</w:t>
      </w:r>
      <w:r w:rsidRPr="00967FDA">
        <w:rPr>
          <w:lang w:val="ru"/>
        </w:rPr>
        <w:t>.</w:t>
      </w:r>
      <w:r>
        <w:rPr>
          <w:lang w:val="ru"/>
        </w:rPr>
        <w:t xml:space="preserve"> Уровень 1 охватывает </w:t>
      </w:r>
      <w:r w:rsidRPr="00967FDA">
        <w:rPr>
          <w:lang w:val="ru"/>
        </w:rPr>
        <w:t xml:space="preserve">центры ПМСП и </w:t>
      </w:r>
      <w:r>
        <w:rPr>
          <w:lang w:val="ru"/>
        </w:rPr>
        <w:t xml:space="preserve">семейной медицины для транспортировки образцов для </w:t>
      </w:r>
      <w:r w:rsidRPr="00967FDA">
        <w:rPr>
          <w:lang w:val="ru"/>
        </w:rPr>
        <w:t>Xpert MTB/R</w:t>
      </w:r>
      <w:r>
        <w:rPr>
          <w:lang w:val="ru"/>
        </w:rPr>
        <w:t xml:space="preserve">IF и </w:t>
      </w:r>
      <w:r w:rsidRPr="00967FDA">
        <w:rPr>
          <w:lang w:val="ru"/>
        </w:rPr>
        <w:t>микроскопии</w:t>
      </w:r>
      <w:r>
        <w:rPr>
          <w:lang w:val="ru"/>
        </w:rPr>
        <w:t xml:space="preserve"> </w:t>
      </w:r>
      <w:r w:rsidRPr="0050289E">
        <w:rPr>
          <w:lang w:val="ru"/>
        </w:rPr>
        <w:t xml:space="preserve">из отдаленных ГСВ и ФАПов. Уровень 2 осуществляется из лабораторий ЦОВП в НРЛ. Модель была опробована в Чуйской и Таласской областях в 2017 г. в рамках проекта USAID </w:t>
      </w:r>
      <w:r w:rsidRPr="0050289E">
        <w:rPr>
          <w:lang w:val="en-GB"/>
        </w:rPr>
        <w:t>Defeat</w:t>
      </w:r>
      <w:r w:rsidRPr="0050289E">
        <w:rPr>
          <w:lang w:val="ru-RU"/>
        </w:rPr>
        <w:t>-</w:t>
      </w:r>
      <w:r w:rsidRPr="0050289E">
        <w:rPr>
          <w:lang w:val="en-GB"/>
        </w:rPr>
        <w:t>TB</w:t>
      </w:r>
      <w:r w:rsidRPr="0050289E">
        <w:rPr>
          <w:lang w:val="ru"/>
        </w:rPr>
        <w:t xml:space="preserve">, а затем развернута по всей стране. Транспортировка мокроты на уровне 1 осуществляется медицинским персоналом, а на уровне 2 – транспортной компанией, с которой был заключен контракт на обеспечение отбора проб не менее двух-трех раз в неделю во всех регионах. </w:t>
      </w:r>
      <w:r w:rsidRPr="0050289E">
        <w:rPr>
          <w:lang w:val="ru-RU"/>
        </w:rPr>
        <w:t>Ранее в</w:t>
      </w:r>
      <w:r w:rsidRPr="0050289E">
        <w:rPr>
          <w:lang w:val="ru"/>
        </w:rPr>
        <w:t xml:space="preserve">се транспортные расходы покрывались Глобальным Фондом, за исключением Таласской и Чуйской области, где они покрывались из республиканского бюджета. </w:t>
      </w:r>
      <w:r>
        <w:rPr>
          <w:lang w:val="ru"/>
        </w:rPr>
        <w:t>Согласно приказу Министерства здравоохранения Кыргызской Республики</w:t>
      </w:r>
      <w:r w:rsidRPr="0050289E">
        <w:rPr>
          <w:lang w:val="ru"/>
        </w:rPr>
        <w:t xml:space="preserve"> транспортировка образцов по всей стране будет</w:t>
      </w:r>
      <w:r w:rsidRPr="00154D66">
        <w:rPr>
          <w:lang w:val="ru"/>
        </w:rPr>
        <w:t xml:space="preserve"> покрываться из гос. бюджета, начиная с 2023.</w:t>
      </w:r>
    </w:p>
    <w:p w14:paraId="6160E142" w14:textId="25A39E59" w:rsidR="00412B33" w:rsidRDefault="00412B33" w:rsidP="00DD5017">
      <w:pPr>
        <w:pStyle w:val="a1"/>
        <w:widowControl w:val="0"/>
        <w:spacing w:line="240" w:lineRule="auto"/>
        <w:jc w:val="both"/>
        <w:rPr>
          <w:b/>
          <w:bCs/>
          <w:color w:val="000000" w:themeColor="text1"/>
          <w:lang w:val="ru-RU"/>
        </w:rPr>
      </w:pPr>
    </w:p>
    <w:p w14:paraId="4420F212" w14:textId="4D69CCD6" w:rsidR="007E2A7A" w:rsidRPr="00DD5017" w:rsidRDefault="00DD5017" w:rsidP="00DD5017">
      <w:pPr>
        <w:pStyle w:val="a1"/>
        <w:widowControl w:val="0"/>
        <w:spacing w:line="240" w:lineRule="auto"/>
        <w:jc w:val="both"/>
        <w:rPr>
          <w:b/>
          <w:bCs/>
          <w:color w:val="000000" w:themeColor="text1"/>
          <w:lang w:val="ru-RU"/>
        </w:rPr>
      </w:pPr>
      <w:r w:rsidRPr="00DD5017">
        <w:rPr>
          <w:b/>
          <w:bCs/>
          <w:color w:val="000000" w:themeColor="text1"/>
          <w:lang w:val="ru-RU"/>
        </w:rPr>
        <w:t>ЖИЗНЕСПОСОБНЫЕ И УСТОЙЧИВЫЕ СИСТЕМЫ ЗДРАВООХРАНЕНИЯ</w:t>
      </w:r>
    </w:p>
    <w:p w14:paraId="7A7C3CC7" w14:textId="64685346" w:rsidR="00D52B7D" w:rsidRPr="00DD5017" w:rsidRDefault="00D52B7D" w:rsidP="00DD5017">
      <w:pPr>
        <w:widowControl w:val="0"/>
        <w:spacing w:line="240" w:lineRule="auto"/>
        <w:jc w:val="both"/>
        <w:rPr>
          <w:lang w:val="ru"/>
        </w:rPr>
      </w:pPr>
      <w:r w:rsidRPr="00DD5017">
        <w:rPr>
          <w:lang w:val="ru"/>
        </w:rPr>
        <w:t xml:space="preserve">Действующая государственная программа здравоохранения Кыргызстана - Программа Правительства Кыргызской Республики по охране здоровья населения и развитию системы </w:t>
      </w:r>
      <w:r w:rsidRPr="00DD5017">
        <w:rPr>
          <w:lang w:val="ru"/>
        </w:rPr>
        <w:lastRenderedPageBreak/>
        <w:t>здравоохранения на 2019-2030 годы "Здоровый человек - процветающая страна"</w:t>
      </w:r>
      <w:r w:rsidRPr="00DD5017">
        <w:rPr>
          <w:lang w:val="ru"/>
        </w:rPr>
        <w:footnoteReference w:id="49"/>
      </w:r>
      <w:r w:rsidRPr="00DD5017">
        <w:rPr>
          <w:lang w:val="ru"/>
        </w:rPr>
        <w:t xml:space="preserve"> (далее - "Здоровье 2030") - была утверждена в 2018 году и является продолжением и ускорением амбициозной программы реформ здравоохранения Кыргызстана, начатой в 1996 году</w:t>
      </w:r>
      <w:r w:rsidRPr="00DD5017">
        <w:rPr>
          <w:lang w:val="ru"/>
        </w:rPr>
        <w:footnoteReference w:id="50"/>
      </w:r>
      <w:r w:rsidRPr="00DD5017">
        <w:rPr>
          <w:lang w:val="ru"/>
        </w:rPr>
        <w:t>. Страна получила признание за свои усилия по проведению масштабных реформ системы здравоохранения. Одной из наиболее важных ранних реформ было создание единой системы оплаты медицинских услуг наряду с программой государственных гарантий (ПГГ)</w:t>
      </w:r>
      <w:r w:rsidRPr="00DD5017">
        <w:rPr>
          <w:lang w:val="ru"/>
        </w:rPr>
        <w:footnoteReference w:id="51"/>
      </w:r>
      <w:r w:rsidRPr="00DD5017">
        <w:rPr>
          <w:lang w:val="ru"/>
        </w:rPr>
        <w:t xml:space="preserve">. ПГГ была направлена на предоставление основных услуг ПМСП для всех и бесплатных или льготных больничных услуг для определенных групп населения, определяя при этом права граждан на бесплатное обслуживание. С 2006 года объединение средств осуществляется на национальном уровне (а не на уровне областей), что позволило более справедливо распределить ПГГ и сопутствующую программу дополнительного лекарственного обеспечения для населения (ПДЛО). В результате реформирования системы здравоохранения единым плательщиком за услуги выступил фонд обязательного медицинского страхования (ФОМС), к полномочиям которого относится аккумулирование средств здравоохранения и закупка медицинских услуг, кроме того ФОМС администрирует Программу государственных гарантий и программу дополнительного лекарственного обеспечения для населения, и несет ответственность за управление качеством медицинских услуг и развитие информационных систем в здравоохранении. Полномочия по разработке политики в области здравоохранения и надзору были переданы Министерству здравоохранения Кыргызстана (МЗ), к полномочиям которого также относятся администрирование программ высоких технологий, непосредственное руководство организаций третичного уровня, а также службами (ВИЧ, психиатрия), не вошедшими в систему единого плательщика. </w:t>
      </w:r>
    </w:p>
    <w:p w14:paraId="000D2E13" w14:textId="6BEFE880" w:rsidR="00D52B7D" w:rsidRPr="00DD5017" w:rsidRDefault="00D52B7D" w:rsidP="00DD5017">
      <w:pPr>
        <w:widowControl w:val="0"/>
        <w:spacing w:line="240" w:lineRule="auto"/>
        <w:jc w:val="both"/>
        <w:rPr>
          <w:lang w:val="ru"/>
        </w:rPr>
      </w:pPr>
      <w:r w:rsidRPr="00DD5017">
        <w:rPr>
          <w:lang w:val="ru"/>
        </w:rPr>
        <w:t>Эти усилия также были направлены на переориентацию системы здравоохранения с предоставления дорогостоящей медицинской помощи, ориентированной на лечение заболеваний, на предоставление менее дорогостоящей медицинской помощи, ориентированной на профилактику в рамках ПМСП. Модель семейной медицины была внедрена благодаря созданию Института семейной медицины и общенациональной сети семейных врачей и групповых практик. Сегодня эти пункты обслуживания и структуры служат основой системы ПМСП.</w:t>
      </w:r>
    </w:p>
    <w:p w14:paraId="4C764BAE" w14:textId="3745EBE2" w:rsidR="009A7546" w:rsidRPr="00DD5017" w:rsidRDefault="009A7546" w:rsidP="00DD5017">
      <w:pPr>
        <w:widowControl w:val="0"/>
        <w:spacing w:line="240" w:lineRule="auto"/>
        <w:jc w:val="both"/>
        <w:rPr>
          <w:lang w:val="ru"/>
        </w:rPr>
      </w:pPr>
      <w:r w:rsidRPr="00DD5017">
        <w:rPr>
          <w:lang w:val="ru"/>
        </w:rPr>
        <w:t>Реализация мер по борьбе с ВИЧ и ТБ осуществляется на регулярно обновляемых 5-тилетних программах Правительства страны. На период 2023-2027 гг. впервые разработана и готовится к утверждению Программа Правительства по 2-м заболеваниям, включая ВИЧ и гемоконтактные вирусные гепатиты. В декабре 2022 года Республиканский центр «СПИДа» преобразован в Республиканский центр по контролю за гемоконтактными вирусными гепатитами и ВИЧ</w:t>
      </w:r>
      <w:r w:rsidR="00DA6022">
        <w:rPr>
          <w:lang w:val="ru"/>
        </w:rPr>
        <w:t xml:space="preserve"> (</w:t>
      </w:r>
      <w:r w:rsidR="00DA6022" w:rsidRPr="00DA6022">
        <w:rPr>
          <w:lang w:val="ru"/>
        </w:rPr>
        <w:t>РЦКГВГиВИЧ</w:t>
      </w:r>
      <w:r w:rsidR="00DA6022">
        <w:rPr>
          <w:lang w:val="ru"/>
        </w:rPr>
        <w:t>)</w:t>
      </w:r>
      <w:r w:rsidRPr="00DD5017">
        <w:rPr>
          <w:lang w:val="ru"/>
        </w:rPr>
        <w:t>.</w:t>
      </w:r>
    </w:p>
    <w:p w14:paraId="2D7A49F4" w14:textId="6067BE3E" w:rsidR="009A7546" w:rsidRPr="00ED2ADB" w:rsidRDefault="009A7546" w:rsidP="00DD5017">
      <w:pPr>
        <w:widowControl w:val="0"/>
        <w:spacing w:line="240" w:lineRule="auto"/>
        <w:jc w:val="both"/>
        <w:rPr>
          <w:b/>
          <w:lang w:val="ru-RU"/>
        </w:rPr>
      </w:pPr>
      <w:r w:rsidRPr="00ED2ADB">
        <w:rPr>
          <w:b/>
          <w:lang w:val="ru-RU"/>
        </w:rPr>
        <w:t>Финансирование</w:t>
      </w:r>
    </w:p>
    <w:p w14:paraId="5427446E" w14:textId="4DD21FBC" w:rsidR="00AD24FF" w:rsidRPr="008568B6" w:rsidRDefault="00AD24FF" w:rsidP="008568B6">
      <w:pPr>
        <w:widowControl w:val="0"/>
        <w:spacing w:line="240" w:lineRule="auto"/>
        <w:jc w:val="both"/>
        <w:rPr>
          <w:lang w:val="ru"/>
        </w:rPr>
      </w:pPr>
      <w:r w:rsidRPr="008568B6">
        <w:rPr>
          <w:lang w:val="ru"/>
        </w:rPr>
        <w:t>Общие расходы на здравоохранение в Кыргызстане в течение длительного периода стабильно увеличивались и между 2000 и 2012гг. выросли в семь раз. Уровень государственных расходов на здравоохранение в Кыргызстане варьировался между 10 и 15% от общих государственных расходов в течение периода 1995-2012. В период с 2016 года отмечается снижение расходов на здравоохранение.</w:t>
      </w:r>
    </w:p>
    <w:p w14:paraId="0179126C" w14:textId="37A1C0C4" w:rsidR="00AD24FF" w:rsidRPr="008568B6" w:rsidRDefault="00AD24FF" w:rsidP="008568B6">
      <w:pPr>
        <w:widowControl w:val="0"/>
        <w:spacing w:line="240" w:lineRule="auto"/>
        <w:jc w:val="both"/>
        <w:rPr>
          <w:lang w:val="ru"/>
        </w:rPr>
      </w:pPr>
      <w:r w:rsidRPr="008568B6">
        <w:rPr>
          <w:lang w:val="ru"/>
        </w:rPr>
        <w:t xml:space="preserve">Значительная часть финансирования программ ВИЧ и средств на борьбу с ТБ обеспечивается международными партнерами. В то же время, начиная с 2018 года, реализуя программы перехода на государственное финансирование, стало расширяться финансирование из государственного бюджета. К 2022 году более 80% всей потребности в АРВ-препаратов и диагностике ВИЧ осуществляется из государственных средств, с 2023 года около 300 тыс.$ выделяется на ПТАО, увеличивается закупка противотуберкулезных препаратов. В то же время, дефицит </w:t>
      </w:r>
      <w:r w:rsidRPr="008568B6">
        <w:rPr>
          <w:lang w:val="ru"/>
        </w:rPr>
        <w:lastRenderedPageBreak/>
        <w:t>финансирования государственных программ в сфере ВИЧ и ТБ остается высоким.</w:t>
      </w:r>
    </w:p>
    <w:p w14:paraId="1CC46046" w14:textId="77777777" w:rsidR="00AD24FF" w:rsidRPr="00ED2ADB" w:rsidRDefault="00AD24FF" w:rsidP="00AD24FF">
      <w:pPr>
        <w:jc w:val="both"/>
        <w:rPr>
          <w:b/>
          <w:lang w:val="ru-RU"/>
        </w:rPr>
      </w:pPr>
      <w:r w:rsidRPr="00ED2ADB">
        <w:rPr>
          <w:b/>
          <w:lang w:val="ru-RU"/>
        </w:rPr>
        <w:t>Кадровые ресурсы</w:t>
      </w:r>
    </w:p>
    <w:p w14:paraId="34AE2942" w14:textId="3D27187D" w:rsidR="00AD24FF" w:rsidRPr="008568B6" w:rsidRDefault="00AD24FF" w:rsidP="008568B6">
      <w:pPr>
        <w:widowControl w:val="0"/>
        <w:spacing w:line="240" w:lineRule="auto"/>
        <w:jc w:val="both"/>
        <w:rPr>
          <w:lang w:val="ru"/>
        </w:rPr>
      </w:pPr>
      <w:r w:rsidRPr="008568B6">
        <w:rPr>
          <w:lang w:val="ru"/>
        </w:rPr>
        <w:t>В 2022 году Правительство усилило поддержку здравоохранения</w:t>
      </w:r>
      <w:r w:rsidR="00037F8E" w:rsidRPr="008568B6">
        <w:rPr>
          <w:lang w:val="ru"/>
        </w:rPr>
        <w:t>,</w:t>
      </w:r>
      <w:r w:rsidRPr="008568B6">
        <w:rPr>
          <w:lang w:val="ru"/>
        </w:rPr>
        <w:t xml:space="preserve"> существенно пересмотрены размеры оплаты труда в системе здравоохранения, повысившись на 50-70% от уровня 2021 года, что повлияло на мотивацию медицинских работников и, на фоне снижения привлекательности миграции в РФ, повлияло на удержание кадров. </w:t>
      </w:r>
    </w:p>
    <w:p w14:paraId="1871A76D" w14:textId="74670178" w:rsidR="00AD24FF" w:rsidRPr="008568B6" w:rsidRDefault="00AD24FF" w:rsidP="008568B6">
      <w:pPr>
        <w:widowControl w:val="0"/>
        <w:spacing w:line="240" w:lineRule="auto"/>
        <w:jc w:val="both"/>
        <w:rPr>
          <w:lang w:val="ru"/>
        </w:rPr>
      </w:pPr>
      <w:r w:rsidRPr="008568B6">
        <w:rPr>
          <w:lang w:val="ru"/>
        </w:rPr>
        <w:t>В сфере ВИЧ децентрализация и передача услуг на первичный уровень здравоохранения уже выполнена в большинстве регионов в соответствии с приказом МЗ КР от 31.12.2012 г. № 717 «О внедрении мероприятий по улучшению качества услуг лицам, живущим с ВИЧ»; приказом МЗ КР от 23.12.2016 г. № 923 «О пилотировании децентрализации услуг по ВИЧ-инфекции и институционализации поддерживающей терапии метадоном на уровень оказания первичной медико-социальной помощи». В настоящее время утверждены механизмы по децентрализации услуг ЛЖВ на страновом уровне Приказом МЗ КР №542 от 22.04.2019г. «Об утверждении механизмов децентрализации медицинских услуг лицам, живущим с вирусом иммунодефицита человека в Кыргызской Республике». Услуги по ВИЧ-инфекции оказываются в 53-х учреждениях здравоохранения первичного уровня, кроме города Бишкек и Таласской области. В г.Бишкек, учитывая статус столицы, действует Городско</w:t>
      </w:r>
      <w:r w:rsidR="00BF3B81">
        <w:rPr>
          <w:lang w:val="ru"/>
        </w:rPr>
        <w:t>й центр по борьбе с ВИЧ/СПИДом, а в Таласской области уровень распространенности ВИЧ остается низким, в основном концентрируется в областном центре г.Талас.</w:t>
      </w:r>
    </w:p>
    <w:p w14:paraId="5B30C5A5" w14:textId="2E22DBA7" w:rsidR="00AD24FF" w:rsidRPr="005B166B" w:rsidRDefault="00AD24FF" w:rsidP="005B166B">
      <w:pPr>
        <w:widowControl w:val="0"/>
        <w:spacing w:line="240" w:lineRule="auto"/>
        <w:jc w:val="both"/>
        <w:rPr>
          <w:lang w:val="ru"/>
        </w:rPr>
      </w:pPr>
      <w:r w:rsidRPr="008568B6">
        <w:rPr>
          <w:lang w:val="ru"/>
        </w:rPr>
        <w:t>В противотуберкулезной службе Кыргызской Республике согласно данным Нацстаткома насчитывается 256 врачей фтизиатров, большая часть которых базируется в организациях первичного звена и оказывают услуги по выявлению и амбулаторному лечению туберкулеза на уровне ПМСМ. Национальная противотуберкулезная служба представлена сетью медицинских организаций как третичного, так и вторичного и первичного уровней. Национальный центр фтизиатрии является головной организацией по туберкулезу. В республике имеются специализированные больницы для предоставления стационарной помощи больным ТБ. На первичном уровне ТБ услуги оказываются в 65 противотуберкулезных кабинетах для ведения пациентов на амбулаторном этапе.</w:t>
      </w:r>
      <w:r w:rsidR="005B166B">
        <w:rPr>
          <w:lang w:val="ru"/>
        </w:rPr>
        <w:t xml:space="preserve"> </w:t>
      </w:r>
      <w:r w:rsidR="00B94911" w:rsidRPr="008568B6">
        <w:rPr>
          <w:lang w:val="ru"/>
        </w:rPr>
        <w:t xml:space="preserve"> </w:t>
      </w:r>
      <w:r w:rsidR="00DD2CBF">
        <w:rPr>
          <w:lang w:val="ru"/>
        </w:rPr>
        <w:t xml:space="preserve">План действий </w:t>
      </w:r>
      <w:r w:rsidR="005B166B" w:rsidRPr="005B166B">
        <w:rPr>
          <w:lang w:val="ru"/>
        </w:rPr>
        <w:t>по оптимизации системы оказания противот</w:t>
      </w:r>
      <w:r w:rsidR="00DD2CBF">
        <w:rPr>
          <w:lang w:val="ru"/>
        </w:rPr>
        <w:t xml:space="preserve">уберкулезной </w:t>
      </w:r>
      <w:r w:rsidR="005B166B" w:rsidRPr="005B166B">
        <w:rPr>
          <w:lang w:val="ru"/>
        </w:rPr>
        <w:t>помощи населению Кыргызской Республики на 2017-2026 годы</w:t>
      </w:r>
      <w:r w:rsidR="00DD2CBF">
        <w:rPr>
          <w:rStyle w:val="aff1"/>
          <w:lang w:val="ru"/>
        </w:rPr>
        <w:footnoteReference w:id="52"/>
      </w:r>
      <w:r w:rsidR="00DD2CBF">
        <w:rPr>
          <w:lang w:val="ru"/>
        </w:rPr>
        <w:t xml:space="preserve"> </w:t>
      </w:r>
      <w:r w:rsidR="005B166B" w:rsidRPr="005B166B">
        <w:rPr>
          <w:lang w:val="ru"/>
        </w:rPr>
        <w:t>предусматривает сокращение коек в противотуберкулезных стационарах. В 2021 году, согласно данному документу, были сокращены 400 коек по всей стране: в 5 регионах полностью закрыты больницы и сокращены койки в некоторых больницах в связи с невыполнением койко-дня. В 2022 году в НЦФ совместно с ГФ/ПРООН был разработаны и приняты «План по улучшению достижения программных индикаторов по ТБ компоненту на 2022-2023 гг.» и «План по расширению амбулаторного лечения туберкулеза в Кыргызской Республике на 2022–2023 гг.».</w:t>
      </w:r>
    </w:p>
    <w:p w14:paraId="791B203E" w14:textId="77777777" w:rsidR="00AD24FF" w:rsidRPr="00ED2ADB" w:rsidRDefault="00AD24FF" w:rsidP="00AD24FF">
      <w:pPr>
        <w:jc w:val="both"/>
        <w:rPr>
          <w:b/>
          <w:lang w:val="ru-RU"/>
        </w:rPr>
      </w:pPr>
      <w:r w:rsidRPr="00ED2ADB">
        <w:rPr>
          <w:b/>
          <w:lang w:val="ru-RU"/>
        </w:rPr>
        <w:t>Пенитенциарная система</w:t>
      </w:r>
    </w:p>
    <w:p w14:paraId="20B0F631" w14:textId="77777777" w:rsidR="00AD24FF" w:rsidRPr="008568B6" w:rsidRDefault="00AD24FF" w:rsidP="008568B6">
      <w:pPr>
        <w:widowControl w:val="0"/>
        <w:spacing w:line="240" w:lineRule="auto"/>
        <w:jc w:val="both"/>
        <w:rPr>
          <w:lang w:val="ru"/>
        </w:rPr>
      </w:pPr>
      <w:r w:rsidRPr="008568B6">
        <w:rPr>
          <w:lang w:val="ru"/>
        </w:rPr>
        <w:t xml:space="preserve">Государственная служба исполнения наказаний в своей структуре имеет самостоятельную медицинскую службу, которая обслуживает все население исправительных учреждений. Финансирование медицинской службы ГСИН осуществляется в рамках общего бюджета ГСИН из республиканского бюджета. Программы Правительства в сфере ВИЧ и ТБ включают мероприятия в отношении лиц, находящихся в заключении, лекарственные средства для лечения ВИЧ и ТБ, средства диагностики предоставляются через противотуберкулезную службу и службы СПИДа. При необходимости, все заключенные могут получать медицинскую помощь в гражданских ОЗ по потребности в квалифицированной и специализированной медицинской помощи.  При этом, специалисты центров СПИД и туберкулезной службы координируют лечение ЛЖВ и больных туберкулезом в местах лишения свободы и консультируют ЛЖВ, ТБ заключенных. </w:t>
      </w:r>
    </w:p>
    <w:p w14:paraId="3FE17F75" w14:textId="77777777" w:rsidR="00AD24FF" w:rsidRPr="008568B6" w:rsidRDefault="00AD24FF" w:rsidP="008568B6">
      <w:pPr>
        <w:jc w:val="both"/>
        <w:rPr>
          <w:b/>
          <w:lang w:val="ru-RU"/>
        </w:rPr>
      </w:pPr>
      <w:r w:rsidRPr="008568B6">
        <w:rPr>
          <w:b/>
          <w:lang w:val="ru-RU"/>
        </w:rPr>
        <w:t>Системы сбора данных</w:t>
      </w:r>
    </w:p>
    <w:p w14:paraId="48E3742F" w14:textId="2505304E" w:rsidR="00AD24FF" w:rsidRPr="008568B6" w:rsidRDefault="00AD24FF" w:rsidP="008568B6">
      <w:pPr>
        <w:widowControl w:val="0"/>
        <w:spacing w:line="240" w:lineRule="auto"/>
        <w:jc w:val="both"/>
        <w:rPr>
          <w:lang w:val="ru"/>
        </w:rPr>
      </w:pPr>
      <w:r w:rsidRPr="008568B6">
        <w:rPr>
          <w:lang w:val="ru"/>
        </w:rPr>
        <w:t xml:space="preserve">Данные по ситуации в сфере ВИЧ регулярно обновляются на сайте </w:t>
      </w:r>
      <w:r w:rsidR="00B94911" w:rsidRPr="008568B6">
        <w:rPr>
          <w:lang w:val="ru"/>
        </w:rPr>
        <w:t>РЦКГВГиВИЧ</w:t>
      </w:r>
      <w:r w:rsidRPr="008568B6">
        <w:rPr>
          <w:lang w:val="ru"/>
        </w:rPr>
        <w:t xml:space="preserve">, предоставляются по запросу заинтересованных сторон. Одновременно, при поддержке международных организаций, проводится оценка исполнения государственных программ. Данные по расходам ВИЧ </w:t>
      </w:r>
      <w:r w:rsidRPr="008568B6">
        <w:rPr>
          <w:lang w:val="ru"/>
        </w:rPr>
        <w:lastRenderedPageBreak/>
        <w:t xml:space="preserve">предоставляются в национальном отчете GARP </w:t>
      </w:r>
      <w:r w:rsidR="00B94911" w:rsidRPr="008568B6">
        <w:rPr>
          <w:lang w:val="ru"/>
        </w:rPr>
        <w:t>и национальных</w:t>
      </w:r>
      <w:r w:rsidRPr="008568B6">
        <w:rPr>
          <w:lang w:val="ru"/>
        </w:rPr>
        <w:t xml:space="preserve"> счетах ВИЧ. С 2019 года данные по расходам в сфере ВИЧ отражаются в программном бюджете министерства здравоохранения тремя строками - общие расходы на службу СПИДа, расходы на закупку лекарственных средств, ИМН и профилактические программы для ключевых групп.</w:t>
      </w:r>
    </w:p>
    <w:p w14:paraId="58ED1041" w14:textId="74290B5B" w:rsidR="00AD24FF" w:rsidRPr="008568B6" w:rsidRDefault="00AD24FF" w:rsidP="008568B6">
      <w:pPr>
        <w:widowControl w:val="0"/>
        <w:spacing w:line="240" w:lineRule="auto"/>
        <w:jc w:val="both"/>
        <w:rPr>
          <w:lang w:val="ru"/>
        </w:rPr>
      </w:pPr>
      <w:r w:rsidRPr="008568B6">
        <w:rPr>
          <w:lang w:val="ru"/>
        </w:rPr>
        <w:t>Для сбора, хранения, обработки и передачи эпидемиологических, лабораторных и клинических данных о всех зарегистрированных случаях ВИЧ-инфекции с целью принятия обоснованных решений в области профилактики и лечения в стране используется система электронного слежения за случаями ВИЧ (система ЭС).</w:t>
      </w:r>
    </w:p>
    <w:p w14:paraId="19957E02" w14:textId="4E63EF60" w:rsidR="00AD24FF" w:rsidRPr="008568B6" w:rsidRDefault="00AD24FF" w:rsidP="008568B6">
      <w:pPr>
        <w:widowControl w:val="0"/>
        <w:spacing w:line="240" w:lineRule="auto"/>
        <w:jc w:val="both"/>
        <w:rPr>
          <w:lang w:val="ru"/>
        </w:rPr>
      </w:pPr>
      <w:r w:rsidRPr="008568B6">
        <w:rPr>
          <w:lang w:val="ru"/>
        </w:rPr>
        <w:t xml:space="preserve">Данная система ЭС позволяет обеспечить полноту и своевременность информации о всех зарегистрированных случаях ВИЧ-инфекции, в том числе о проведении АРТ и ее эффективности, ко-инфекции ТБ/ВИЧ, ППМР, индикаторы состояния здоровья ЛЖВ и стадий ВИЧ-инфекции в разрезе учреждений, области и всей страны. </w:t>
      </w:r>
      <w:r w:rsidR="00B94911" w:rsidRPr="008568B6">
        <w:rPr>
          <w:lang w:val="ru"/>
        </w:rPr>
        <w:t>РЦКГВГиВИЧ</w:t>
      </w:r>
      <w:r w:rsidRPr="008568B6">
        <w:rPr>
          <w:lang w:val="ru"/>
        </w:rPr>
        <w:t xml:space="preserve"> администрирует электронную базу данных по стране, в соответствии с данными, предоставляемыми с пунктов помощи ЛЖВ через областные центры СПИДа. Система установлена и активно используется в 31 учреждени</w:t>
      </w:r>
      <w:r w:rsidR="00E447A2" w:rsidRPr="008568B6">
        <w:rPr>
          <w:lang w:val="ru"/>
        </w:rPr>
        <w:t>и</w:t>
      </w:r>
      <w:r w:rsidRPr="008568B6">
        <w:rPr>
          <w:lang w:val="ru"/>
        </w:rPr>
        <w:t xml:space="preserve"> (9 центров СПИД, 21 ЦСМ и ГСИН). В рамках децентрализации услуг, система электронного слежения должна быть распространена на все сайты оказания услуг для ЛЖВ, что в свою очередь предусматривает оснащение компьютерной техникой и обучение врачей по работе с системой электронного слежения за случаями ВИЧ. Систему электронного слежения за случаями ВИЧ необходимо интегрировать в общую систему электронного здравоохранения, а также внедрить по всей стране модуль учета и прогнозирования АРВ препаратов к КР. Кроме того, в стране во всех ОЗ, предоставляющих услуги в рамках программы поддерживающей терапии метадоном (ПТМ), включая систему ГСИН, используется электронный регистр заместительной терапии (ЭРЗПТ). Регистр позволяет проводить мониторинг эффективности терапии, включая контроль назначения/изменения дозировок метадона; контроль употребления нелегальных ПАВ; мониторинг пропусков приема препарата; своевременное получение информации о состоянии здоровья пациентов (сопутствующие заболевания, включая ВИЧ, ТБ, ВГВ, ВГС); Республиканский центр психиатрии и наркологии администрирует ЭРЗПТ и осуществляет контроль качества данных и мониторинг работы ОЗ. ЭРЗПТ также необходимо интегрировать в систему в общую систему электронного здравоохранения и возможности ЭРЗПТ можно использовать для прогнозирования расходов метадона.</w:t>
      </w:r>
    </w:p>
    <w:p w14:paraId="170FD7E3" w14:textId="77777777" w:rsidR="00AD24FF" w:rsidRPr="008568B6" w:rsidRDefault="00AD24FF" w:rsidP="008568B6">
      <w:pPr>
        <w:widowControl w:val="0"/>
        <w:spacing w:line="240" w:lineRule="auto"/>
        <w:jc w:val="both"/>
        <w:rPr>
          <w:lang w:val="ru"/>
        </w:rPr>
      </w:pPr>
      <w:r w:rsidRPr="008568B6">
        <w:rPr>
          <w:lang w:val="ru"/>
        </w:rPr>
        <w:t>В ТБ службе по аналогии с системой электронного слежения за ВИЧ в системе ТБ службы разработана электронная база данных, но она не внедрена повсеместно и не интегрирована с системой отчетности Нацстаткома. Кроме этого, необходимо обеспечить возможность обмена и анализа информацией между информационными системами ВИЧ и ТБ для принятия своевременных решений и оказания эффективных интегрированных услуг.</w:t>
      </w:r>
    </w:p>
    <w:p w14:paraId="55D9EC0A" w14:textId="77777777" w:rsidR="00AD24FF" w:rsidRPr="00ED2ADB" w:rsidRDefault="00AD24FF" w:rsidP="00AD24FF">
      <w:pPr>
        <w:jc w:val="both"/>
        <w:rPr>
          <w:b/>
          <w:lang w:val="ru-RU"/>
        </w:rPr>
      </w:pPr>
      <w:r w:rsidRPr="00ED2ADB">
        <w:rPr>
          <w:b/>
          <w:lang w:val="ru-RU"/>
        </w:rPr>
        <w:t>Услуги профилактических программ</w:t>
      </w:r>
    </w:p>
    <w:p w14:paraId="24412DE7" w14:textId="52B24B60" w:rsidR="00AD24FF" w:rsidRPr="008568B6" w:rsidRDefault="00AD24FF" w:rsidP="008568B6">
      <w:pPr>
        <w:widowControl w:val="0"/>
        <w:spacing w:line="240" w:lineRule="auto"/>
        <w:jc w:val="both"/>
        <w:rPr>
          <w:lang w:val="ru"/>
        </w:rPr>
      </w:pPr>
      <w:r w:rsidRPr="008568B6">
        <w:rPr>
          <w:lang w:val="ru"/>
        </w:rPr>
        <w:t xml:space="preserve">Компонент лечения ВИЧ и ТБ </w:t>
      </w:r>
      <w:r w:rsidR="00E447A2" w:rsidRPr="008568B6">
        <w:rPr>
          <w:lang w:val="ru"/>
        </w:rPr>
        <w:t>в значительной мере</w:t>
      </w:r>
      <w:r w:rsidRPr="008568B6">
        <w:rPr>
          <w:lang w:val="ru"/>
        </w:rPr>
        <w:t xml:space="preserve"> интегрирован на первичный уровень, но профилактические программы в основном осуществляются через НПО, которые не являлись до последнего времени частью интегрированных услуг на уровень первичной медико-санитарной помощи населению. Механизмы предоставления услуг через государственный социальный заказ в системе здравоохранения внедряются в сфере ВИЧ с 2018 года и начинают в 2023 году внедряться в сферу услуг в связи с ТБ.</w:t>
      </w:r>
      <w:r w:rsidR="00DD2CBF">
        <w:rPr>
          <w:lang w:val="ru"/>
        </w:rPr>
        <w:t xml:space="preserve"> В то же время, несмотря на выделение средств из государственного бюджета на социальное контрактирование для программ ВИЧ, привлекательность проектов в рамках ГСЗ остается низкий, так как заработные платы в данных проектах низкие, отсутствуют утвержденные нормативы услуг в данной области, не разработаны механизмы обеспечения конфиденциальности клиентов программ, НПО не имеют практики работы с государственными органами. Одновременно, бюджетный цикл, когда финансирование выделяется на ежегодной основе и в основном конкурсы могут быть проведены в апреле-мае и проекты должны завершиться в декабре, создает высокие риски для прерывания услуг.</w:t>
      </w:r>
    </w:p>
    <w:p w14:paraId="738AAA77" w14:textId="77777777" w:rsidR="00AD24FF" w:rsidRPr="00ED2ADB" w:rsidRDefault="00AD24FF" w:rsidP="00AD24FF">
      <w:pPr>
        <w:jc w:val="both"/>
        <w:rPr>
          <w:b/>
          <w:lang w:val="ru-RU"/>
        </w:rPr>
      </w:pPr>
      <w:r w:rsidRPr="00ED2ADB">
        <w:rPr>
          <w:b/>
          <w:lang w:val="ru-RU"/>
        </w:rPr>
        <w:t>Обеспечение ЛС и ИМН</w:t>
      </w:r>
    </w:p>
    <w:p w14:paraId="29BA963C" w14:textId="094B8827" w:rsidR="00AD24FF" w:rsidRPr="008568B6" w:rsidRDefault="00AD24FF" w:rsidP="008568B6">
      <w:pPr>
        <w:widowControl w:val="0"/>
        <w:spacing w:line="240" w:lineRule="auto"/>
        <w:jc w:val="both"/>
        <w:rPr>
          <w:lang w:val="ru"/>
        </w:rPr>
      </w:pPr>
      <w:r w:rsidRPr="008568B6">
        <w:rPr>
          <w:lang w:val="ru"/>
        </w:rPr>
        <w:t xml:space="preserve">Начиная с 2019 года расширяется государственная закупка АРВ-препаратов, тестов и реагентов в сфере ВИЧ. Более 80% в потребности покрывается за счет государственного бюджета. В 2022 году </w:t>
      </w:r>
      <w:r w:rsidRPr="008568B6">
        <w:rPr>
          <w:lang w:val="ru"/>
        </w:rPr>
        <w:lastRenderedPageBreak/>
        <w:t>выделены дополнительные средства и расширена государственная закупка ПТП 2-го ряда. Для создания благоприятных условий были утверждены планы перехода на государственное финансирование программ в сфере ВИЧ и ТБ, в 2018 году пересмотрены ПЖВЛС, регулярно обновляются клинические протоколы лечения. Обращение ЛС и ИМН в Кыргызской Республике регулируется законом «Об обращении лекарственных средств» и «Об обращении изделий медицинского назначения». Данные законы были пересмотрены и приняты парламентом страны в 2018 году. Они предусматривают ряд возможностей для расширения доступа ЛС на рынок, включая ускоренную регистрацию ЛС из стран с сильной регуляторной практикой, освобождение от уплаты сборов лекарств для лечения социально-значимых заболеваний, допуск на рынок препаратов без регистрации решением комиссии, определяемой Правительством. Применение этих возможностей в отношении регистрации АРВ-препаратов позволило существенно расширить перечень доступных на местном рынке АРВ-препаратов с высоким качеством</w:t>
      </w:r>
      <w:r w:rsidR="006C2FCF" w:rsidRPr="008568B6">
        <w:rPr>
          <w:lang w:val="ru"/>
        </w:rPr>
        <w:t xml:space="preserve">, что, в свою очередь, </w:t>
      </w:r>
      <w:r w:rsidRPr="008568B6">
        <w:rPr>
          <w:lang w:val="ru"/>
        </w:rPr>
        <w:t>позволило добиться значительного снижения стоимости при государственных закупках АРВ-препаратов. В то же время, в 2021 году вступила в силу Единая лекарственная политика стран ЕАЭС, что существенно снизило возможности регистрации новых препаратов и создало высокие риски перерегистрации имеющихся препаратов. Для преодоления данных рисков пересматривается закон «Об обращении лекарственных средств» и Правительство издало постановление, позволяющее вернуть национальные процедуры регистрации в отношении стратегических и жизненно-важных лекарственных средств.</w:t>
      </w:r>
    </w:p>
    <w:p w14:paraId="76225123" w14:textId="77777777" w:rsidR="00AD24FF" w:rsidRPr="008568B6" w:rsidRDefault="00AD24FF" w:rsidP="008568B6">
      <w:pPr>
        <w:widowControl w:val="0"/>
        <w:spacing w:line="240" w:lineRule="auto"/>
        <w:jc w:val="both"/>
        <w:rPr>
          <w:lang w:val="ru"/>
        </w:rPr>
      </w:pPr>
      <w:r w:rsidRPr="008568B6">
        <w:rPr>
          <w:lang w:val="ru"/>
        </w:rPr>
        <w:t>В 2022 году был повторно пересмотрен закон «О государственных закупках», позволяющий осуществлять закупки жизненно-важных ЛС через международные платформы. В настоящее время ведется подготовка принятия подзаконных нормативных актов, которые определят механизм закупок ЛС через агентства ООН.</w:t>
      </w:r>
    </w:p>
    <w:p w14:paraId="2B1F4F91" w14:textId="77777777" w:rsidR="00AD24FF" w:rsidRPr="00D737F0" w:rsidRDefault="00AD24FF" w:rsidP="00AD24FF">
      <w:pPr>
        <w:ind w:firstLine="360"/>
        <w:jc w:val="both"/>
        <w:rPr>
          <w:b/>
          <w:lang w:val="ru-RU"/>
        </w:rPr>
      </w:pPr>
      <w:r w:rsidRPr="00D737F0">
        <w:rPr>
          <w:b/>
          <w:lang w:val="ru-RU"/>
        </w:rPr>
        <w:t>Лабораторные системы.</w:t>
      </w:r>
    </w:p>
    <w:p w14:paraId="6B3C335B" w14:textId="276D0E0A" w:rsidR="00AD24FF" w:rsidRPr="008568B6" w:rsidRDefault="00AD24FF" w:rsidP="008568B6">
      <w:pPr>
        <w:widowControl w:val="0"/>
        <w:spacing w:line="240" w:lineRule="auto"/>
        <w:jc w:val="both"/>
        <w:rPr>
          <w:lang w:val="ru"/>
        </w:rPr>
      </w:pPr>
      <w:r w:rsidRPr="008568B6">
        <w:rPr>
          <w:lang w:val="ru"/>
        </w:rPr>
        <w:t>В Кыргызской Республике функционируют национальный, областной и районные уровни лабораторий по диагностике ВИЧ-инфекции и туберкулеза. В контексте поставленных задач используются современные лабораторные методы определения ВИЧ-статуса и слежения за течением ВИЧ-инфекции</w:t>
      </w:r>
      <w:r w:rsidR="00553C5A">
        <w:rPr>
          <w:lang w:val="ru"/>
        </w:rPr>
        <w:t xml:space="preserve"> </w:t>
      </w:r>
      <w:r w:rsidRPr="008568B6">
        <w:rPr>
          <w:lang w:val="ru"/>
        </w:rPr>
        <w:t>(ЭТ, ИФА, ПЦР и т.д.). Повсеместно внедрено совместное использование платформ GeneXpert для диагностики ВИЧ и ТБ в рамках децентрализации услуг на уровень ПМСП. Осуществляется определение лекарственной устойчивости и тропизма ВИЧ методом генотипирования.</w:t>
      </w:r>
    </w:p>
    <w:p w14:paraId="7F8B2769" w14:textId="77777777" w:rsidR="00AD24FF" w:rsidRPr="008568B6" w:rsidRDefault="00AD24FF" w:rsidP="008568B6">
      <w:pPr>
        <w:widowControl w:val="0"/>
        <w:spacing w:line="240" w:lineRule="auto"/>
        <w:jc w:val="both"/>
        <w:rPr>
          <w:lang w:val="ru"/>
        </w:rPr>
      </w:pPr>
      <w:r w:rsidRPr="008568B6">
        <w:rPr>
          <w:lang w:val="ru"/>
        </w:rPr>
        <w:t xml:space="preserve">Стандартизация всех стадий лабораторного процесса (преаналитического, аналитического и постаналитического) и мероприятия по управлению основными элементами системы качества реализовывается во всех лабораториях в соответствии с типовым «Сборником стандартных операционных процедур по лабораторной диагностике ВИЧ-инфекции» (Приказ МЗ № 637 от 26.11.14 г.). </w:t>
      </w:r>
    </w:p>
    <w:p w14:paraId="1873E301" w14:textId="663CE79A" w:rsidR="00AD24FF" w:rsidRPr="008568B6" w:rsidRDefault="00553C5A" w:rsidP="008568B6">
      <w:pPr>
        <w:widowControl w:val="0"/>
        <w:spacing w:line="240" w:lineRule="auto"/>
        <w:jc w:val="both"/>
        <w:rPr>
          <w:lang w:val="ru"/>
        </w:rPr>
      </w:pPr>
      <w:r w:rsidRPr="00320D42">
        <w:rPr>
          <w:rFonts w:cstheme="minorHAnsi"/>
          <w:lang w:val="ru-RU"/>
        </w:rPr>
        <w:t>РЦКГВГиВИЧ</w:t>
      </w:r>
      <w:r w:rsidR="00AD24FF" w:rsidRPr="008568B6">
        <w:rPr>
          <w:lang w:val="ru"/>
        </w:rPr>
        <w:t xml:space="preserve"> ежегодно проводит оценку выполнения алгоритма диагностики ВИЧ в 34 ЛДВ республики, в пунктах ЭТ НПО, мобильных пунктах и отделениях родовспоможения. Отчёты по результатам оценки доводятся до сведения руководства областных и городского ЦПБС, сотрудников лабораторий и других заинтересованных сторон, что является основанием для принятия мер по улучшению диагностики ВИЧ-инфекции. Ежегодно лаборатория </w:t>
      </w:r>
      <w:r w:rsidR="005C3203" w:rsidRPr="00320D42">
        <w:rPr>
          <w:rFonts w:cstheme="minorHAnsi"/>
          <w:lang w:val="ru-RU"/>
        </w:rPr>
        <w:t>РЦКГВГиВИЧ</w:t>
      </w:r>
      <w:r w:rsidR="00AD24FF" w:rsidRPr="008568B6">
        <w:rPr>
          <w:lang w:val="ru"/>
        </w:rPr>
        <w:t xml:space="preserve"> принимает участие в международных программах ВОК.</w:t>
      </w:r>
    </w:p>
    <w:p w14:paraId="30D85A95" w14:textId="3D84FB84" w:rsidR="00AD24FF" w:rsidRPr="008568B6" w:rsidRDefault="00AD24FF" w:rsidP="008568B6">
      <w:pPr>
        <w:widowControl w:val="0"/>
        <w:spacing w:line="240" w:lineRule="auto"/>
        <w:jc w:val="both"/>
        <w:rPr>
          <w:lang w:val="ru"/>
        </w:rPr>
      </w:pPr>
      <w:r w:rsidRPr="008568B6">
        <w:rPr>
          <w:lang w:val="ru"/>
        </w:rPr>
        <w:t xml:space="preserve">В рамках контроля и обеспечения качества за диагностикой ВИЧ в стране разработаны и утверждены ряд нормативных документов. Приказ МЗ КР №530 от 17.04.2019г. «Об утверждении Программы экспресс-тестирования на ВИЧ в Кыргызской Республике», приказ МЗ КР №728 от 28.06.2019г. «Об утверждении «Методического руководства по экспресс-тестированию на ВИЧ-инфекцию в Кыргызской Республике», «Руководства по сертификации специалистов и организаций, выполняющих экспресс-тестирование на ВИЧ-инфекцию в Кыргызской Республике» и «Сборника стандартных операционных процедур по экспресс-тестированию на ВИЧ-инфекцию в Кыргызской Республике». Существующая национальная программа ВОК на период 2018 – 2019 годов проводится в рамках кооперационного соглашения </w:t>
      </w:r>
      <w:r w:rsidR="005C3203" w:rsidRPr="00320D42">
        <w:rPr>
          <w:rFonts w:cstheme="minorHAnsi"/>
          <w:lang w:val="ru-RU"/>
        </w:rPr>
        <w:t>РЦКГВГиВИЧ</w:t>
      </w:r>
      <w:r w:rsidR="005C3203" w:rsidRPr="003F46D5" w:rsidDel="00320D42">
        <w:rPr>
          <w:rFonts w:cstheme="minorHAnsi"/>
          <w:lang w:val="ru-RU"/>
        </w:rPr>
        <w:t xml:space="preserve"> </w:t>
      </w:r>
      <w:r w:rsidR="005C3203">
        <w:rPr>
          <w:rFonts w:cstheme="minorHAnsi"/>
          <w:lang w:val="ru-RU"/>
        </w:rPr>
        <w:t xml:space="preserve">(на момент подписания соглашения – </w:t>
      </w:r>
      <w:r w:rsidRPr="008568B6">
        <w:rPr>
          <w:lang w:val="ru"/>
        </w:rPr>
        <w:t>РЦ СПИД МЗ КР</w:t>
      </w:r>
      <w:r w:rsidR="005C3203">
        <w:rPr>
          <w:lang w:val="ru"/>
        </w:rPr>
        <w:t>)</w:t>
      </w:r>
      <w:r w:rsidRPr="008568B6">
        <w:rPr>
          <w:lang w:val="ru"/>
        </w:rPr>
        <w:t xml:space="preserve"> и CDC (США) и охватывает 25% всех существующих сайтов/пунктов </w:t>
      </w:r>
      <w:r w:rsidRPr="008568B6">
        <w:rPr>
          <w:lang w:val="ru"/>
        </w:rPr>
        <w:lastRenderedPageBreak/>
        <w:t>ЭТ. Для полноценной реализации программ по ЭТ требуется дополнительное финансирование в рамках гранта ГФ.</w:t>
      </w:r>
    </w:p>
    <w:p w14:paraId="7717C8F6" w14:textId="585E1C5D" w:rsidR="00AD24FF" w:rsidRPr="008568B6" w:rsidRDefault="00AD24FF" w:rsidP="008568B6">
      <w:pPr>
        <w:widowControl w:val="0"/>
        <w:spacing w:line="240" w:lineRule="auto"/>
        <w:jc w:val="both"/>
        <w:rPr>
          <w:lang w:val="ru"/>
        </w:rPr>
      </w:pPr>
      <w:r w:rsidRPr="008568B6">
        <w:rPr>
          <w:lang w:val="ru"/>
        </w:rPr>
        <w:t>Не завершена цифровизация и интеграция лабораторной информационной системы по ВИЧ и ТБ в национальные информационные системы здравоохранения.</w:t>
      </w:r>
    </w:p>
    <w:p w14:paraId="66858677" w14:textId="26054FFF" w:rsidR="00AD24FF" w:rsidRPr="008568B6" w:rsidRDefault="00AD24FF" w:rsidP="008568B6">
      <w:pPr>
        <w:widowControl w:val="0"/>
        <w:spacing w:line="240" w:lineRule="auto"/>
        <w:jc w:val="both"/>
        <w:rPr>
          <w:lang w:val="ru"/>
        </w:rPr>
      </w:pPr>
      <w:r w:rsidRPr="008568B6">
        <w:rPr>
          <w:lang w:val="ru"/>
        </w:rPr>
        <w:t>Оснащение лабораторным оборудованием было проведено в 2009-2011 годы за счет проекта KFW. С учетом изнашивание оборудований во всех лабораториях диагностики ВИЧ возникла большая потребность в обновлении и в тех. обслуживании. Техобслуживание лабораторного оборудования не предусмотрен</w:t>
      </w:r>
      <w:r w:rsidR="009146F3">
        <w:rPr>
          <w:lang w:val="ru"/>
        </w:rPr>
        <w:t>о</w:t>
      </w:r>
      <w:r w:rsidRPr="008568B6">
        <w:rPr>
          <w:lang w:val="ru"/>
        </w:rPr>
        <w:t xml:space="preserve"> в рамках государственного бюджета</w:t>
      </w:r>
      <w:r w:rsidR="009146F3">
        <w:rPr>
          <w:lang w:val="ru"/>
        </w:rPr>
        <w:t>, более того, в</w:t>
      </w:r>
      <w:r w:rsidRPr="008568B6">
        <w:rPr>
          <w:lang w:val="ru"/>
        </w:rPr>
        <w:t xml:space="preserve"> стране ограничено количество инженеров по обслуживанию лабораторн</w:t>
      </w:r>
      <w:r w:rsidR="009146F3">
        <w:rPr>
          <w:lang w:val="ru"/>
        </w:rPr>
        <w:t>ого</w:t>
      </w:r>
      <w:r w:rsidRPr="008568B6">
        <w:rPr>
          <w:lang w:val="ru"/>
        </w:rPr>
        <w:t xml:space="preserve"> оборудовани</w:t>
      </w:r>
      <w:r w:rsidR="009146F3">
        <w:rPr>
          <w:lang w:val="ru"/>
        </w:rPr>
        <w:t>я</w:t>
      </w:r>
      <w:r w:rsidRPr="008568B6">
        <w:rPr>
          <w:lang w:val="ru"/>
        </w:rPr>
        <w:t xml:space="preserve">. В связи с этим требуется поддержка технического обслуживания лабораторного оборудования с выработкой механизмов финансирования </w:t>
      </w:r>
      <w:r w:rsidR="009146F3">
        <w:rPr>
          <w:lang w:val="ru"/>
        </w:rPr>
        <w:t>из</w:t>
      </w:r>
      <w:r w:rsidRPr="008568B6">
        <w:rPr>
          <w:lang w:val="ru"/>
        </w:rPr>
        <w:t xml:space="preserve"> государственного бюджета и подготовка пула инженеров по обслуживанию лабораторного оборудования для организаций здравоохранения по вопросам ВИЧ и ТБ. </w:t>
      </w:r>
    </w:p>
    <w:p w14:paraId="15850D11" w14:textId="77777777" w:rsidR="00AD24FF" w:rsidRPr="00ED2ADB" w:rsidRDefault="00AD24FF" w:rsidP="00AD24FF">
      <w:pPr>
        <w:jc w:val="both"/>
        <w:rPr>
          <w:b/>
          <w:lang w:val="ru-RU"/>
        </w:rPr>
      </w:pPr>
      <w:r w:rsidRPr="00ED2ADB">
        <w:rPr>
          <w:b/>
          <w:lang w:val="ru-RU"/>
        </w:rPr>
        <w:t>Укрепление систем сообществ</w:t>
      </w:r>
    </w:p>
    <w:p w14:paraId="2C5313C7" w14:textId="56E58A00" w:rsidR="00AD24FF" w:rsidRPr="008568B6" w:rsidRDefault="00AD24FF" w:rsidP="008568B6">
      <w:pPr>
        <w:widowControl w:val="0"/>
        <w:spacing w:line="240" w:lineRule="auto"/>
        <w:jc w:val="both"/>
        <w:rPr>
          <w:lang w:val="ru"/>
        </w:rPr>
      </w:pPr>
      <w:r w:rsidRPr="008568B6">
        <w:rPr>
          <w:lang w:val="ru"/>
        </w:rPr>
        <w:t>Неправительственные организации и организации уязвимых сообществ, осуществляющие свою деятельность в сфере ВИЧ и ТБ, занимают значимое место в системе оказания услуг в сфере ВИЧ и ТБ. Более 20 НПО реализуют программы профилактики, ухода и поддержки в связи с ВИЧ и ТБ. Представители сообществ, неправительственного сектора входят в составы СКК, общественных советов при министерствах, участвуют в практически всех рабочих группах по разработке стратегий, политик и нормативно-правовых актов, связанных с вопросами ВИЧ и ТБ. На протяжении нескольких лет осуществляют мониторинг программ с использованием электронных систем документирования нарушения прав REAct, On</w:t>
      </w:r>
      <w:r w:rsidR="00F41BD6">
        <w:t>eI</w:t>
      </w:r>
      <w:r w:rsidRPr="008568B6">
        <w:rPr>
          <w:lang w:val="ru"/>
        </w:rPr>
        <w:t>mpact, pereboi.kg, проводит регулярный мониторинг государственных закупок в сфере ВИЧ и ТБ. При поддержке гражданского сектора инициированы и реализованы ряд ключевых мероприятий, позволяющих обеспечить устойчивость программ, включая пересмотры законодательства в сфере лекарственного обращения, государственных закупок, инициировано внедрение государственного социального заказа и др.</w:t>
      </w:r>
    </w:p>
    <w:p w14:paraId="0A2A8187" w14:textId="7DBA86C8" w:rsidR="00AD24FF" w:rsidRPr="008568B6" w:rsidRDefault="00AD24FF" w:rsidP="008568B6">
      <w:pPr>
        <w:widowControl w:val="0"/>
        <w:spacing w:line="240" w:lineRule="auto"/>
        <w:jc w:val="both"/>
        <w:rPr>
          <w:lang w:val="ru"/>
        </w:rPr>
      </w:pPr>
      <w:r w:rsidRPr="008568B6">
        <w:rPr>
          <w:lang w:val="ru"/>
        </w:rPr>
        <w:t>Законодательство страны предлагает ряд механизмов, которые позволяют расширять участие сообществ в страновых процессах, в том числе действуют законы «О некоммерческих организациях», «Об общественных советах», «О попечительских советах». К большому сожалению, за последние 2 года предпринимается ряд законодательных инициатив, которые могут сузить пространство для работы НПО и несут риск для предоставления услуг в связи с ВИЧ и ТБ. Инициированы изменения в закон «О некоммерческих организациях», что может привести к закрытию ряда организаций, также предложено аннулировать закон «Об общественных советах», что исключит возможности вовлечения гражданского сектора в управлении системами здравоохранения. В данном контексте необходимо предусмотреть меры по улучшению организационного развития НПО, которые снизят риск их закрытия и расширить участие и роль СКК в реализации программ здравоохранения</w:t>
      </w:r>
      <w:r w:rsidR="00534139">
        <w:rPr>
          <w:lang w:val="ru"/>
        </w:rPr>
        <w:t xml:space="preserve"> в целом</w:t>
      </w:r>
      <w:r w:rsidRPr="008568B6">
        <w:rPr>
          <w:lang w:val="ru"/>
        </w:rPr>
        <w:t xml:space="preserve">, </w:t>
      </w:r>
      <w:r w:rsidR="00534139">
        <w:rPr>
          <w:lang w:val="ru"/>
        </w:rPr>
        <w:t xml:space="preserve">а </w:t>
      </w:r>
      <w:r w:rsidRPr="008568B6">
        <w:rPr>
          <w:lang w:val="ru"/>
        </w:rPr>
        <w:t>не только в связи с ВИЧ и ТБ.</w:t>
      </w:r>
    </w:p>
    <w:p w14:paraId="1BB7CF6B" w14:textId="77777777" w:rsidR="00AD24FF" w:rsidRPr="008568B6" w:rsidRDefault="00AD24FF" w:rsidP="008568B6">
      <w:pPr>
        <w:widowControl w:val="0"/>
        <w:spacing w:line="240" w:lineRule="auto"/>
        <w:jc w:val="both"/>
        <w:rPr>
          <w:lang w:val="ru"/>
        </w:rPr>
      </w:pPr>
      <w:r w:rsidRPr="008568B6">
        <w:rPr>
          <w:lang w:val="ru"/>
        </w:rPr>
        <w:t xml:space="preserve">В то же время, остается недостаточным потенциал организаций гражданского сектора и сообществ в обеспечении изменений по выявленным проблемам, адвокационный потенциал ограничен отсутствием навыков работы с государственными органами, недостатком знаний механизмов работы государственных органов. Зачастую отсутствует или недостаточна мотивация для адвокационной деятельности. Часть организаций сообществ, например, сообщества трансгендерных людей, являются молодыми и нуждаются в институциональной поддержке. Необходимость обеспечения доступа к молодым представителям ключевых групп требует привлечения в состав организаций молодых сотрудников, что требует последующего обучения и формировании навыков. </w:t>
      </w:r>
    </w:p>
    <w:p w14:paraId="759CF843" w14:textId="77777777" w:rsidR="00AD24FF" w:rsidRPr="008568B6" w:rsidRDefault="00AD24FF" w:rsidP="008568B6">
      <w:pPr>
        <w:widowControl w:val="0"/>
        <w:spacing w:line="240" w:lineRule="auto"/>
        <w:jc w:val="both"/>
        <w:rPr>
          <w:lang w:val="ru"/>
        </w:rPr>
      </w:pPr>
      <w:r w:rsidRPr="008568B6">
        <w:rPr>
          <w:lang w:val="ru"/>
        </w:rPr>
        <w:t xml:space="preserve">Одновременно, необходимость эффективного использования государственных и донорских средств, улучшения качества услуг, требует более глубокого подхода в проведении исследований и мониторинга закупок, качества оказания услуг. Результаты данных исследований могут быть основой для государственных органов в осуществлении изменений. </w:t>
      </w:r>
    </w:p>
    <w:p w14:paraId="21ED0B9E" w14:textId="77777777" w:rsidR="00AD24FF" w:rsidRPr="009A7546" w:rsidRDefault="00AD24FF" w:rsidP="00AD24FF">
      <w:pPr>
        <w:jc w:val="both"/>
        <w:rPr>
          <w:sz w:val="20"/>
          <w:lang w:val="ru-RU"/>
        </w:rPr>
      </w:pPr>
    </w:p>
    <w:p w14:paraId="1DE367D2" w14:textId="1F6F7CC0" w:rsidR="00AD24FF" w:rsidRDefault="00AD24FF" w:rsidP="00AD24FF">
      <w:pPr>
        <w:pStyle w:val="a1"/>
        <w:numPr>
          <w:ilvl w:val="1"/>
          <w:numId w:val="12"/>
        </w:numPr>
        <w:jc w:val="both"/>
        <w:rPr>
          <w:color w:val="000000" w:themeColor="text1"/>
          <w:lang w:val="ru-RU"/>
        </w:rPr>
      </w:pPr>
      <w:r w:rsidRPr="005F7204">
        <w:rPr>
          <w:b/>
          <w:color w:val="000000" w:themeColor="text1"/>
          <w:lang w:val="ru-RU"/>
        </w:rPr>
        <w:lastRenderedPageBreak/>
        <w:t xml:space="preserve">Требование к направлению использования. </w:t>
      </w:r>
      <w:r w:rsidRPr="005F7204">
        <w:rPr>
          <w:color w:val="000000" w:themeColor="text1"/>
          <w:lang w:val="ru-RU"/>
        </w:rPr>
        <w:t xml:space="preserve">Расскажите, как в заявке на финансирование соблюдается требование к направлению использования согласно Письму о финансировании. </w:t>
      </w:r>
      <w:r w:rsidRPr="00BA04F1">
        <w:rPr>
          <w:i/>
          <w:iCs/>
          <w:color w:val="EE0C3D" w:themeColor="accent1"/>
          <w:sz w:val="20"/>
          <w:szCs w:val="20"/>
          <w:lang w:val="ru-RU"/>
        </w:rPr>
        <w:t>0,5 страниц</w:t>
      </w:r>
      <w:r w:rsidR="00BA04F1">
        <w:rPr>
          <w:i/>
          <w:iCs/>
          <w:color w:val="EE0C3D" w:themeColor="accent1"/>
          <w:sz w:val="20"/>
          <w:szCs w:val="20"/>
          <w:lang w:val="ru-RU"/>
        </w:rPr>
        <w:t>ы</w:t>
      </w:r>
    </w:p>
    <w:p w14:paraId="38129857" w14:textId="57B37B72" w:rsidR="00AD24FF" w:rsidRPr="00BA04F1" w:rsidRDefault="00AD24FF" w:rsidP="00BA04F1">
      <w:pPr>
        <w:widowControl w:val="0"/>
        <w:spacing w:line="240" w:lineRule="auto"/>
        <w:jc w:val="both"/>
        <w:rPr>
          <w:lang w:val="ru"/>
        </w:rPr>
      </w:pPr>
      <w:r w:rsidRPr="00BA04F1">
        <w:rPr>
          <w:lang w:val="ru"/>
        </w:rPr>
        <w:t>В заявке на финансирование в полной мере учтены все рекомендации письма ГФ о финансировании.</w:t>
      </w:r>
    </w:p>
    <w:p w14:paraId="1B93A4C6" w14:textId="47181001" w:rsidR="00BA04F1" w:rsidRPr="00BA04F1" w:rsidRDefault="00BA04F1" w:rsidP="00BA04F1">
      <w:pPr>
        <w:widowControl w:val="0"/>
        <w:spacing w:line="240" w:lineRule="auto"/>
        <w:jc w:val="both"/>
        <w:rPr>
          <w:lang w:val="ru"/>
        </w:rPr>
      </w:pPr>
      <w:r>
        <w:rPr>
          <w:lang w:val="ru"/>
        </w:rPr>
        <w:t xml:space="preserve">Более </w:t>
      </w:r>
      <w:r w:rsidRPr="00BA04F1">
        <w:rPr>
          <w:lang w:val="ru"/>
        </w:rPr>
        <w:t xml:space="preserve">50% </w:t>
      </w:r>
      <w:r>
        <w:rPr>
          <w:lang w:val="ru"/>
        </w:rPr>
        <w:t>запрашиваемого в заявке</w:t>
      </w:r>
      <w:r w:rsidRPr="00BA04F1">
        <w:rPr>
          <w:lang w:val="ru"/>
        </w:rPr>
        <w:t xml:space="preserve"> финансирования направлено на мероприятия по борьбе с </w:t>
      </w:r>
      <w:r>
        <w:rPr>
          <w:lang w:val="ru"/>
        </w:rPr>
        <w:t>с ВИЧ и ТБ</w:t>
      </w:r>
      <w:r w:rsidRPr="00BA04F1">
        <w:rPr>
          <w:lang w:val="ru"/>
        </w:rPr>
        <w:t xml:space="preserve"> для ключевых и уязвимых групп населения.</w:t>
      </w:r>
      <w:r>
        <w:rPr>
          <w:lang w:val="ru"/>
        </w:rPr>
        <w:t xml:space="preserve"> Модули по ЖУСЗ</w:t>
      </w:r>
      <w:r w:rsidRPr="00BA04F1">
        <w:rPr>
          <w:lang w:val="ru"/>
        </w:rPr>
        <w:t xml:space="preserve"> направлены на улучшение общих результатов программы для ключевых и уязвимых групп населения. Заявк</w:t>
      </w:r>
      <w:r>
        <w:rPr>
          <w:lang w:val="ru"/>
        </w:rPr>
        <w:t>а</w:t>
      </w:r>
      <w:r w:rsidRPr="00BA04F1">
        <w:rPr>
          <w:lang w:val="ru"/>
        </w:rPr>
        <w:t xml:space="preserve"> включа</w:t>
      </w:r>
      <w:r>
        <w:rPr>
          <w:lang w:val="ru"/>
        </w:rPr>
        <w:t>ет</w:t>
      </w:r>
      <w:r w:rsidRPr="00BA04F1">
        <w:rPr>
          <w:lang w:val="ru"/>
        </w:rPr>
        <w:t xml:space="preserve"> мероприятия, направленные на устранение барьеров, неравенства и уязвимости в доступе к услугам, связанных с правами человека и гендерными вопросами.</w:t>
      </w:r>
    </w:p>
    <w:p w14:paraId="3C6B0C29" w14:textId="79195BF3" w:rsidR="00AD24FF" w:rsidRPr="00BA04F1" w:rsidRDefault="00AD24FF" w:rsidP="00BA04F1">
      <w:pPr>
        <w:widowControl w:val="0"/>
        <w:spacing w:line="240" w:lineRule="auto"/>
        <w:jc w:val="both"/>
        <w:rPr>
          <w:lang w:val="ru"/>
        </w:rPr>
      </w:pPr>
      <w:r w:rsidRPr="00BA04F1">
        <w:rPr>
          <w:lang w:val="ru"/>
        </w:rPr>
        <w:t>Мероприятия в сфере туберкулеза направлены, в первую очередь, на расширение выявления случаев туберкулеза с акцентом на выявление ЛУ</w:t>
      </w:r>
      <w:r w:rsidR="004F061C">
        <w:rPr>
          <w:lang w:val="ru"/>
        </w:rPr>
        <w:t>-</w:t>
      </w:r>
      <w:r w:rsidRPr="00BA04F1">
        <w:rPr>
          <w:lang w:val="ru"/>
        </w:rPr>
        <w:t xml:space="preserve">ТБ, с широким вовлечением неправительственных организаций в данные мероприятия. При этом, расширятся мероприятия по сопровождению выявленных новых случаев по всему каскаду лечения. На данные мероприятия направлено более </w:t>
      </w:r>
      <w:r w:rsidRPr="004F061C">
        <w:rPr>
          <w:highlight w:val="yellow"/>
          <w:lang w:val="ru"/>
        </w:rPr>
        <w:t>…%</w:t>
      </w:r>
      <w:r w:rsidRPr="00BA04F1">
        <w:rPr>
          <w:lang w:val="ru"/>
        </w:rPr>
        <w:t xml:space="preserve"> объема средств заявки по компоненту ТБ. Страна </w:t>
      </w:r>
      <w:r w:rsidR="004F061C">
        <w:rPr>
          <w:lang w:val="ru"/>
        </w:rPr>
        <w:t>планирует ускорение</w:t>
      </w:r>
      <w:r w:rsidRPr="00BA04F1">
        <w:rPr>
          <w:lang w:val="ru"/>
        </w:rPr>
        <w:t xml:space="preserve"> переход</w:t>
      </w:r>
      <w:r w:rsidR="004F061C">
        <w:rPr>
          <w:lang w:val="ru"/>
        </w:rPr>
        <w:t>а</w:t>
      </w:r>
      <w:r w:rsidRPr="00BA04F1">
        <w:rPr>
          <w:lang w:val="ru"/>
        </w:rPr>
        <w:t xml:space="preserve"> на новы</w:t>
      </w:r>
      <w:r w:rsidR="004F061C">
        <w:rPr>
          <w:lang w:val="ru"/>
        </w:rPr>
        <w:t>е</w:t>
      </w:r>
      <w:r w:rsidRPr="00BA04F1">
        <w:rPr>
          <w:lang w:val="ru"/>
        </w:rPr>
        <w:t xml:space="preserve"> схем</w:t>
      </w:r>
      <w:r w:rsidR="004F061C">
        <w:rPr>
          <w:lang w:val="ru"/>
        </w:rPr>
        <w:t>ы</w:t>
      </w:r>
      <w:r w:rsidRPr="00BA04F1">
        <w:rPr>
          <w:lang w:val="ru"/>
        </w:rPr>
        <w:t xml:space="preserve"> лечения, включая 6-месячные схемы BPaL и BPaLM и 9-месячные полностью пероральные схемы, и к концу проекта 60% пациентов будут получать такое лечение. При этом расширится государственное финансирование проти</w:t>
      </w:r>
      <w:r w:rsidR="001452B0">
        <w:rPr>
          <w:lang w:val="ru"/>
        </w:rPr>
        <w:t xml:space="preserve">вотуберкулезных программ, более </w:t>
      </w:r>
      <w:r w:rsidR="001452B0" w:rsidRPr="001452B0">
        <w:rPr>
          <w:lang w:val="ru"/>
        </w:rPr>
        <w:t>26</w:t>
      </w:r>
      <w:r w:rsidRPr="001452B0">
        <w:rPr>
          <w:lang w:val="ru"/>
        </w:rPr>
        <w:t>%</w:t>
      </w:r>
      <w:r w:rsidRPr="00BA04F1">
        <w:rPr>
          <w:lang w:val="ru"/>
        </w:rPr>
        <w:t xml:space="preserve"> ПТП 2-го ряда будет закупаться из государственного бюджета. Заявка предусматривает дальнейшее укрепление лабораторной службы на юге страны, обновление модулей для Xpert XDR. </w:t>
      </w:r>
    </w:p>
    <w:p w14:paraId="71BE5077" w14:textId="7BA4DB64" w:rsidR="00AD24FF" w:rsidRPr="00BA04F1" w:rsidRDefault="00AD24FF" w:rsidP="00BA04F1">
      <w:pPr>
        <w:widowControl w:val="0"/>
        <w:spacing w:line="240" w:lineRule="auto"/>
        <w:jc w:val="both"/>
        <w:rPr>
          <w:lang w:val="ru"/>
        </w:rPr>
      </w:pPr>
      <w:r w:rsidRPr="00BA04F1">
        <w:rPr>
          <w:lang w:val="ru"/>
        </w:rPr>
        <w:t xml:space="preserve">По компоненту ВИЧ все профилактические усилия направлены на ключевые группы в соответствии с рекомендациями ЮНЭЙДС, ГФ, в первую очередь, на </w:t>
      </w:r>
      <w:r w:rsidR="004F061C">
        <w:rPr>
          <w:lang w:val="ru"/>
        </w:rPr>
        <w:t>ЛУН</w:t>
      </w:r>
      <w:r w:rsidRPr="00BA04F1">
        <w:rPr>
          <w:lang w:val="ru"/>
        </w:rPr>
        <w:t xml:space="preserve"> с расширенным выходом на потребителей новых наркотиков, применением инновационных аутрич подходов, продолжатся и расширятся мероприятия для групп МСМ. Для клиентов ПТАО будут предлагаться новые для страны препараты</w:t>
      </w:r>
      <w:r w:rsidR="004F061C">
        <w:rPr>
          <w:lang w:val="ru"/>
        </w:rPr>
        <w:t xml:space="preserve"> –</w:t>
      </w:r>
      <w:r w:rsidRPr="00BA04F1">
        <w:rPr>
          <w:lang w:val="ru"/>
        </w:rPr>
        <w:t xml:space="preserve"> бупренорфин </w:t>
      </w:r>
      <w:r w:rsidR="004F061C">
        <w:rPr>
          <w:lang w:val="ru"/>
        </w:rPr>
        <w:t xml:space="preserve">– </w:t>
      </w:r>
      <w:r w:rsidRPr="00BA04F1">
        <w:rPr>
          <w:lang w:val="ru"/>
        </w:rPr>
        <w:t>и в дальнейшем продолжаться усилия по предложению бупренорфина пролонгированного действия, который будет поставляться партнерами. В отличии от текущего гранта</w:t>
      </w:r>
      <w:r w:rsidR="004F061C">
        <w:rPr>
          <w:lang w:val="ru"/>
        </w:rPr>
        <w:t>,</w:t>
      </w:r>
      <w:r w:rsidRPr="00BA04F1">
        <w:rPr>
          <w:lang w:val="ru"/>
        </w:rPr>
        <w:t xml:space="preserve"> работа с заключенными и трансгендерными людьми выделен</w:t>
      </w:r>
      <w:r w:rsidR="004F061C">
        <w:rPr>
          <w:lang w:val="ru"/>
        </w:rPr>
        <w:t>а</w:t>
      </w:r>
      <w:r w:rsidRPr="00BA04F1">
        <w:rPr>
          <w:lang w:val="ru"/>
        </w:rPr>
        <w:t xml:space="preserve"> в отдельные компоненты, что позволит расширить охват и улучшить качество предоставляемых услуг. </w:t>
      </w:r>
    </w:p>
    <w:p w14:paraId="2D21E1B0" w14:textId="250AC4EA" w:rsidR="00AD24FF" w:rsidRPr="00BA04F1" w:rsidRDefault="00AD24FF" w:rsidP="00BA04F1">
      <w:pPr>
        <w:widowControl w:val="0"/>
        <w:spacing w:line="240" w:lineRule="auto"/>
        <w:jc w:val="both"/>
        <w:rPr>
          <w:lang w:val="ru"/>
        </w:rPr>
      </w:pPr>
      <w:r w:rsidRPr="00BA04F1">
        <w:rPr>
          <w:lang w:val="ru"/>
        </w:rPr>
        <w:t>Тестирование среди ключевых групп с применением новых подходов, внедрением тестоматов, самотестирования и в местах, где идет большее выявление ВИЧ (ПМСП, стационары, службы в связи с ИППП) позволит улучшить показатели по первой цели 95.</w:t>
      </w:r>
    </w:p>
    <w:p w14:paraId="07DBEB8B" w14:textId="65CCEB83" w:rsidR="00AD24FF" w:rsidRPr="00BA04F1" w:rsidRDefault="00AD24FF" w:rsidP="00BA04F1">
      <w:pPr>
        <w:widowControl w:val="0"/>
        <w:spacing w:line="240" w:lineRule="auto"/>
        <w:jc w:val="both"/>
        <w:rPr>
          <w:lang w:val="ru"/>
        </w:rPr>
      </w:pPr>
      <w:r w:rsidRPr="00BA04F1">
        <w:rPr>
          <w:lang w:val="ru"/>
        </w:rPr>
        <w:t xml:space="preserve">Акцент на программы сопровождения выявленных случаев ВИЧ, формирование приверженности, расширение механизмов мотивации за достижение целей каскада лечения позволит улучшить показатели по целям </w:t>
      </w:r>
      <w:r w:rsidR="004F061C">
        <w:rPr>
          <w:lang w:val="ru"/>
        </w:rPr>
        <w:t xml:space="preserve">первых двух </w:t>
      </w:r>
      <w:r w:rsidRPr="00BA04F1">
        <w:rPr>
          <w:lang w:val="ru"/>
        </w:rPr>
        <w:t>95-95.</w:t>
      </w:r>
    </w:p>
    <w:p w14:paraId="4AF12E85" w14:textId="0B716F07" w:rsidR="00AD24FF" w:rsidRPr="00BA04F1" w:rsidRDefault="005D570C" w:rsidP="00BA04F1">
      <w:pPr>
        <w:widowControl w:val="0"/>
        <w:spacing w:line="240" w:lineRule="auto"/>
        <w:jc w:val="both"/>
        <w:rPr>
          <w:lang w:val="ru"/>
        </w:rPr>
      </w:pPr>
      <w:r>
        <w:rPr>
          <w:lang w:val="ru"/>
        </w:rPr>
        <w:t>КР</w:t>
      </w:r>
      <w:r w:rsidR="00AD24FF" w:rsidRPr="00BA04F1">
        <w:rPr>
          <w:lang w:val="ru"/>
        </w:rPr>
        <w:t xml:space="preserve"> продолжает </w:t>
      </w:r>
      <w:r>
        <w:rPr>
          <w:lang w:val="ru"/>
        </w:rPr>
        <w:t xml:space="preserve">прикладывать </w:t>
      </w:r>
      <w:r w:rsidR="00AD24FF" w:rsidRPr="00BA04F1">
        <w:rPr>
          <w:lang w:val="ru"/>
        </w:rPr>
        <w:t>усилия по расширению государственного финансирования, несмотря на экономические сложности, уже в 2023 году нача</w:t>
      </w:r>
      <w:r>
        <w:rPr>
          <w:lang w:val="ru"/>
        </w:rPr>
        <w:t>т</w:t>
      </w:r>
      <w:r w:rsidR="00AD24FF" w:rsidRPr="00BA04F1">
        <w:rPr>
          <w:lang w:val="ru"/>
        </w:rPr>
        <w:t>о финансирование ПТАО в объеме (300 тыс.долларов ежегодно) 70% от потребности, увелич</w:t>
      </w:r>
      <w:r>
        <w:rPr>
          <w:lang w:val="ru"/>
        </w:rPr>
        <w:t>ены</w:t>
      </w:r>
      <w:r w:rsidR="00AD24FF" w:rsidRPr="00BA04F1">
        <w:rPr>
          <w:lang w:val="ru"/>
        </w:rPr>
        <w:t xml:space="preserve"> закупки ПТП 2-го ряда </w:t>
      </w:r>
      <w:r>
        <w:rPr>
          <w:lang w:val="ru"/>
        </w:rPr>
        <w:t>(</w:t>
      </w:r>
      <w:r w:rsidR="00AD24FF" w:rsidRPr="00BA04F1">
        <w:rPr>
          <w:lang w:val="ru"/>
        </w:rPr>
        <w:t xml:space="preserve">в 2022 году дополнительно </w:t>
      </w:r>
      <w:r>
        <w:rPr>
          <w:lang w:val="ru"/>
        </w:rPr>
        <w:t xml:space="preserve">выделено </w:t>
      </w:r>
      <w:r w:rsidR="00AD24FF" w:rsidRPr="00BA04F1">
        <w:rPr>
          <w:lang w:val="ru"/>
        </w:rPr>
        <w:t>350 тыс.долларов</w:t>
      </w:r>
      <w:r>
        <w:rPr>
          <w:lang w:val="ru"/>
        </w:rPr>
        <w:t>)</w:t>
      </w:r>
      <w:r w:rsidR="00AD24FF" w:rsidRPr="00BA04F1">
        <w:rPr>
          <w:lang w:val="ru"/>
        </w:rPr>
        <w:t>, а лечение и диагностика ВИЧ покрывается на 80% из бюджета страны.</w:t>
      </w:r>
      <w:r>
        <w:rPr>
          <w:lang w:val="ru"/>
        </w:rPr>
        <w:t xml:space="preserve"> </w:t>
      </w:r>
      <w:r w:rsidR="00AD24FF" w:rsidRPr="00BA04F1">
        <w:rPr>
          <w:lang w:val="ru"/>
        </w:rPr>
        <w:t xml:space="preserve">В 2022 году существенно повышены заработные платы медицинских работников, что также позитивно влияет на укрепление кадрового потенциала служб, оказывающих услуги в связи с ВИЧ и ТБ. В текущем </w:t>
      </w:r>
      <w:r>
        <w:rPr>
          <w:lang w:val="ru"/>
        </w:rPr>
        <w:t>цикле финансирования</w:t>
      </w:r>
      <w:r w:rsidRPr="00BA04F1">
        <w:rPr>
          <w:lang w:val="ru"/>
        </w:rPr>
        <w:t xml:space="preserve"> </w:t>
      </w:r>
      <w:r w:rsidR="00AD24FF" w:rsidRPr="00BA04F1">
        <w:rPr>
          <w:lang w:val="ru"/>
        </w:rPr>
        <w:t>мы также, в соответствии с письмом от МФ КР, буде</w:t>
      </w:r>
      <w:r>
        <w:rPr>
          <w:lang w:val="ru"/>
        </w:rPr>
        <w:t>т</w:t>
      </w:r>
      <w:r w:rsidR="00AD24FF" w:rsidRPr="00BA04F1">
        <w:rPr>
          <w:lang w:val="ru"/>
        </w:rPr>
        <w:t xml:space="preserve"> продолжать расширение государственного финансирования и создания услови</w:t>
      </w:r>
      <w:r>
        <w:rPr>
          <w:lang w:val="ru"/>
        </w:rPr>
        <w:t>й</w:t>
      </w:r>
      <w:r w:rsidR="00AD24FF" w:rsidRPr="00BA04F1">
        <w:rPr>
          <w:lang w:val="ru"/>
        </w:rPr>
        <w:t xml:space="preserve"> для эффективного использования средств, включая совершенствование законодательства в сфере закупок и лекарственного обращения, принятие законов, расширяющих перечень гарантированных услуг в связи с ВИЧ и ТБ, содействие регистрации лекарственных средств и пересмотра ПЖВЛС, снижение стоимости закупаемых ЛС и ИМН в результате мониторинга закупок.  </w:t>
      </w:r>
    </w:p>
    <w:p w14:paraId="2723259A" w14:textId="77777777" w:rsidR="002D6959" w:rsidRPr="00BA04F1" w:rsidRDefault="002D6959" w:rsidP="002D6959">
      <w:pPr>
        <w:widowControl w:val="0"/>
        <w:spacing w:line="240" w:lineRule="auto"/>
        <w:jc w:val="both"/>
        <w:rPr>
          <w:lang w:val="ru"/>
        </w:rPr>
      </w:pPr>
      <w:r w:rsidRPr="00BA04F1">
        <w:rPr>
          <w:lang w:val="ru"/>
        </w:rPr>
        <w:t>Разработка заявки велась в условиях широкого вовлечения всех заинтересованных сторон, в первую очередь, сообществ ключевых групп, были проведены обширные обсуждения в рамках странового диалога со всеми сообществами</w:t>
      </w:r>
      <w:r>
        <w:rPr>
          <w:lang w:val="ru"/>
        </w:rPr>
        <w:t xml:space="preserve">, как на национальном уровне, так и </w:t>
      </w:r>
      <w:r w:rsidRPr="00BA04F1">
        <w:rPr>
          <w:lang w:val="ru"/>
        </w:rPr>
        <w:t>в регионах страны.</w:t>
      </w:r>
    </w:p>
    <w:p w14:paraId="21928713" w14:textId="77777777" w:rsidR="00AD24FF" w:rsidRPr="005F7204" w:rsidRDefault="00AD24FF" w:rsidP="00AD24FF">
      <w:pPr>
        <w:pStyle w:val="a1"/>
        <w:jc w:val="both"/>
        <w:rPr>
          <w:color w:val="000000" w:themeColor="text1"/>
          <w:lang w:val="ru-RU"/>
        </w:rPr>
      </w:pPr>
    </w:p>
    <w:p w14:paraId="0D54A6D1" w14:textId="77777777" w:rsidR="00AD24FF" w:rsidRPr="00DF7273" w:rsidRDefault="00AD24FF" w:rsidP="00AD24FF">
      <w:pPr>
        <w:pStyle w:val="a1"/>
        <w:numPr>
          <w:ilvl w:val="1"/>
          <w:numId w:val="12"/>
        </w:numPr>
        <w:tabs>
          <w:tab w:val="left" w:pos="810"/>
        </w:tabs>
        <w:jc w:val="both"/>
        <w:rPr>
          <w:lang w:val="ru-RU"/>
        </w:rPr>
      </w:pPr>
      <w:r w:rsidRPr="00DF7273">
        <w:rPr>
          <w:b/>
          <w:lang w:val="ru-RU"/>
        </w:rPr>
        <w:lastRenderedPageBreak/>
        <w:t xml:space="preserve">Встречные фонды. </w:t>
      </w:r>
      <w:r w:rsidRPr="00DF7273">
        <w:rPr>
          <w:lang w:val="ru-RU"/>
        </w:rPr>
        <w:t>Если для периода финансирования с 2023 по 2025 год предусмотрены средства встречных фондов:</w:t>
      </w:r>
    </w:p>
    <w:p w14:paraId="03905B46" w14:textId="77777777" w:rsidR="00AD24FF" w:rsidRPr="00246288" w:rsidRDefault="00AD24FF" w:rsidP="00AD24FF">
      <w:pPr>
        <w:pStyle w:val="a1"/>
        <w:numPr>
          <w:ilvl w:val="2"/>
          <w:numId w:val="11"/>
        </w:numPr>
        <w:ind w:left="806" w:hanging="446"/>
        <w:rPr>
          <w:lang w:val="ru-RU"/>
        </w:rPr>
      </w:pPr>
      <w:r w:rsidRPr="00246288">
        <w:rPr>
          <w:lang w:val="ru-RU"/>
        </w:rPr>
        <w:t>Расскажите, как выделение средств встречных фондов усилит воздействие и улучшит результаты в направлениях, финансируемых из встречных фондов.</w:t>
      </w:r>
    </w:p>
    <w:p w14:paraId="540A3A82" w14:textId="77777777" w:rsidR="00AD24FF" w:rsidRDefault="00AD24FF" w:rsidP="00AD24FF">
      <w:pPr>
        <w:pStyle w:val="a1"/>
        <w:numPr>
          <w:ilvl w:val="2"/>
          <w:numId w:val="11"/>
        </w:numPr>
        <w:ind w:left="806" w:hanging="446"/>
        <w:rPr>
          <w:lang w:val="ru-RU"/>
        </w:rPr>
      </w:pPr>
      <w:r w:rsidRPr="00D12B60">
        <w:rPr>
          <w:lang w:val="ru-RU"/>
        </w:rPr>
        <w:t>Расскажите, как выполняются программные условия и условия доступа.</w:t>
      </w:r>
    </w:p>
    <w:p w14:paraId="27738244" w14:textId="77777777" w:rsidR="00AD24FF" w:rsidRDefault="00AD24FF" w:rsidP="00AD24FF">
      <w:pPr>
        <w:ind w:firstLine="459"/>
        <w:jc w:val="both"/>
        <w:rPr>
          <w:lang w:val="ru-RU"/>
        </w:rPr>
      </w:pPr>
      <w:r>
        <w:rPr>
          <w:lang w:val="ru-RU"/>
        </w:rPr>
        <w:t>Кыргызская Республика является одним из реципиентов ГФ по компоненту инициативы ГФ «Преодолевая правовые барьеры». В текущем грантовом цикле страна в общей сложности реализует активности на сумму более 1,7 млн.долларов, из которых более 700 тысяч долларов выделено из основной суммы гранта, а 1 млн. долларов выделено в рамках встречного финансирования. В новом грантовом цикле для страны предусмотрено 500 тыс.долларов при условии, что из основной суммы гранта будет выделено не менее той суммы, которая выделялась в текущем гранте. В связи с чем общая сумма финансирования, предусмотренная в новом гранте составит 1,5 млн.долларов, включая по 500 тыс.долларов с компонентов ВИЧ и ТБ.</w:t>
      </w:r>
    </w:p>
    <w:p w14:paraId="155939E8" w14:textId="6CAF0C3B" w:rsidR="00AD24FF" w:rsidRDefault="00AD24FF" w:rsidP="00AD24FF">
      <w:pPr>
        <w:ind w:firstLine="459"/>
        <w:jc w:val="both"/>
        <w:rPr>
          <w:lang w:val="ru-RU"/>
        </w:rPr>
      </w:pPr>
      <w:r>
        <w:rPr>
          <w:lang w:val="ru-RU"/>
        </w:rPr>
        <w:t>В течении 2-х циклов поддержки данной инициативы в стране со стороны ГФ проводилась оценка прогресса в преодолении правовых барьеров в связи с ВИЧ и ТБ. Предварительные результаты последней оценки</w:t>
      </w:r>
      <w:r>
        <w:rPr>
          <w:rStyle w:val="aff1"/>
          <w:lang w:val="ru-RU"/>
        </w:rPr>
        <w:footnoteReference w:id="53"/>
      </w:r>
      <w:r>
        <w:rPr>
          <w:lang w:val="ru-RU"/>
        </w:rPr>
        <w:t xml:space="preserve"> показывают, что имеется определенный прогресс в достижении целей. Кыргызстан присоединился к инициативе Глобального партнерства по ликвидации стигмы и дискриминации в связи с ВИЧ и ТБ, утвержден межведомственный план по преодолению правовых барьеров в связи с ВИЧ и ТБ. В </w:t>
      </w:r>
      <w:r w:rsidRPr="00041C8E">
        <w:rPr>
          <w:lang w:val="ru-RU"/>
        </w:rPr>
        <w:t>отчете "Индекс стигмы 2022"</w:t>
      </w:r>
      <w:r>
        <w:rPr>
          <w:rStyle w:val="aff1"/>
          <w:lang w:val="ru-RU"/>
        </w:rPr>
        <w:footnoteReference w:id="54"/>
      </w:r>
      <w:r w:rsidRPr="00041C8E">
        <w:rPr>
          <w:lang w:val="ru-RU"/>
        </w:rPr>
        <w:t xml:space="preserve"> отмечается, что исследование "однозначно показывает значительное снижение (недавно пережитых) стигмы и дискриминации" по сравнению с аналогичным исследованием, проведенным в 2015 году. В отчете отмечается значительное снижение по многим показателям числа случаев стигматизации и дискриминации по отношению к людям, живущим с ВИЧ.</w:t>
      </w:r>
      <w:r>
        <w:rPr>
          <w:lang w:val="ru-RU"/>
        </w:rPr>
        <w:t xml:space="preserve"> </w:t>
      </w:r>
      <w:r w:rsidRPr="00041C8E">
        <w:rPr>
          <w:lang w:val="ru-RU"/>
        </w:rPr>
        <w:t xml:space="preserve">Отдельные исследования показали снижение негативного опыта общения с сотрудниками милиции среди людей, пользующихся услугами снижения вреда, причем в одном из исследований процент участников, имевших такой опыт, снизился с </w:t>
      </w:r>
      <w:commentRangeStart w:id="14"/>
      <w:r w:rsidRPr="00041C8E">
        <w:rPr>
          <w:lang w:val="ru-RU"/>
        </w:rPr>
        <w:t>26% в 2019 году до 11,3% в 2020 году</w:t>
      </w:r>
      <w:commentRangeEnd w:id="14"/>
      <w:r w:rsidR="00912E84">
        <w:rPr>
          <w:rStyle w:val="aff3"/>
          <w:rFonts w:ascii="Arial" w:hAnsi="Arial"/>
        </w:rPr>
        <w:commentReference w:id="14"/>
      </w:r>
      <w:r w:rsidRPr="00041C8E">
        <w:rPr>
          <w:lang w:val="ru-RU"/>
        </w:rPr>
        <w:t>.</w:t>
      </w:r>
    </w:p>
    <w:p w14:paraId="1B0F2C89" w14:textId="77777777" w:rsidR="00AD24FF" w:rsidRDefault="00AD24FF" w:rsidP="00AD24FF">
      <w:pPr>
        <w:ind w:firstLine="459"/>
        <w:jc w:val="both"/>
        <w:rPr>
          <w:lang w:val="ru-RU"/>
        </w:rPr>
      </w:pPr>
      <w:r w:rsidRPr="00041C8E">
        <w:rPr>
          <w:lang w:val="ru-RU"/>
        </w:rPr>
        <w:t>Несмотря на</w:t>
      </w:r>
      <w:r>
        <w:rPr>
          <w:lang w:val="ru-RU"/>
        </w:rPr>
        <w:t xml:space="preserve"> этот прогресс, оценка</w:t>
      </w:r>
      <w:r w:rsidRPr="00041C8E">
        <w:rPr>
          <w:lang w:val="ru-RU"/>
        </w:rPr>
        <w:t xml:space="preserve"> выявила ряд критических проблем, которые необходимо решить для повышения качества, расширения масштаба и воздействия программ по устранению барьеров, связанных с правами человека.</w:t>
      </w:r>
      <w:r>
        <w:rPr>
          <w:lang w:val="ru-RU"/>
        </w:rPr>
        <w:t xml:space="preserve"> Были отмечены недостаточная роль </w:t>
      </w:r>
      <w:r w:rsidRPr="00041C8E">
        <w:rPr>
          <w:lang w:val="ru-RU"/>
        </w:rPr>
        <w:t>низовых общественных организаций</w:t>
      </w:r>
      <w:r>
        <w:rPr>
          <w:lang w:val="ru-RU"/>
        </w:rPr>
        <w:t xml:space="preserve"> </w:t>
      </w:r>
      <w:r w:rsidRPr="00041C8E">
        <w:rPr>
          <w:lang w:val="ru-RU"/>
        </w:rPr>
        <w:t>в концептуализации, реализации и надзоре за программами по устранению барьеров, связанных с правами человека</w:t>
      </w:r>
      <w:r>
        <w:rPr>
          <w:lang w:val="ru-RU"/>
        </w:rPr>
        <w:t xml:space="preserve">, недостаточный уровень оплаты труда </w:t>
      </w:r>
      <w:r w:rsidRPr="00041C8E">
        <w:rPr>
          <w:lang w:val="ru-RU"/>
        </w:rPr>
        <w:t>работников, работающих на передовой линии сообщества</w:t>
      </w:r>
      <w:r>
        <w:rPr>
          <w:lang w:val="ru-RU"/>
        </w:rPr>
        <w:t xml:space="preserve">. </w:t>
      </w:r>
      <w:r w:rsidRPr="00041C8E">
        <w:rPr>
          <w:lang w:val="ru-RU"/>
        </w:rPr>
        <w:t>Координация между исполнителями программ по правам человека остается недостаточной.</w:t>
      </w:r>
      <w:r>
        <w:rPr>
          <w:lang w:val="ru-RU"/>
        </w:rPr>
        <w:t xml:space="preserve"> Со стороны государства отсутствует финансирование программ, связанных с правами человека. Ключевые сообщества нуждаются в продолжении правовой защиты, теперь с использованием принятого нового закона о ГГЮП. Законодательство, связанное с потреблением наркотиков, продолжает содержать нормы, ограничивающее доступ к услугам, в частности не отменены нормы наркологического учета либо принудительного лечения наркологических расстройств. Мониторинг со стороны гражданского общества проводится хаотично и нуждается в более системном подходе.</w:t>
      </w:r>
    </w:p>
    <w:p w14:paraId="302C408A" w14:textId="77777777" w:rsidR="00AD24FF" w:rsidRPr="00041C8E" w:rsidRDefault="00AD24FF" w:rsidP="00AD24FF">
      <w:pPr>
        <w:ind w:firstLine="459"/>
        <w:jc w:val="both"/>
        <w:rPr>
          <w:lang w:val="ru-RU"/>
        </w:rPr>
      </w:pPr>
      <w:r>
        <w:rPr>
          <w:lang w:val="ru-RU"/>
        </w:rPr>
        <w:t>Оценка предлагает ряд рекомендаций по усилению активностей в преодолении правовых барьеров. Опираясь на данные рекомендации в результате странового диалога были разработаны мероприятия, которые будут нацелены на снижение правовых барьеров и ликвидацию стигмы и дискриминации в связи с ВИЧ и ТБ. Данные мероприятия, в первую очередь, позволят вовлечь общественные организации и сообщества на местах во все реализуемые активности, продолжат усилия по совершенствованию законодательства, значительно повысят потенциал сообществ, ряд активностей будет интегрировано в государственную систему оказания юридической помощи. Сообщества будут участвовать на всех уровнях в механизмах принятия решения. Будет предпринят ряд мер по обеспечению защиты как самих сообществ, так и организаций в условиях изменения политической системы.</w:t>
      </w:r>
    </w:p>
    <w:p w14:paraId="55E7C541" w14:textId="2DA44D65" w:rsidR="00A038D6" w:rsidRPr="00A038D6" w:rsidRDefault="00D12B60" w:rsidP="003C60E7">
      <w:pPr>
        <w:pStyle w:val="a1"/>
        <w:spacing w:before="600" w:after="600"/>
        <w:jc w:val="both"/>
        <w:rPr>
          <w:rFonts w:asciiTheme="majorHAnsi" w:eastAsiaTheme="majorEastAsia" w:hAnsiTheme="majorHAnsi" w:cstheme="majorBidi"/>
          <w:color w:val="000000" w:themeColor="text1"/>
          <w:sz w:val="32"/>
          <w:szCs w:val="32"/>
        </w:rPr>
      </w:pPr>
      <w:r>
        <w:rPr>
          <w:rFonts w:asciiTheme="majorHAnsi" w:eastAsiaTheme="majorEastAsia" w:hAnsiTheme="majorHAnsi" w:cstheme="majorBidi"/>
          <w:color w:val="000000" w:themeColor="text1"/>
          <w:sz w:val="32"/>
          <w:szCs w:val="32"/>
          <w:lang w:val="ru-RU"/>
        </w:rPr>
        <w:lastRenderedPageBreak/>
        <w:t>Раздел</w:t>
      </w:r>
      <w:r w:rsidR="006F4B7C" w:rsidRPr="00A038D6">
        <w:rPr>
          <w:rFonts w:asciiTheme="majorHAnsi" w:eastAsiaTheme="majorEastAsia" w:hAnsiTheme="majorHAnsi" w:cstheme="majorBidi"/>
          <w:color w:val="000000" w:themeColor="text1"/>
          <w:sz w:val="32"/>
          <w:szCs w:val="32"/>
        </w:rPr>
        <w:t xml:space="preserve"> 2. </w:t>
      </w:r>
      <w:r>
        <w:rPr>
          <w:rFonts w:asciiTheme="majorHAnsi" w:eastAsiaTheme="majorEastAsia" w:hAnsiTheme="majorHAnsi" w:cstheme="majorBidi"/>
          <w:color w:val="000000" w:themeColor="text1"/>
          <w:sz w:val="32"/>
          <w:szCs w:val="32"/>
          <w:lang w:val="ru-RU"/>
        </w:rPr>
        <w:t>Максимальное усиление воздействия</w:t>
      </w:r>
    </w:p>
    <w:p w14:paraId="564B347E" w14:textId="60AAA61B" w:rsidR="001A0F04" w:rsidRPr="00EB747E" w:rsidRDefault="00FB174A" w:rsidP="00D8578B">
      <w:pPr>
        <w:pStyle w:val="a1"/>
        <w:numPr>
          <w:ilvl w:val="1"/>
          <w:numId w:val="8"/>
        </w:numPr>
        <w:ind w:left="810"/>
        <w:jc w:val="both"/>
        <w:rPr>
          <w:color w:val="000000" w:themeColor="text1"/>
          <w:lang w:val="ru-RU"/>
        </w:rPr>
      </w:pPr>
      <w:r w:rsidRPr="007E4A98">
        <w:rPr>
          <w:b/>
          <w:color w:val="000000" w:themeColor="text1"/>
          <w:lang w:val="ru-RU"/>
        </w:rPr>
        <w:t xml:space="preserve">Достижение национальных и глобальных целей и задач. </w:t>
      </w:r>
      <w:r w:rsidRPr="007E4A98">
        <w:rPr>
          <w:color w:val="000000" w:themeColor="text1"/>
          <w:lang w:val="ru-RU"/>
        </w:rPr>
        <w:t>Расскажите, как заявка на финансирование по приоритетам</w:t>
      </w:r>
      <w:r w:rsidR="0066454C" w:rsidRPr="007E4A98">
        <w:rPr>
          <w:color w:val="000000" w:themeColor="text1"/>
          <w:lang w:val="ru-RU"/>
        </w:rPr>
        <w:t xml:space="preserve"> способствует достижению результатов в следующих направлениях</w:t>
      </w:r>
      <w:r w:rsidR="0066454C" w:rsidRPr="00912E84">
        <w:rPr>
          <w:color w:val="000000" w:themeColor="text1"/>
          <w:lang w:val="ru-RU"/>
        </w:rPr>
        <w:t>: (1) избавление от СПИДа, туберкулеза и малярии;</w:t>
      </w:r>
      <w:r w:rsidR="009E4925" w:rsidRPr="00912E84">
        <w:rPr>
          <w:color w:val="000000" w:themeColor="text1"/>
          <w:lang w:val="ru-RU"/>
        </w:rPr>
        <w:t xml:space="preserve"> и</w:t>
      </w:r>
      <w:r w:rsidR="0066454C" w:rsidRPr="00912E84">
        <w:rPr>
          <w:color w:val="000000" w:themeColor="text1"/>
          <w:lang w:val="ru-RU"/>
        </w:rPr>
        <w:t xml:space="preserve"> (2) </w:t>
      </w:r>
      <w:r w:rsidR="009E4925" w:rsidRPr="00912E84">
        <w:rPr>
          <w:color w:val="000000" w:themeColor="text1"/>
          <w:lang w:val="ru-RU"/>
        </w:rPr>
        <w:t xml:space="preserve">укрепление и интеграция систем здравоохранения и/или общественных систем; и/или (3) продвижение </w:t>
      </w:r>
      <w:r w:rsidR="0090519B" w:rsidRPr="00912E84">
        <w:rPr>
          <w:color w:val="000000" w:themeColor="text1"/>
          <w:lang w:val="ru-RU"/>
        </w:rPr>
        <w:t xml:space="preserve">справедливости в здравоохранении, гендерного равенства и прав человека; и/или (4) готовность к пандемиям. Данный ответ должен быть ограничен </w:t>
      </w:r>
      <w:r w:rsidR="007E4A98" w:rsidRPr="00912E84">
        <w:rPr>
          <w:color w:val="000000" w:themeColor="text1"/>
          <w:lang w:val="ru-RU"/>
        </w:rPr>
        <w:t>целевыми направлениями,</w:t>
      </w:r>
      <w:r w:rsidR="007E4A98" w:rsidRPr="007E4A98">
        <w:rPr>
          <w:color w:val="000000" w:themeColor="text1"/>
          <w:lang w:val="ru-RU"/>
        </w:rPr>
        <w:t xml:space="preserve"> которые указаны в Письме о финансировании или иначе согласованы с Глобальным фондом</w:t>
      </w:r>
      <w:r w:rsidR="00F04DFC" w:rsidRPr="007E4A98">
        <w:rPr>
          <w:color w:val="000000" w:themeColor="text1"/>
          <w:lang w:val="ru-RU"/>
        </w:rPr>
        <w:t>.</w:t>
      </w:r>
      <w:r w:rsidR="00912E84">
        <w:rPr>
          <w:color w:val="000000" w:themeColor="text1"/>
          <w:lang w:val="ru-RU"/>
        </w:rPr>
        <w:t xml:space="preserve"> </w:t>
      </w:r>
      <w:r w:rsidR="004438DF" w:rsidRPr="00912E84">
        <w:rPr>
          <w:i/>
          <w:iCs/>
          <w:color w:val="EE0C3D" w:themeColor="accent1"/>
          <w:sz w:val="20"/>
          <w:szCs w:val="20"/>
          <w:lang w:val="ru-RU"/>
        </w:rPr>
        <w:t>2 страницы</w:t>
      </w:r>
    </w:p>
    <w:p w14:paraId="0DB33AD8" w14:textId="5BE9A37D" w:rsidR="00EB747E" w:rsidRPr="00567C74" w:rsidRDefault="00EB2CF8" w:rsidP="00EB747E">
      <w:pPr>
        <w:pStyle w:val="a1"/>
        <w:ind w:left="810"/>
        <w:jc w:val="both"/>
        <w:rPr>
          <w:color w:val="000000" w:themeColor="text1"/>
          <w:sz w:val="22"/>
          <w:lang w:val="ru-RU"/>
        </w:rPr>
      </w:pPr>
      <w:r>
        <w:rPr>
          <w:color w:val="000000" w:themeColor="text1"/>
          <w:sz w:val="22"/>
          <w:lang w:val="ru-RU"/>
        </w:rPr>
        <w:t>Для расширения выявления ВИЧ в ключевых группах населения в предлагаемой заявке включены мероприятия по расширению доступности к ранее не охваченным ключевым группам через он-лайн аутрич, внедрение использования вендинговых аппаратов, включая тестоматы, шприцематы и кондоматы</w:t>
      </w:r>
      <w:r w:rsidR="005E7E9E">
        <w:rPr>
          <w:color w:val="000000" w:themeColor="text1"/>
          <w:sz w:val="22"/>
          <w:lang w:val="ru-RU"/>
        </w:rPr>
        <w:t xml:space="preserve">. </w:t>
      </w:r>
      <w:r w:rsidR="00567C74">
        <w:rPr>
          <w:color w:val="000000" w:themeColor="text1"/>
          <w:sz w:val="22"/>
          <w:lang w:val="ru-RU"/>
        </w:rPr>
        <w:t xml:space="preserve">В первый год 10% и далее 15 и 20% ключевых групп будут вовлечены в программы тестирования и профилактики с использованием он-лайн подходов. </w:t>
      </w:r>
      <w:r w:rsidR="005E7E9E">
        <w:rPr>
          <w:color w:val="000000" w:themeColor="text1"/>
          <w:sz w:val="22"/>
          <w:lang w:val="ru-RU"/>
        </w:rPr>
        <w:t>Будет расширено самотестирование, внедрены механизмы подтверждения результатов тестирования и дальнейшего сопровождения лиц с выявленным ВИЧ в медицинские службы для начала лечения.</w:t>
      </w:r>
      <w:r w:rsidR="00BB35D4">
        <w:rPr>
          <w:color w:val="000000" w:themeColor="text1"/>
          <w:sz w:val="22"/>
          <w:lang w:val="ru-RU"/>
        </w:rPr>
        <w:t xml:space="preserve"> Кроме этого, расширятся механизмы мотивационных доплат для аут-рич работников имедицинских специалистов за достижение целей каскада лечения – выявление- сопровождение на начало лечения и достижение вирусной супрессии. Предпринятые меры со стороны службы СПИДа по тестированию в стационарах и службах по лечению ИППП позволили выявить значительное количество новых случаев ВИЧ и эти активности будут продолжены, а также расширятся на внедрение экспресс-тестирования по клиническим показаниям на уровне ПМСП. Данные меры позволят существенно расширить выявление ВИЧ и обеспечить цели каскада лечения.</w:t>
      </w:r>
      <w:r w:rsidR="005E7E9E">
        <w:rPr>
          <w:color w:val="000000" w:themeColor="text1"/>
          <w:sz w:val="22"/>
          <w:lang w:val="ru-RU"/>
        </w:rPr>
        <w:t xml:space="preserve"> </w:t>
      </w:r>
      <w:r w:rsidR="00567C74">
        <w:rPr>
          <w:color w:val="000000" w:themeColor="text1"/>
          <w:sz w:val="22"/>
          <w:lang w:val="ru-RU"/>
        </w:rPr>
        <w:t>Одновременно будут продолжены традиционные услуги профилактики, включая предоставление минимального пакета услуг и</w:t>
      </w:r>
      <w:r w:rsidR="006967AD">
        <w:rPr>
          <w:color w:val="000000" w:themeColor="text1"/>
          <w:sz w:val="22"/>
          <w:lang w:val="ru-RU"/>
        </w:rPr>
        <w:t>, учитывая изменяющиеся потребности ключевых групп, предусматривается</w:t>
      </w:r>
      <w:r w:rsidR="00567C74">
        <w:rPr>
          <w:color w:val="000000" w:themeColor="text1"/>
          <w:sz w:val="22"/>
          <w:lang w:val="ru-RU"/>
        </w:rPr>
        <w:t xml:space="preserve"> расширение доступа к услугам диагностики и лечения ТБ, ИППП, ВГ, СРЗ.</w:t>
      </w:r>
      <w:r w:rsidR="00BB35D4">
        <w:rPr>
          <w:color w:val="000000" w:themeColor="text1"/>
          <w:sz w:val="22"/>
          <w:lang w:val="ru-RU"/>
        </w:rPr>
        <w:t xml:space="preserve"> В ПТАО предусматривается расширение применения бупренорфина, в том числе пролонгированного действия, что повысит привлекательность программ и расширит участие ЛУИН в программах.</w:t>
      </w:r>
      <w:r w:rsidR="00567C74">
        <w:rPr>
          <w:color w:val="000000" w:themeColor="text1"/>
          <w:sz w:val="22"/>
          <w:lang w:val="ru-RU"/>
        </w:rPr>
        <w:t xml:space="preserve"> </w:t>
      </w:r>
      <w:r w:rsidR="00BB35D4">
        <w:rPr>
          <w:color w:val="000000" w:themeColor="text1"/>
          <w:sz w:val="22"/>
          <w:lang w:val="ru-RU"/>
        </w:rPr>
        <w:t>В заявке</w:t>
      </w:r>
      <w:r w:rsidR="00A61B1B">
        <w:rPr>
          <w:color w:val="000000" w:themeColor="text1"/>
          <w:sz w:val="22"/>
          <w:lang w:val="ru-RU"/>
        </w:rPr>
        <w:t xml:space="preserve"> также предусмотрены самостоятельные активности среди т</w:t>
      </w:r>
      <w:r w:rsidR="00BB35D4">
        <w:rPr>
          <w:color w:val="000000" w:themeColor="text1"/>
          <w:sz w:val="22"/>
          <w:lang w:val="ru-RU"/>
        </w:rPr>
        <w:t>рансгендерных лиц и заключенных, как отдельных целевых групп.</w:t>
      </w:r>
      <w:r w:rsidR="00A61B1B">
        <w:rPr>
          <w:color w:val="000000" w:themeColor="text1"/>
          <w:sz w:val="22"/>
          <w:lang w:val="ru-RU"/>
        </w:rPr>
        <w:t xml:space="preserve"> </w:t>
      </w:r>
      <w:r w:rsidR="00567C74">
        <w:rPr>
          <w:color w:val="000000" w:themeColor="text1"/>
          <w:sz w:val="22"/>
          <w:lang w:val="ru-RU"/>
        </w:rPr>
        <w:t xml:space="preserve">Для улучшенного планирования услуг в отношении ЛУИН в первый год проекта при поддержке </w:t>
      </w:r>
      <w:r w:rsidR="00567C74">
        <w:rPr>
          <w:color w:val="000000" w:themeColor="text1"/>
          <w:sz w:val="22"/>
          <w:lang w:val="en-US"/>
        </w:rPr>
        <w:t>CDC</w:t>
      </w:r>
      <w:r w:rsidR="00567C74" w:rsidRPr="00567C74">
        <w:rPr>
          <w:color w:val="000000" w:themeColor="text1"/>
          <w:sz w:val="22"/>
          <w:lang w:val="ru-RU"/>
        </w:rPr>
        <w:t xml:space="preserve"> </w:t>
      </w:r>
      <w:r w:rsidR="00567C74">
        <w:rPr>
          <w:color w:val="000000" w:themeColor="text1"/>
          <w:sz w:val="22"/>
          <w:lang w:val="ru-RU"/>
        </w:rPr>
        <w:t>будет проведена оценка численности ЛУИН</w:t>
      </w:r>
      <w:r w:rsidR="00A74166">
        <w:rPr>
          <w:color w:val="000000" w:themeColor="text1"/>
          <w:sz w:val="22"/>
          <w:lang w:val="ru-RU"/>
        </w:rPr>
        <w:t xml:space="preserve"> и мероприятия проекта будут пересмотрены в соответствии с новыми данными. Отдельное внимание будет уделено обеспечению координации между активностями различных доноров в отношении ВИЧ.</w:t>
      </w:r>
      <w:r w:rsidR="006967AD">
        <w:rPr>
          <w:color w:val="000000" w:themeColor="text1"/>
          <w:sz w:val="22"/>
          <w:lang w:val="ru-RU"/>
        </w:rPr>
        <w:t xml:space="preserve"> </w:t>
      </w:r>
    </w:p>
    <w:p w14:paraId="1584612B" w14:textId="2B8F02FE" w:rsidR="00EB2CF8" w:rsidRPr="00EB2CF8" w:rsidRDefault="00BB35D4" w:rsidP="00EB747E">
      <w:pPr>
        <w:pStyle w:val="a1"/>
        <w:ind w:left="810"/>
        <w:jc w:val="both"/>
        <w:rPr>
          <w:color w:val="000000" w:themeColor="text1"/>
          <w:sz w:val="22"/>
          <w:lang w:val="ru-RU"/>
        </w:rPr>
      </w:pPr>
      <w:r>
        <w:rPr>
          <w:color w:val="000000" w:themeColor="text1"/>
          <w:sz w:val="22"/>
          <w:lang w:val="ru-RU"/>
        </w:rPr>
        <w:t>Комплекс мероприятий нацелен на начало лечения и обеспечения приверженности к лечению ВИЧ, предусмотрен ряд услуг по уходу и поддержке со стороны НПО, в том числе сообществ ЛЖВ, поддержка мультидисциплинарных команд. Учитывая расширение вовлечения ПМСП в диагностику и лечение ВИЧ будет повышаться потенциал медицинских специалистов ПМСП</w:t>
      </w:r>
      <w:r w:rsidR="00A74166">
        <w:rPr>
          <w:color w:val="000000" w:themeColor="text1"/>
          <w:sz w:val="22"/>
          <w:lang w:val="ru-RU"/>
        </w:rPr>
        <w:t xml:space="preserve">. ЛЖВ получат широкий пакет услуг, включая диагностику и лечение ИППП, диагностику и профилактику рака шейки матки, консультации медицинских специалистов. Дети с ВИЧ получат дальнейшую поддержку в формировании приверженности в виде мотивационных выплат, подростки с ВИЧ пройдут курсы профессиональной подготовки по запросу. Для повышения эффективности службы СПИДа и дальнейшего укрепления потенциала по вопросам диагностики и лечения, используя механизмы «оплаты за результат» будут поддерживаться медицинские специалисты, </w:t>
      </w:r>
      <w:r w:rsidR="00A74166">
        <w:rPr>
          <w:color w:val="000000" w:themeColor="text1"/>
          <w:sz w:val="22"/>
          <w:lang w:val="ru-RU"/>
        </w:rPr>
        <w:lastRenderedPageBreak/>
        <w:t>оказывающие услуги в связи с ВИЧ, будут действовать дружественные кабинеты в службе ИППП, паллиативный уход для ЛЖВ в терминальной стадии.</w:t>
      </w:r>
    </w:p>
    <w:p w14:paraId="54BA2C6C" w14:textId="09E910C7" w:rsidR="00CE02D4" w:rsidRPr="007E4A98" w:rsidRDefault="007E4A98" w:rsidP="00D8578B">
      <w:pPr>
        <w:pStyle w:val="a1"/>
        <w:numPr>
          <w:ilvl w:val="1"/>
          <w:numId w:val="8"/>
        </w:numPr>
        <w:ind w:left="810"/>
        <w:rPr>
          <w:color w:val="000000" w:themeColor="text1"/>
          <w:lang w:val="ru-RU"/>
        </w:rPr>
      </w:pPr>
      <w:r>
        <w:rPr>
          <w:b/>
          <w:lang w:val="ru-RU"/>
        </w:rPr>
        <w:t>Устойчивость</w:t>
      </w:r>
      <w:r w:rsidRPr="007E4A98">
        <w:rPr>
          <w:b/>
          <w:lang w:val="ru-RU"/>
        </w:rPr>
        <w:t xml:space="preserve">, </w:t>
      </w:r>
      <w:r>
        <w:rPr>
          <w:b/>
          <w:lang w:val="ru-RU"/>
        </w:rPr>
        <w:t>внутреннее</w:t>
      </w:r>
      <w:r w:rsidRPr="007E4A98">
        <w:rPr>
          <w:b/>
          <w:lang w:val="ru-RU"/>
        </w:rPr>
        <w:t xml:space="preserve"> </w:t>
      </w:r>
      <w:r>
        <w:rPr>
          <w:b/>
          <w:lang w:val="ru-RU"/>
        </w:rPr>
        <w:t>финансирование</w:t>
      </w:r>
      <w:r w:rsidRPr="007E4A98">
        <w:rPr>
          <w:b/>
          <w:lang w:val="ru-RU"/>
        </w:rPr>
        <w:t xml:space="preserve"> </w:t>
      </w:r>
      <w:r>
        <w:rPr>
          <w:b/>
          <w:lang w:val="ru-RU"/>
        </w:rPr>
        <w:t>и</w:t>
      </w:r>
      <w:r w:rsidRPr="007E4A98">
        <w:rPr>
          <w:b/>
          <w:lang w:val="ru-RU"/>
        </w:rPr>
        <w:t xml:space="preserve"> </w:t>
      </w:r>
      <w:r>
        <w:rPr>
          <w:b/>
          <w:lang w:val="ru-RU"/>
        </w:rPr>
        <w:t>мобилизация</w:t>
      </w:r>
      <w:r w:rsidRPr="007E4A98">
        <w:rPr>
          <w:b/>
          <w:lang w:val="ru-RU"/>
        </w:rPr>
        <w:t xml:space="preserve"> </w:t>
      </w:r>
      <w:r>
        <w:rPr>
          <w:b/>
          <w:lang w:val="ru-RU"/>
        </w:rPr>
        <w:t>ресурсов</w:t>
      </w:r>
      <w:r w:rsidR="00CE02D4" w:rsidRPr="007E4A98">
        <w:rPr>
          <w:lang w:val="ru-RU"/>
        </w:rPr>
        <w:t>:</w:t>
      </w:r>
    </w:p>
    <w:p w14:paraId="58CAED48" w14:textId="03CC9074" w:rsidR="00CE02D4" w:rsidRPr="00F950DB" w:rsidRDefault="008827A8" w:rsidP="00D8578B">
      <w:pPr>
        <w:pStyle w:val="a1"/>
        <w:numPr>
          <w:ilvl w:val="0"/>
          <w:numId w:val="13"/>
        </w:numPr>
        <w:ind w:left="810" w:hanging="450"/>
        <w:jc w:val="both"/>
        <w:rPr>
          <w:rFonts w:ascii="Arial" w:eastAsia="Arial" w:hAnsi="Arial" w:cs="Arial"/>
          <w:color w:val="000000" w:themeColor="text1"/>
          <w:szCs w:val="24"/>
          <w:lang w:val="ru-RU"/>
        </w:rPr>
      </w:pPr>
      <w:r w:rsidRPr="00F950DB">
        <w:rPr>
          <w:rFonts w:ascii="Arial" w:eastAsia="Arial" w:hAnsi="Arial" w:cs="Arial"/>
          <w:color w:val="000000" w:themeColor="text1"/>
          <w:szCs w:val="24"/>
          <w:lang w:val="ru-RU"/>
        </w:rPr>
        <w:t>Кратко укажите главные достижения и вызовы для устойчивости мер, принимаемых страной</w:t>
      </w:r>
      <w:r w:rsidR="00DB1F18" w:rsidRPr="00F950DB">
        <w:rPr>
          <w:rFonts w:ascii="Arial" w:eastAsia="Arial" w:hAnsi="Arial" w:cs="Arial"/>
          <w:color w:val="000000" w:themeColor="text1"/>
          <w:szCs w:val="24"/>
          <w:lang w:val="ru-RU"/>
        </w:rPr>
        <w:t>. Расскажите, что будет предприниматься для ответа на вызовы в рамках данной заявки на финансирование</w:t>
      </w:r>
      <w:r w:rsidR="00741A6C" w:rsidRPr="00F950DB">
        <w:rPr>
          <w:rFonts w:ascii="Arial" w:eastAsia="Arial" w:hAnsi="Arial" w:cs="Arial"/>
          <w:color w:val="000000" w:themeColor="text1"/>
          <w:szCs w:val="24"/>
          <w:lang w:val="ru-RU"/>
        </w:rPr>
        <w:t>, для усиления финансирования сектора здравоохранения, а также о других инициативах, запланированных страной</w:t>
      </w:r>
      <w:r w:rsidR="00191AFE" w:rsidRPr="00F950DB">
        <w:rPr>
          <w:rFonts w:ascii="Arial" w:eastAsia="Arial" w:hAnsi="Arial" w:cs="Arial"/>
          <w:color w:val="000000" w:themeColor="text1"/>
          <w:szCs w:val="24"/>
          <w:lang w:val="ru-RU"/>
        </w:rPr>
        <w:t>.</w:t>
      </w:r>
      <w:r w:rsidR="001C3CCB">
        <w:rPr>
          <w:rFonts w:ascii="Arial" w:eastAsia="Arial" w:hAnsi="Arial" w:cs="Arial"/>
          <w:color w:val="000000" w:themeColor="text1"/>
          <w:szCs w:val="24"/>
          <w:lang w:val="ru-RU"/>
        </w:rPr>
        <w:t xml:space="preserve"> </w:t>
      </w:r>
      <w:r w:rsidR="001C3CCB">
        <w:rPr>
          <w:i/>
          <w:iCs/>
          <w:color w:val="EE0C3D" w:themeColor="accent1"/>
          <w:sz w:val="20"/>
          <w:szCs w:val="20"/>
          <w:lang w:val="ru-RU"/>
        </w:rPr>
        <w:t>0.5</w:t>
      </w:r>
      <w:r w:rsidR="004438DF" w:rsidRPr="001C3CCB">
        <w:rPr>
          <w:i/>
          <w:iCs/>
          <w:color w:val="EE0C3D" w:themeColor="accent1"/>
          <w:sz w:val="20"/>
          <w:szCs w:val="20"/>
          <w:lang w:val="ru-RU"/>
        </w:rPr>
        <w:t xml:space="preserve"> страницы</w:t>
      </w:r>
    </w:p>
    <w:p w14:paraId="7BFDCE86" w14:textId="6C9999BD" w:rsidR="00CE02D4" w:rsidRPr="00A26221" w:rsidRDefault="00BC07B3" w:rsidP="00D8578B">
      <w:pPr>
        <w:pStyle w:val="a1"/>
        <w:numPr>
          <w:ilvl w:val="0"/>
          <w:numId w:val="13"/>
        </w:numPr>
        <w:ind w:left="810" w:hanging="450"/>
        <w:jc w:val="both"/>
        <w:rPr>
          <w:rFonts w:ascii="Arial" w:eastAsia="Arial" w:hAnsi="Arial" w:cs="Arial"/>
          <w:color w:val="000000" w:themeColor="text1"/>
          <w:szCs w:val="24"/>
          <w:lang w:val="ru-RU"/>
        </w:rPr>
      </w:pPr>
      <w:r w:rsidRPr="00A26221">
        <w:rPr>
          <w:rFonts w:ascii="Arial" w:eastAsia="Arial" w:hAnsi="Arial" w:cs="Arial"/>
          <w:color w:val="000000" w:themeColor="text1"/>
          <w:szCs w:val="24"/>
          <w:lang w:val="ru-RU"/>
        </w:rPr>
        <w:t xml:space="preserve">Расскажите, насколько были исполнены обязательства по софинансированию в период финансирования с 2020 по 2022 год. Выделите </w:t>
      </w:r>
      <w:r w:rsidR="0069205A" w:rsidRPr="00A26221">
        <w:rPr>
          <w:rFonts w:ascii="Arial" w:eastAsia="Arial" w:hAnsi="Arial" w:cs="Arial"/>
          <w:color w:val="000000" w:themeColor="text1"/>
          <w:szCs w:val="24"/>
          <w:lang w:val="ru-RU"/>
        </w:rPr>
        <w:t xml:space="preserve">дополнительные внутренние вложения в меры, принятые страной, и конкретные программные направления, охваченные за счет внутреннего софинансирования. </w:t>
      </w:r>
      <w:r w:rsidR="00A26221" w:rsidRPr="00A26221">
        <w:rPr>
          <w:rFonts w:ascii="Arial" w:eastAsia="Arial" w:hAnsi="Arial" w:cs="Arial"/>
          <w:color w:val="000000" w:themeColor="text1"/>
          <w:szCs w:val="24"/>
          <w:lang w:val="ru-RU"/>
        </w:rPr>
        <w:t>Если обязательства по софинансированию не были исполнены в полной мере, укажите причины</w:t>
      </w:r>
      <w:r w:rsidR="00485B05" w:rsidRPr="00A26221">
        <w:rPr>
          <w:rFonts w:ascii="Arial" w:eastAsia="Arial" w:hAnsi="Arial" w:cs="Arial"/>
          <w:color w:val="000000" w:themeColor="text1"/>
          <w:szCs w:val="24"/>
          <w:lang w:val="ru-RU"/>
        </w:rPr>
        <w:t xml:space="preserve">. </w:t>
      </w:r>
      <w:r w:rsidR="001C3CCB">
        <w:rPr>
          <w:i/>
          <w:iCs/>
          <w:color w:val="EE0C3D" w:themeColor="accent1"/>
          <w:sz w:val="20"/>
          <w:szCs w:val="20"/>
          <w:lang w:val="ru-RU"/>
        </w:rPr>
        <w:t>0.5</w:t>
      </w:r>
      <w:r w:rsidR="001C3CCB" w:rsidRPr="001C3CCB">
        <w:rPr>
          <w:i/>
          <w:iCs/>
          <w:color w:val="EE0C3D" w:themeColor="accent1"/>
          <w:sz w:val="20"/>
          <w:szCs w:val="20"/>
          <w:lang w:val="ru-RU"/>
        </w:rPr>
        <w:t xml:space="preserve"> страницы</w:t>
      </w:r>
    </w:p>
    <w:p w14:paraId="52E8F60C" w14:textId="46AF716B" w:rsidR="00485B05" w:rsidRPr="00062287" w:rsidRDefault="005721C4" w:rsidP="00D8578B">
      <w:pPr>
        <w:pStyle w:val="a1"/>
        <w:numPr>
          <w:ilvl w:val="0"/>
          <w:numId w:val="13"/>
        </w:numPr>
        <w:ind w:left="810" w:hanging="450"/>
        <w:jc w:val="both"/>
        <w:rPr>
          <w:rFonts w:ascii="Arial" w:eastAsia="Arial" w:hAnsi="Arial" w:cs="Arial"/>
          <w:color w:val="000000" w:themeColor="text1"/>
          <w:szCs w:val="24"/>
          <w:lang w:val="ru-RU"/>
        </w:rPr>
      </w:pPr>
      <w:r w:rsidRPr="00062287">
        <w:rPr>
          <w:rFonts w:ascii="Arial" w:eastAsia="Arial" w:hAnsi="Arial" w:cs="Arial"/>
          <w:color w:val="000000" w:themeColor="text1"/>
          <w:szCs w:val="24"/>
          <w:lang w:val="ru-RU"/>
        </w:rPr>
        <w:t>Расскажите, как будет увеличиваться софинансирование в 2023-2025 годы</w:t>
      </w:r>
      <w:r w:rsidR="00F85E83" w:rsidRPr="00062287">
        <w:rPr>
          <w:rFonts w:ascii="Arial" w:eastAsia="Arial" w:hAnsi="Arial" w:cs="Arial"/>
          <w:color w:val="000000" w:themeColor="text1"/>
          <w:szCs w:val="24"/>
          <w:lang w:val="ru-RU"/>
        </w:rPr>
        <w:t>. Укажите направления для дополнительного внутреннего софинанс</w:t>
      </w:r>
      <w:r w:rsidR="004438DF">
        <w:rPr>
          <w:rFonts w:ascii="Arial" w:eastAsia="Arial" w:hAnsi="Arial" w:cs="Arial"/>
          <w:color w:val="000000" w:themeColor="text1"/>
          <w:szCs w:val="24"/>
          <w:lang w:val="ru-RU"/>
        </w:rPr>
        <w:t>и</w:t>
      </w:r>
      <w:r w:rsidR="00F85E83" w:rsidRPr="00062287">
        <w:rPr>
          <w:rFonts w:ascii="Arial" w:eastAsia="Arial" w:hAnsi="Arial" w:cs="Arial"/>
          <w:color w:val="000000" w:themeColor="text1"/>
          <w:szCs w:val="24"/>
          <w:lang w:val="ru-RU"/>
        </w:rPr>
        <w:t xml:space="preserve">рования в рамках конкретных программных направлений. Опишите запланированные действия </w:t>
      </w:r>
      <w:r w:rsidR="00062287" w:rsidRPr="00062287">
        <w:rPr>
          <w:rFonts w:ascii="Arial" w:eastAsia="Arial" w:hAnsi="Arial" w:cs="Arial"/>
          <w:color w:val="000000" w:themeColor="text1"/>
          <w:szCs w:val="24"/>
          <w:lang w:val="ru-RU"/>
        </w:rPr>
        <w:t>по восполнению оставшихся пробелов в финансировании из внутрен</w:t>
      </w:r>
      <w:r w:rsidR="00062287">
        <w:rPr>
          <w:rFonts w:ascii="Arial" w:eastAsia="Arial" w:hAnsi="Arial" w:cs="Arial"/>
          <w:color w:val="000000" w:themeColor="text1"/>
          <w:szCs w:val="24"/>
          <w:lang w:val="ru-RU"/>
        </w:rPr>
        <w:t>н</w:t>
      </w:r>
      <w:r w:rsidR="00062287" w:rsidRPr="00062287">
        <w:rPr>
          <w:rFonts w:ascii="Arial" w:eastAsia="Arial" w:hAnsi="Arial" w:cs="Arial"/>
          <w:color w:val="000000" w:themeColor="text1"/>
          <w:szCs w:val="24"/>
          <w:lang w:val="ru-RU"/>
        </w:rPr>
        <w:t>их и прочих источников. Расскажите, как будет отслеживаться исполнение обязательств по софинансированию и как о нем будут отчитываться</w:t>
      </w:r>
      <w:r w:rsidR="00485B05" w:rsidRPr="00062287">
        <w:rPr>
          <w:rFonts w:ascii="Arial" w:eastAsia="Arial" w:hAnsi="Arial" w:cs="Arial"/>
          <w:color w:val="000000" w:themeColor="text1"/>
          <w:szCs w:val="24"/>
          <w:lang w:val="ru-RU"/>
        </w:rPr>
        <w:t>.</w:t>
      </w:r>
      <w:r w:rsidR="004438DF">
        <w:rPr>
          <w:rFonts w:ascii="Arial" w:eastAsia="Arial" w:hAnsi="Arial" w:cs="Arial"/>
          <w:color w:val="000000" w:themeColor="text1"/>
          <w:szCs w:val="24"/>
          <w:lang w:val="ru-RU"/>
        </w:rPr>
        <w:t xml:space="preserve"> </w:t>
      </w:r>
      <w:r w:rsidR="001C3CCB">
        <w:rPr>
          <w:i/>
          <w:iCs/>
          <w:color w:val="EE0C3D" w:themeColor="accent1"/>
          <w:sz w:val="20"/>
          <w:szCs w:val="20"/>
          <w:lang w:val="ru-RU"/>
        </w:rPr>
        <w:t>1</w:t>
      </w:r>
      <w:r w:rsidR="001C3CCB" w:rsidRPr="001C3CCB">
        <w:rPr>
          <w:i/>
          <w:iCs/>
          <w:color w:val="EE0C3D" w:themeColor="accent1"/>
          <w:sz w:val="20"/>
          <w:szCs w:val="20"/>
          <w:lang w:val="ru-RU"/>
        </w:rPr>
        <w:t xml:space="preserve"> страниц</w:t>
      </w:r>
      <w:r w:rsidR="001C3CCB">
        <w:rPr>
          <w:i/>
          <w:iCs/>
          <w:color w:val="EE0C3D" w:themeColor="accent1"/>
          <w:sz w:val="20"/>
          <w:szCs w:val="20"/>
          <w:lang w:val="ru-RU"/>
        </w:rPr>
        <w:t>а</w:t>
      </w:r>
    </w:p>
    <w:p w14:paraId="4E33FE81" w14:textId="47147F20" w:rsidR="00485B05" w:rsidRPr="00D85458" w:rsidRDefault="00062287" w:rsidP="00D8578B">
      <w:pPr>
        <w:pStyle w:val="a1"/>
        <w:numPr>
          <w:ilvl w:val="0"/>
          <w:numId w:val="13"/>
        </w:numPr>
        <w:ind w:left="805" w:hanging="448"/>
        <w:jc w:val="both"/>
        <w:rPr>
          <w:rFonts w:ascii="Arial" w:eastAsia="Arial" w:hAnsi="Arial" w:cs="Arial"/>
          <w:color w:val="000000" w:themeColor="text1"/>
          <w:szCs w:val="24"/>
          <w:lang w:val="ru-RU"/>
        </w:rPr>
      </w:pPr>
      <w:r>
        <w:rPr>
          <w:rFonts w:ascii="Arial" w:eastAsia="Arial" w:hAnsi="Arial" w:cs="Arial"/>
          <w:color w:val="000000" w:themeColor="text1"/>
          <w:szCs w:val="24"/>
          <w:lang w:val="ru-RU"/>
        </w:rPr>
        <w:t xml:space="preserve">Если применимо </w:t>
      </w:r>
      <w:r w:rsidR="00ED16E3">
        <w:rPr>
          <w:rFonts w:ascii="Arial" w:eastAsia="Arial" w:hAnsi="Arial" w:cs="Arial"/>
          <w:color w:val="000000" w:themeColor="text1"/>
          <w:szCs w:val="24"/>
          <w:lang w:val="ru-RU"/>
        </w:rPr>
        <w:t>–</w:t>
      </w:r>
      <w:r>
        <w:rPr>
          <w:rFonts w:ascii="Arial" w:eastAsia="Arial" w:hAnsi="Arial" w:cs="Arial"/>
          <w:color w:val="000000" w:themeColor="text1"/>
          <w:szCs w:val="24"/>
          <w:lang w:val="ru-RU"/>
        </w:rPr>
        <w:t xml:space="preserve"> </w:t>
      </w:r>
      <w:r w:rsidR="00ED16E3">
        <w:rPr>
          <w:rFonts w:ascii="Arial" w:eastAsia="Arial" w:hAnsi="Arial" w:cs="Arial"/>
          <w:color w:val="000000" w:themeColor="text1"/>
          <w:szCs w:val="24"/>
          <w:lang w:val="ru-RU"/>
        </w:rPr>
        <w:t xml:space="preserve">расскажите о конкретных организационных действиях и форматах, связанных с инновационными подходами в финансировании, которые относятся к данной заявке на финансирование и/или внутренним мерам реагирования. </w:t>
      </w:r>
      <w:r w:rsidR="006E17FD">
        <w:rPr>
          <w:rFonts w:ascii="Arial" w:eastAsia="Arial" w:hAnsi="Arial" w:cs="Arial"/>
          <w:color w:val="000000" w:themeColor="text1"/>
          <w:szCs w:val="24"/>
          <w:lang w:val="ru-RU"/>
        </w:rPr>
        <w:t xml:space="preserve">Особое внимание уделите смешанному финансированию, совместным инвестициям и инновационному механизму финансирования </w:t>
      </w:r>
      <w:bookmarkStart w:id="15" w:name="_Hlk123068172"/>
      <w:r w:rsidR="00485B05">
        <w:t>Debt</w:t>
      </w:r>
      <w:r w:rsidR="00485B05" w:rsidRPr="00D85458">
        <w:rPr>
          <w:lang w:val="ru-RU"/>
        </w:rPr>
        <w:t>2</w:t>
      </w:r>
      <w:r w:rsidR="00485B05">
        <w:t>Health</w:t>
      </w:r>
      <w:bookmarkEnd w:id="15"/>
      <w:r w:rsidR="00485B05" w:rsidRPr="00D85458">
        <w:rPr>
          <w:rFonts w:ascii="Arial" w:eastAsia="Arial" w:hAnsi="Arial" w:cs="Arial"/>
          <w:color w:val="000000" w:themeColor="text1"/>
          <w:szCs w:val="24"/>
          <w:lang w:val="ru-RU"/>
        </w:rPr>
        <w:t>.</w:t>
      </w:r>
      <w:r w:rsidR="001C3CCB">
        <w:rPr>
          <w:rFonts w:ascii="Arial" w:eastAsia="Arial" w:hAnsi="Arial" w:cs="Arial"/>
          <w:color w:val="000000" w:themeColor="text1"/>
          <w:szCs w:val="24"/>
          <w:lang w:val="ru-RU"/>
        </w:rPr>
        <w:t xml:space="preserve"> </w:t>
      </w:r>
      <w:r w:rsidR="00865F7B" w:rsidRPr="001C3CCB">
        <w:rPr>
          <w:rFonts w:ascii="Arial" w:eastAsia="Arial" w:hAnsi="Arial" w:cs="Arial"/>
          <w:i/>
          <w:iCs/>
          <w:color w:val="FF0000"/>
          <w:sz w:val="20"/>
          <w:szCs w:val="20"/>
          <w:lang w:val="ru-RU"/>
        </w:rPr>
        <w:t>не применимо</w:t>
      </w:r>
    </w:p>
    <w:p w14:paraId="6F587ABC" w14:textId="7CC166DE" w:rsidR="00E862FF" w:rsidRPr="00D85458" w:rsidRDefault="00E862FF">
      <w:pPr>
        <w:spacing w:after="200"/>
        <w:rPr>
          <w:rFonts w:asciiTheme="majorHAnsi" w:eastAsiaTheme="majorEastAsia" w:hAnsiTheme="majorHAnsi" w:cstheme="majorBidi"/>
          <w:color w:val="000000" w:themeColor="text1"/>
          <w:sz w:val="32"/>
          <w:szCs w:val="32"/>
          <w:lang w:val="ru-RU"/>
        </w:rPr>
      </w:pPr>
      <w:r w:rsidRPr="00D85458">
        <w:rPr>
          <w:rFonts w:asciiTheme="majorHAnsi" w:eastAsiaTheme="majorEastAsia" w:hAnsiTheme="majorHAnsi" w:cstheme="majorBidi"/>
          <w:color w:val="000000" w:themeColor="text1"/>
          <w:sz w:val="32"/>
          <w:szCs w:val="32"/>
          <w:lang w:val="ru-RU"/>
        </w:rPr>
        <w:br w:type="page"/>
      </w:r>
    </w:p>
    <w:p w14:paraId="78B7967A" w14:textId="70B03EC3" w:rsidR="00FC7ABC" w:rsidRPr="00DE65EB" w:rsidRDefault="00FE748D" w:rsidP="00DE65EB">
      <w:pPr>
        <w:spacing w:before="600" w:after="600" w:line="240" w:lineRule="auto"/>
        <w:rPr>
          <w:rFonts w:asciiTheme="majorHAnsi" w:eastAsiaTheme="majorEastAsia" w:hAnsiTheme="majorHAnsi" w:cstheme="majorBidi"/>
          <w:color w:val="000000" w:themeColor="text1"/>
          <w:sz w:val="32"/>
          <w:szCs w:val="32"/>
          <w:lang w:val="en-GB"/>
        </w:rPr>
      </w:pPr>
      <w:r>
        <w:rPr>
          <w:rFonts w:asciiTheme="majorHAnsi" w:eastAsiaTheme="majorEastAsia" w:hAnsiTheme="majorHAnsi" w:cstheme="majorBidi"/>
          <w:color w:val="000000" w:themeColor="text1"/>
          <w:sz w:val="32"/>
          <w:szCs w:val="32"/>
          <w:lang w:val="ru-RU"/>
        </w:rPr>
        <w:lastRenderedPageBreak/>
        <w:t>Раздел</w:t>
      </w:r>
      <w:r w:rsidR="006F4B7C">
        <w:rPr>
          <w:rFonts w:asciiTheme="majorHAnsi" w:eastAsiaTheme="majorEastAsia" w:hAnsiTheme="majorHAnsi" w:cstheme="majorBidi"/>
          <w:color w:val="000000" w:themeColor="text1"/>
          <w:sz w:val="32"/>
          <w:szCs w:val="32"/>
        </w:rPr>
        <w:t xml:space="preserve"> 3. </w:t>
      </w:r>
      <w:r w:rsidR="00AB3F9E">
        <w:rPr>
          <w:rFonts w:asciiTheme="majorHAnsi" w:eastAsiaTheme="majorEastAsia" w:hAnsiTheme="majorHAnsi" w:cstheme="majorBidi"/>
          <w:color w:val="000000" w:themeColor="text1"/>
          <w:sz w:val="32"/>
          <w:szCs w:val="32"/>
          <w:lang w:val="ru-RU"/>
        </w:rPr>
        <w:t>Исполнение</w:t>
      </w:r>
      <w:r w:rsidR="001C3CCB">
        <w:rPr>
          <w:rFonts w:asciiTheme="majorHAnsi" w:eastAsiaTheme="majorEastAsia" w:hAnsiTheme="majorHAnsi" w:cstheme="majorBidi"/>
          <w:color w:val="000000" w:themeColor="text1"/>
          <w:sz w:val="32"/>
          <w:szCs w:val="32"/>
          <w:lang w:val="ru-RU"/>
        </w:rPr>
        <w:t xml:space="preserve"> </w:t>
      </w:r>
      <w:r w:rsidR="001C3CCB">
        <w:rPr>
          <w:i/>
          <w:iCs/>
          <w:color w:val="EE0C3D" w:themeColor="accent1"/>
          <w:sz w:val="20"/>
          <w:szCs w:val="20"/>
          <w:lang w:val="ru-RU"/>
        </w:rPr>
        <w:t>1</w:t>
      </w:r>
      <w:r w:rsidR="001C3CCB" w:rsidRPr="001C3CCB">
        <w:rPr>
          <w:i/>
          <w:iCs/>
          <w:color w:val="EE0C3D" w:themeColor="accent1"/>
          <w:sz w:val="20"/>
          <w:szCs w:val="20"/>
          <w:lang w:val="ru-RU"/>
        </w:rPr>
        <w:t xml:space="preserve"> страниц</w:t>
      </w:r>
      <w:r w:rsidR="001C3CCB">
        <w:rPr>
          <w:i/>
          <w:iCs/>
          <w:color w:val="EE0C3D" w:themeColor="accent1"/>
          <w:sz w:val="20"/>
          <w:szCs w:val="20"/>
          <w:lang w:val="ru-RU"/>
        </w:rPr>
        <w:t>а</w:t>
      </w:r>
    </w:p>
    <w:p w14:paraId="7E590E92" w14:textId="090941F2" w:rsidR="004E389D" w:rsidRPr="00010DDB" w:rsidRDefault="00AB3F9E" w:rsidP="00D8578B">
      <w:pPr>
        <w:pStyle w:val="a1"/>
        <w:numPr>
          <w:ilvl w:val="1"/>
          <w:numId w:val="10"/>
        </w:numPr>
        <w:ind w:left="806"/>
        <w:jc w:val="both"/>
        <w:rPr>
          <w:color w:val="000000" w:themeColor="text1"/>
          <w:lang w:val="ru-RU"/>
        </w:rPr>
      </w:pPr>
      <w:r w:rsidRPr="00010DDB">
        <w:rPr>
          <w:b/>
          <w:color w:val="000000" w:themeColor="text1"/>
          <w:lang w:val="ru-RU"/>
        </w:rPr>
        <w:t xml:space="preserve">Организация исполнения. </w:t>
      </w:r>
      <w:r w:rsidRPr="00010DDB">
        <w:rPr>
          <w:color w:val="000000" w:themeColor="text1"/>
          <w:lang w:val="ru-RU"/>
        </w:rPr>
        <w:t xml:space="preserve">Опишите изменения в организации исполнения, которые максимально повысят </w:t>
      </w:r>
      <w:r w:rsidR="00010DDB" w:rsidRPr="00010DDB">
        <w:rPr>
          <w:color w:val="000000" w:themeColor="text1"/>
          <w:lang w:val="ru-RU"/>
        </w:rPr>
        <w:t xml:space="preserve">результативность реализации и оптимизируют </w:t>
      </w:r>
      <w:r w:rsidRPr="00010DDB">
        <w:rPr>
          <w:color w:val="000000" w:themeColor="text1"/>
          <w:lang w:val="ru-RU"/>
        </w:rPr>
        <w:t>эффективность</w:t>
      </w:r>
      <w:r w:rsidR="00B55F0F" w:rsidRPr="00010DDB">
        <w:rPr>
          <w:lang w:val="ru-RU"/>
        </w:rPr>
        <w:t>.</w:t>
      </w:r>
    </w:p>
    <w:p w14:paraId="10006D45" w14:textId="2F4A91AF" w:rsidR="00A10659" w:rsidRPr="00586262" w:rsidRDefault="007E6450" w:rsidP="00D8578B">
      <w:pPr>
        <w:pStyle w:val="a1"/>
        <w:numPr>
          <w:ilvl w:val="1"/>
          <w:numId w:val="10"/>
        </w:numPr>
        <w:ind w:left="806"/>
        <w:jc w:val="both"/>
        <w:rPr>
          <w:color w:val="000000" w:themeColor="text1"/>
          <w:lang w:val="ru-RU"/>
        </w:rPr>
      </w:pPr>
      <w:bookmarkStart w:id="16" w:name="_Hlk123068442"/>
      <w:r w:rsidRPr="003A078F">
        <w:rPr>
          <w:b/>
          <w:color w:val="000000" w:themeColor="text1"/>
          <w:lang w:val="ru-RU"/>
        </w:rPr>
        <w:t>Организации, действующие в сообществах и возглавляемые ими</w:t>
      </w:r>
      <w:bookmarkEnd w:id="16"/>
      <w:r w:rsidRPr="003A078F">
        <w:rPr>
          <w:b/>
          <w:color w:val="000000" w:themeColor="text1"/>
          <w:lang w:val="ru-RU"/>
        </w:rPr>
        <w:t xml:space="preserve">. </w:t>
      </w:r>
      <w:r w:rsidRPr="003A078F">
        <w:rPr>
          <w:color w:val="000000" w:themeColor="text1"/>
          <w:lang w:val="ru-RU"/>
        </w:rPr>
        <w:t>Расскажите</w:t>
      </w:r>
      <w:r w:rsidRPr="00586262">
        <w:rPr>
          <w:color w:val="000000" w:themeColor="text1"/>
          <w:lang w:val="ru-RU"/>
        </w:rPr>
        <w:t xml:space="preserve"> </w:t>
      </w:r>
      <w:r w:rsidRPr="003A078F">
        <w:rPr>
          <w:color w:val="000000" w:themeColor="text1"/>
          <w:lang w:val="ru-RU"/>
        </w:rPr>
        <w:t>о</w:t>
      </w:r>
      <w:r w:rsidRPr="00586262">
        <w:rPr>
          <w:color w:val="000000" w:themeColor="text1"/>
          <w:lang w:val="ru-RU"/>
        </w:rPr>
        <w:t xml:space="preserve"> </w:t>
      </w:r>
      <w:r w:rsidR="003A078F" w:rsidRPr="003A078F">
        <w:rPr>
          <w:color w:val="000000" w:themeColor="text1"/>
          <w:lang w:val="ru-RU"/>
        </w:rPr>
        <w:t>роли</w:t>
      </w:r>
      <w:r w:rsidR="003A078F" w:rsidRPr="00586262">
        <w:rPr>
          <w:color w:val="000000" w:themeColor="text1"/>
          <w:lang w:val="ru-RU"/>
        </w:rPr>
        <w:t xml:space="preserve">, </w:t>
      </w:r>
      <w:r w:rsidR="003A078F" w:rsidRPr="003A078F">
        <w:rPr>
          <w:color w:val="000000" w:themeColor="text1"/>
          <w:lang w:val="ru-RU"/>
        </w:rPr>
        <w:t>которую</w:t>
      </w:r>
      <w:r w:rsidR="003A078F" w:rsidRPr="00586262">
        <w:rPr>
          <w:color w:val="000000" w:themeColor="text1"/>
          <w:lang w:val="ru-RU"/>
        </w:rPr>
        <w:t xml:space="preserve"> </w:t>
      </w:r>
      <w:r w:rsidR="003A078F" w:rsidRPr="003A078F">
        <w:rPr>
          <w:color w:val="000000" w:themeColor="text1"/>
          <w:lang w:val="ru-RU"/>
        </w:rPr>
        <w:t>будут</w:t>
      </w:r>
      <w:r w:rsidR="003A078F" w:rsidRPr="00586262">
        <w:rPr>
          <w:color w:val="000000" w:themeColor="text1"/>
          <w:lang w:val="ru-RU"/>
        </w:rPr>
        <w:t xml:space="preserve"> </w:t>
      </w:r>
      <w:r w:rsidR="003A078F" w:rsidRPr="003A078F">
        <w:rPr>
          <w:color w:val="000000" w:themeColor="text1"/>
          <w:lang w:val="ru-RU"/>
        </w:rPr>
        <w:t>играть</w:t>
      </w:r>
      <w:r w:rsidR="003A078F" w:rsidRPr="00586262">
        <w:rPr>
          <w:color w:val="000000" w:themeColor="text1"/>
          <w:lang w:val="ru-RU"/>
        </w:rPr>
        <w:t xml:space="preserve"> </w:t>
      </w:r>
      <w:r w:rsidR="003A078F" w:rsidRPr="003A078F">
        <w:rPr>
          <w:color w:val="000000" w:themeColor="text1"/>
          <w:lang w:val="ru-RU"/>
        </w:rPr>
        <w:t>организации</w:t>
      </w:r>
      <w:r w:rsidR="003A078F" w:rsidRPr="00586262">
        <w:rPr>
          <w:color w:val="000000" w:themeColor="text1"/>
          <w:lang w:val="ru-RU"/>
        </w:rPr>
        <w:t xml:space="preserve">, </w:t>
      </w:r>
      <w:r w:rsidR="003A078F" w:rsidRPr="003A078F">
        <w:rPr>
          <w:color w:val="000000" w:themeColor="text1"/>
          <w:lang w:val="ru-RU"/>
        </w:rPr>
        <w:t>действующие</w:t>
      </w:r>
      <w:r w:rsidR="003A078F" w:rsidRPr="00586262">
        <w:rPr>
          <w:color w:val="000000" w:themeColor="text1"/>
          <w:lang w:val="ru-RU"/>
        </w:rPr>
        <w:t xml:space="preserve"> </w:t>
      </w:r>
      <w:r w:rsidR="003A078F" w:rsidRPr="003A078F">
        <w:rPr>
          <w:color w:val="000000" w:themeColor="text1"/>
          <w:lang w:val="ru-RU"/>
        </w:rPr>
        <w:t>в</w:t>
      </w:r>
      <w:r w:rsidR="003A078F" w:rsidRPr="00586262">
        <w:rPr>
          <w:color w:val="000000" w:themeColor="text1"/>
          <w:lang w:val="ru-RU"/>
        </w:rPr>
        <w:t xml:space="preserve"> </w:t>
      </w:r>
      <w:r w:rsidR="003A078F" w:rsidRPr="003A078F">
        <w:rPr>
          <w:color w:val="000000" w:themeColor="text1"/>
          <w:lang w:val="ru-RU"/>
        </w:rPr>
        <w:t>сообществах</w:t>
      </w:r>
      <w:r w:rsidR="003A078F" w:rsidRPr="00586262">
        <w:rPr>
          <w:color w:val="000000" w:themeColor="text1"/>
          <w:lang w:val="ru-RU"/>
        </w:rPr>
        <w:t xml:space="preserve"> </w:t>
      </w:r>
      <w:r w:rsidR="003A078F" w:rsidRPr="003A078F">
        <w:rPr>
          <w:color w:val="000000" w:themeColor="text1"/>
          <w:lang w:val="ru-RU"/>
        </w:rPr>
        <w:t>и</w:t>
      </w:r>
      <w:r w:rsidR="003A078F" w:rsidRPr="00586262">
        <w:rPr>
          <w:color w:val="000000" w:themeColor="text1"/>
          <w:lang w:val="ru-RU"/>
        </w:rPr>
        <w:t xml:space="preserve"> </w:t>
      </w:r>
      <w:r w:rsidR="003A078F" w:rsidRPr="003A078F">
        <w:rPr>
          <w:color w:val="000000" w:themeColor="text1"/>
          <w:lang w:val="ru-RU"/>
        </w:rPr>
        <w:t>возглавляемые</w:t>
      </w:r>
      <w:r w:rsidR="003A078F" w:rsidRPr="00586262">
        <w:rPr>
          <w:color w:val="000000" w:themeColor="text1"/>
          <w:lang w:val="ru-RU"/>
        </w:rPr>
        <w:t xml:space="preserve"> </w:t>
      </w:r>
      <w:r w:rsidR="003A078F" w:rsidRPr="003A078F">
        <w:rPr>
          <w:color w:val="000000" w:themeColor="text1"/>
          <w:lang w:val="ru-RU"/>
        </w:rPr>
        <w:t>ими</w:t>
      </w:r>
      <w:r w:rsidR="003A078F" w:rsidRPr="00586262">
        <w:rPr>
          <w:color w:val="000000" w:themeColor="text1"/>
          <w:lang w:val="ru-RU"/>
        </w:rPr>
        <w:t xml:space="preserve">, </w:t>
      </w:r>
      <w:r w:rsidR="003A078F" w:rsidRPr="003A078F">
        <w:rPr>
          <w:color w:val="000000" w:themeColor="text1"/>
          <w:lang w:val="ru-RU"/>
        </w:rPr>
        <w:t>в</w:t>
      </w:r>
      <w:r w:rsidR="003A078F" w:rsidRPr="00586262">
        <w:rPr>
          <w:color w:val="000000" w:themeColor="text1"/>
          <w:lang w:val="ru-RU"/>
        </w:rPr>
        <w:t xml:space="preserve"> </w:t>
      </w:r>
      <w:r w:rsidR="003A078F" w:rsidRPr="003A078F">
        <w:rPr>
          <w:color w:val="000000" w:themeColor="text1"/>
          <w:lang w:val="ru-RU"/>
        </w:rPr>
        <w:t>реализации</w:t>
      </w:r>
      <w:r w:rsidR="003A078F" w:rsidRPr="00586262">
        <w:rPr>
          <w:color w:val="000000" w:themeColor="text1"/>
          <w:lang w:val="ru-RU"/>
        </w:rPr>
        <w:t xml:space="preserve"> </w:t>
      </w:r>
      <w:r w:rsidR="003A078F" w:rsidRPr="003A078F">
        <w:rPr>
          <w:color w:val="000000" w:themeColor="text1"/>
          <w:lang w:val="ru-RU"/>
        </w:rPr>
        <w:t>программ</w:t>
      </w:r>
      <w:r w:rsidR="003A078F" w:rsidRPr="00586262">
        <w:rPr>
          <w:color w:val="000000" w:themeColor="text1"/>
          <w:lang w:val="ru-RU"/>
        </w:rPr>
        <w:t xml:space="preserve">, </w:t>
      </w:r>
      <w:r w:rsidR="003A078F" w:rsidRPr="003A078F">
        <w:rPr>
          <w:color w:val="000000" w:themeColor="text1"/>
          <w:lang w:val="ru-RU"/>
        </w:rPr>
        <w:t>финансируемых</w:t>
      </w:r>
      <w:r w:rsidR="003A078F" w:rsidRPr="00586262">
        <w:rPr>
          <w:color w:val="000000" w:themeColor="text1"/>
          <w:lang w:val="ru-RU"/>
        </w:rPr>
        <w:t xml:space="preserve"> </w:t>
      </w:r>
      <w:r w:rsidR="003A078F" w:rsidRPr="003A078F">
        <w:rPr>
          <w:color w:val="000000" w:themeColor="text1"/>
          <w:lang w:val="ru-RU"/>
        </w:rPr>
        <w:t>Глобальным</w:t>
      </w:r>
      <w:r w:rsidR="003A078F" w:rsidRPr="00586262">
        <w:rPr>
          <w:color w:val="000000" w:themeColor="text1"/>
          <w:lang w:val="ru-RU"/>
        </w:rPr>
        <w:t xml:space="preserve"> </w:t>
      </w:r>
      <w:r w:rsidR="003A078F" w:rsidRPr="003A078F">
        <w:rPr>
          <w:color w:val="000000" w:themeColor="text1"/>
          <w:lang w:val="ru-RU"/>
        </w:rPr>
        <w:t>фондом</w:t>
      </w:r>
      <w:r w:rsidR="00A10659" w:rsidRPr="00586262">
        <w:rPr>
          <w:lang w:val="ru-RU"/>
        </w:rPr>
        <w:t>.</w:t>
      </w:r>
    </w:p>
    <w:p w14:paraId="68D29FA7" w14:textId="1641EE1E" w:rsidR="0070372F" w:rsidRPr="00586262" w:rsidRDefault="0070372F" w:rsidP="0048554C">
      <w:pPr>
        <w:pStyle w:val="a1"/>
        <w:rPr>
          <w:rFonts w:asciiTheme="majorHAnsi" w:eastAsiaTheme="majorEastAsia" w:hAnsiTheme="majorHAnsi" w:cstheme="majorBidi"/>
          <w:color w:val="000000" w:themeColor="text1"/>
          <w:sz w:val="32"/>
          <w:szCs w:val="32"/>
          <w:lang w:val="ru-RU"/>
        </w:rPr>
      </w:pPr>
      <w:r w:rsidRPr="00586262">
        <w:rPr>
          <w:lang w:val="ru-RU"/>
        </w:rPr>
        <w:br w:type="page"/>
      </w:r>
    </w:p>
    <w:p w14:paraId="7343B842" w14:textId="3B8A0D4A" w:rsidR="0070372F" w:rsidRPr="004E5CD1" w:rsidRDefault="00586262" w:rsidP="0070372F">
      <w:pPr>
        <w:pStyle w:val="1"/>
        <w:rPr>
          <w:b/>
          <w:color w:val="auto"/>
          <w:lang w:val="ru-RU"/>
        </w:rPr>
      </w:pPr>
      <w:r>
        <w:rPr>
          <w:lang w:val="ru-RU"/>
        </w:rPr>
        <w:lastRenderedPageBreak/>
        <w:t>Приложение</w:t>
      </w:r>
      <w:r w:rsidR="0070372F" w:rsidRPr="00574F02">
        <w:rPr>
          <w:lang w:val="ru-RU"/>
        </w:rPr>
        <w:t xml:space="preserve"> </w:t>
      </w:r>
      <w:r w:rsidR="00EC781D" w:rsidRPr="00574F02">
        <w:rPr>
          <w:lang w:val="ru-RU"/>
        </w:rPr>
        <w:t>1</w:t>
      </w:r>
      <w:r w:rsidR="00FD555E" w:rsidRPr="00574F02">
        <w:rPr>
          <w:lang w:val="ru-RU"/>
        </w:rPr>
        <w:t>.</w:t>
      </w:r>
      <w:r w:rsidR="0070372F" w:rsidRPr="00574F02">
        <w:rPr>
          <w:lang w:val="ru-RU"/>
        </w:rPr>
        <w:t xml:space="preserve"> </w:t>
      </w:r>
      <w:r w:rsidR="00574F02">
        <w:rPr>
          <w:lang w:val="ru-RU"/>
        </w:rPr>
        <w:t>Уход</w:t>
      </w:r>
      <w:r w:rsidR="00574F02" w:rsidRPr="004E5CD1">
        <w:rPr>
          <w:lang w:val="ru-RU"/>
        </w:rPr>
        <w:t xml:space="preserve"> </w:t>
      </w:r>
      <w:r w:rsidR="00574F02">
        <w:rPr>
          <w:lang w:val="ru-RU"/>
        </w:rPr>
        <w:t>от</w:t>
      </w:r>
      <w:r w:rsidR="00574F02" w:rsidRPr="004E5CD1">
        <w:rPr>
          <w:lang w:val="ru-RU"/>
        </w:rPr>
        <w:t xml:space="preserve"> </w:t>
      </w:r>
      <w:r w:rsidR="00574F02">
        <w:rPr>
          <w:lang w:val="ru-RU"/>
        </w:rPr>
        <w:t>финансирования</w:t>
      </w:r>
      <w:r w:rsidR="00574F02" w:rsidRPr="004E5CD1">
        <w:rPr>
          <w:lang w:val="ru-RU"/>
        </w:rPr>
        <w:t xml:space="preserve"> </w:t>
      </w:r>
      <w:r w:rsidR="00574F02">
        <w:rPr>
          <w:lang w:val="ru-RU"/>
        </w:rPr>
        <w:t>Глобального</w:t>
      </w:r>
      <w:r w:rsidR="00574F02" w:rsidRPr="004E5CD1">
        <w:rPr>
          <w:lang w:val="ru-RU"/>
        </w:rPr>
        <w:t xml:space="preserve"> </w:t>
      </w:r>
      <w:r w:rsidR="00574F02">
        <w:rPr>
          <w:lang w:val="ru-RU"/>
        </w:rPr>
        <w:t>фонда</w:t>
      </w:r>
    </w:p>
    <w:p w14:paraId="1273F412" w14:textId="1E067C3D" w:rsidR="00D42B97" w:rsidRPr="00023359" w:rsidRDefault="008E41CD" w:rsidP="00D42B97">
      <w:pPr>
        <w:pStyle w:val="a1"/>
        <w:shd w:val="clear" w:color="auto" w:fill="E7D3F6" w:themeFill="accent6" w:themeFillTint="33"/>
        <w:spacing w:after="0"/>
        <w:jc w:val="center"/>
        <w:rPr>
          <w:b/>
          <w:color w:val="000000" w:themeColor="text1"/>
          <w:szCs w:val="24"/>
          <w:lang w:val="ru-RU"/>
        </w:rPr>
      </w:pPr>
      <w:r>
        <w:rPr>
          <w:b/>
          <w:color w:val="000000" w:themeColor="text1"/>
          <w:szCs w:val="24"/>
          <w:lang w:val="ru-RU"/>
        </w:rPr>
        <w:t>Приложение</w:t>
      </w:r>
      <w:r w:rsidRPr="00023359">
        <w:rPr>
          <w:b/>
          <w:color w:val="000000" w:themeColor="text1"/>
          <w:szCs w:val="24"/>
          <w:lang w:val="ru-RU"/>
        </w:rPr>
        <w:t xml:space="preserve"> 1 </w:t>
      </w:r>
      <w:r>
        <w:rPr>
          <w:b/>
          <w:color w:val="000000" w:themeColor="text1"/>
          <w:szCs w:val="24"/>
          <w:lang w:val="ru-RU"/>
        </w:rPr>
        <w:t>обязательно</w:t>
      </w:r>
      <w:r w:rsidRPr="00023359">
        <w:rPr>
          <w:b/>
          <w:color w:val="000000" w:themeColor="text1"/>
          <w:szCs w:val="24"/>
          <w:lang w:val="ru-RU"/>
        </w:rPr>
        <w:t xml:space="preserve"> </w:t>
      </w:r>
      <w:r w:rsidR="007B6101">
        <w:rPr>
          <w:b/>
          <w:color w:val="000000" w:themeColor="text1"/>
          <w:szCs w:val="24"/>
          <w:lang w:val="ru-RU"/>
        </w:rPr>
        <w:t>только</w:t>
      </w:r>
      <w:r w:rsidR="007B6101" w:rsidRPr="00023359">
        <w:rPr>
          <w:b/>
          <w:color w:val="000000" w:themeColor="text1"/>
          <w:szCs w:val="24"/>
          <w:lang w:val="ru-RU"/>
        </w:rPr>
        <w:t xml:space="preserve"> </w:t>
      </w:r>
      <w:r w:rsidR="007B6101">
        <w:rPr>
          <w:b/>
          <w:color w:val="000000" w:themeColor="text1"/>
          <w:szCs w:val="24"/>
          <w:lang w:val="ru-RU"/>
        </w:rPr>
        <w:t>для</w:t>
      </w:r>
      <w:r w:rsidR="007B6101" w:rsidRPr="00023359">
        <w:rPr>
          <w:b/>
          <w:color w:val="000000" w:themeColor="text1"/>
          <w:szCs w:val="24"/>
          <w:lang w:val="ru-RU"/>
        </w:rPr>
        <w:t xml:space="preserve"> </w:t>
      </w:r>
      <w:r w:rsidR="007B6101">
        <w:rPr>
          <w:b/>
          <w:color w:val="000000" w:themeColor="text1"/>
          <w:szCs w:val="24"/>
          <w:lang w:val="ru-RU"/>
        </w:rPr>
        <w:t>кандидатов</w:t>
      </w:r>
      <w:r w:rsidR="007B6101" w:rsidRPr="00023359">
        <w:rPr>
          <w:b/>
          <w:color w:val="000000" w:themeColor="text1"/>
          <w:szCs w:val="24"/>
          <w:lang w:val="ru-RU"/>
        </w:rPr>
        <w:t xml:space="preserve">, </w:t>
      </w:r>
      <w:r w:rsidR="007B6101">
        <w:rPr>
          <w:b/>
          <w:color w:val="000000" w:themeColor="text1"/>
          <w:szCs w:val="24"/>
          <w:lang w:val="ru-RU"/>
        </w:rPr>
        <w:t>подающих</w:t>
      </w:r>
      <w:r w:rsidR="007B6101" w:rsidRPr="00023359">
        <w:rPr>
          <w:b/>
          <w:color w:val="000000" w:themeColor="text1"/>
          <w:szCs w:val="24"/>
          <w:lang w:val="ru-RU"/>
        </w:rPr>
        <w:t xml:space="preserve"> </w:t>
      </w:r>
      <w:r w:rsidR="007B6101">
        <w:rPr>
          <w:b/>
          <w:color w:val="000000" w:themeColor="text1"/>
          <w:szCs w:val="24"/>
          <w:lang w:val="ru-RU"/>
        </w:rPr>
        <w:t>заявки</w:t>
      </w:r>
      <w:r w:rsidR="007B6101" w:rsidRPr="00023359">
        <w:rPr>
          <w:b/>
          <w:color w:val="000000" w:themeColor="text1"/>
          <w:szCs w:val="24"/>
          <w:lang w:val="ru-RU"/>
        </w:rPr>
        <w:t xml:space="preserve"> </w:t>
      </w:r>
      <w:r w:rsidR="007B6101">
        <w:rPr>
          <w:b/>
          <w:color w:val="000000" w:themeColor="text1"/>
          <w:szCs w:val="24"/>
          <w:lang w:val="ru-RU"/>
        </w:rPr>
        <w:t>по</w:t>
      </w:r>
      <w:r w:rsidR="007B6101" w:rsidRPr="00023359">
        <w:rPr>
          <w:b/>
          <w:color w:val="000000" w:themeColor="text1"/>
          <w:szCs w:val="24"/>
          <w:lang w:val="ru-RU"/>
        </w:rPr>
        <w:t xml:space="preserve"> </w:t>
      </w:r>
      <w:r w:rsidR="007B6101">
        <w:rPr>
          <w:b/>
          <w:color w:val="000000" w:themeColor="text1"/>
          <w:szCs w:val="24"/>
          <w:lang w:val="ru-RU"/>
        </w:rPr>
        <w:t>форме</w:t>
      </w:r>
      <w:r w:rsidR="007B6101" w:rsidRPr="00023359">
        <w:rPr>
          <w:b/>
          <w:color w:val="000000" w:themeColor="text1"/>
          <w:szCs w:val="24"/>
          <w:lang w:val="ru-RU"/>
        </w:rPr>
        <w:t xml:space="preserve"> </w:t>
      </w:r>
      <w:r w:rsidR="007B6101">
        <w:rPr>
          <w:b/>
          <w:color w:val="000000" w:themeColor="text1"/>
          <w:szCs w:val="24"/>
          <w:lang w:val="ru-RU"/>
        </w:rPr>
        <w:t>для</w:t>
      </w:r>
      <w:r w:rsidR="007B6101" w:rsidRPr="00023359">
        <w:rPr>
          <w:b/>
          <w:color w:val="000000" w:themeColor="text1"/>
          <w:szCs w:val="24"/>
          <w:lang w:val="ru-RU"/>
        </w:rPr>
        <w:t xml:space="preserve"> </w:t>
      </w:r>
      <w:r w:rsidR="007B6101">
        <w:rPr>
          <w:b/>
          <w:color w:val="000000" w:themeColor="text1"/>
          <w:szCs w:val="24"/>
          <w:lang w:val="ru-RU"/>
        </w:rPr>
        <w:t>перехода</w:t>
      </w:r>
      <w:r w:rsidR="007B6101" w:rsidRPr="00023359">
        <w:rPr>
          <w:b/>
          <w:color w:val="000000" w:themeColor="text1"/>
          <w:szCs w:val="24"/>
          <w:lang w:val="ru-RU"/>
        </w:rPr>
        <w:t xml:space="preserve">, </w:t>
      </w:r>
      <w:r w:rsidR="007B6101">
        <w:rPr>
          <w:b/>
          <w:color w:val="000000" w:themeColor="text1"/>
          <w:szCs w:val="24"/>
          <w:lang w:val="ru-RU"/>
        </w:rPr>
        <w:t>как</w:t>
      </w:r>
      <w:r w:rsidR="007B6101" w:rsidRPr="00023359">
        <w:rPr>
          <w:b/>
          <w:color w:val="000000" w:themeColor="text1"/>
          <w:szCs w:val="24"/>
          <w:lang w:val="ru-RU"/>
        </w:rPr>
        <w:t xml:space="preserve"> </w:t>
      </w:r>
      <w:r w:rsidR="007B6101">
        <w:rPr>
          <w:b/>
          <w:color w:val="000000" w:themeColor="text1"/>
          <w:szCs w:val="24"/>
          <w:lang w:val="ru-RU"/>
        </w:rPr>
        <w:t>указано</w:t>
      </w:r>
      <w:r w:rsidR="007B6101" w:rsidRPr="00023359">
        <w:rPr>
          <w:b/>
          <w:color w:val="000000" w:themeColor="text1"/>
          <w:szCs w:val="24"/>
          <w:lang w:val="ru-RU"/>
        </w:rPr>
        <w:t xml:space="preserve"> </w:t>
      </w:r>
      <w:r w:rsidR="007B6101">
        <w:rPr>
          <w:b/>
          <w:color w:val="000000" w:themeColor="text1"/>
          <w:szCs w:val="24"/>
          <w:lang w:val="ru-RU"/>
        </w:rPr>
        <w:t>в</w:t>
      </w:r>
      <w:r w:rsidR="007B6101" w:rsidRPr="00023359">
        <w:rPr>
          <w:b/>
          <w:color w:val="000000" w:themeColor="text1"/>
          <w:szCs w:val="24"/>
          <w:lang w:val="ru-RU"/>
        </w:rPr>
        <w:t xml:space="preserve"> </w:t>
      </w:r>
      <w:r w:rsidR="007B6101">
        <w:rPr>
          <w:b/>
          <w:color w:val="000000" w:themeColor="text1"/>
          <w:szCs w:val="24"/>
          <w:lang w:val="ru-RU"/>
        </w:rPr>
        <w:t>письме</w:t>
      </w:r>
      <w:r w:rsidR="007B6101" w:rsidRPr="00023359">
        <w:rPr>
          <w:b/>
          <w:color w:val="000000" w:themeColor="text1"/>
          <w:szCs w:val="24"/>
          <w:lang w:val="ru-RU"/>
        </w:rPr>
        <w:t xml:space="preserve"> </w:t>
      </w:r>
      <w:r w:rsidR="007B6101">
        <w:rPr>
          <w:b/>
          <w:color w:val="000000" w:themeColor="text1"/>
          <w:szCs w:val="24"/>
          <w:lang w:val="ru-RU"/>
        </w:rPr>
        <w:t>о</w:t>
      </w:r>
      <w:r w:rsidR="007B6101" w:rsidRPr="00023359">
        <w:rPr>
          <w:b/>
          <w:color w:val="000000" w:themeColor="text1"/>
          <w:szCs w:val="24"/>
          <w:lang w:val="ru-RU"/>
        </w:rPr>
        <w:t xml:space="preserve"> </w:t>
      </w:r>
      <w:r w:rsidR="007B6101">
        <w:rPr>
          <w:b/>
          <w:color w:val="000000" w:themeColor="text1"/>
          <w:szCs w:val="24"/>
          <w:lang w:val="ru-RU"/>
        </w:rPr>
        <w:t>финансировании</w:t>
      </w:r>
      <w:r w:rsidR="00D42B97" w:rsidRPr="00023359">
        <w:rPr>
          <w:b/>
          <w:color w:val="000000" w:themeColor="text1"/>
          <w:szCs w:val="24"/>
          <w:lang w:val="ru-RU"/>
        </w:rPr>
        <w:t>.</w:t>
      </w:r>
    </w:p>
    <w:p w14:paraId="4526E34C" w14:textId="3E31CC3E" w:rsidR="00D92FA6" w:rsidRPr="001F31E2" w:rsidRDefault="00B74439" w:rsidP="00D42B97">
      <w:pPr>
        <w:spacing w:before="120"/>
        <w:jc w:val="both"/>
        <w:rPr>
          <w:rFonts w:ascii="Arial" w:eastAsiaTheme="majorEastAsia" w:hAnsi="Arial" w:cs="Arial"/>
          <w:color w:val="000000" w:themeColor="text1"/>
          <w:sz w:val="24"/>
          <w:szCs w:val="24"/>
          <w:lang w:val="ru-RU"/>
        </w:rPr>
      </w:pPr>
      <w:r>
        <w:rPr>
          <w:rFonts w:ascii="Arial" w:eastAsiaTheme="majorEastAsia" w:hAnsi="Arial" w:cs="Arial"/>
          <w:color w:val="000000" w:themeColor="text1"/>
          <w:sz w:val="24"/>
          <w:szCs w:val="24"/>
          <w:lang w:val="ru-RU"/>
        </w:rPr>
        <w:t xml:space="preserve">Дополнительную информацию по данному приложению см. в </w:t>
      </w:r>
      <w:hyperlink r:id="rId40">
        <w:r w:rsidR="00C10B38">
          <w:rPr>
            <w:rStyle w:val="afe"/>
            <w:rFonts w:ascii="Arial" w:eastAsiaTheme="majorEastAsia" w:hAnsi="Arial" w:cs="Arial"/>
            <w:sz w:val="24"/>
            <w:szCs w:val="24"/>
            <w:lang w:val="ru-RU"/>
          </w:rPr>
          <w:t>Руководстве</w:t>
        </w:r>
        <w:r w:rsidRPr="00B74439">
          <w:rPr>
            <w:rStyle w:val="afe"/>
            <w:rFonts w:ascii="Arial" w:eastAsiaTheme="majorEastAsia" w:hAnsi="Arial" w:cs="Arial"/>
            <w:sz w:val="24"/>
            <w:szCs w:val="24"/>
            <w:lang w:val="ru-RU"/>
          </w:rPr>
          <w:t xml:space="preserve"> </w:t>
        </w:r>
        <w:r w:rsidR="00C10B38">
          <w:rPr>
            <w:rStyle w:val="afe"/>
            <w:rFonts w:ascii="Arial" w:eastAsiaTheme="majorEastAsia" w:hAnsi="Arial" w:cs="Arial"/>
            <w:sz w:val="24"/>
            <w:szCs w:val="24"/>
            <w:lang w:val="ru-RU"/>
          </w:rPr>
          <w:t xml:space="preserve">по </w:t>
        </w:r>
        <w:r w:rsidRPr="00B74439">
          <w:rPr>
            <w:rStyle w:val="afe"/>
            <w:rFonts w:ascii="Arial" w:eastAsiaTheme="majorEastAsia" w:hAnsi="Arial" w:cs="Arial"/>
            <w:sz w:val="24"/>
            <w:szCs w:val="24"/>
            <w:lang w:val="ru-RU"/>
          </w:rPr>
          <w:t>устойчивости, переход</w:t>
        </w:r>
        <w:r w:rsidR="00C10B38">
          <w:rPr>
            <w:rStyle w:val="afe"/>
            <w:rFonts w:ascii="Arial" w:eastAsiaTheme="majorEastAsia" w:hAnsi="Arial" w:cs="Arial"/>
            <w:sz w:val="24"/>
            <w:szCs w:val="24"/>
            <w:lang w:val="ru-RU"/>
          </w:rPr>
          <w:t>у</w:t>
        </w:r>
        <w:r w:rsidRPr="00B74439">
          <w:rPr>
            <w:rStyle w:val="afe"/>
            <w:rFonts w:ascii="Arial" w:eastAsiaTheme="majorEastAsia" w:hAnsi="Arial" w:cs="Arial"/>
            <w:sz w:val="24"/>
            <w:szCs w:val="24"/>
            <w:lang w:val="ru-RU"/>
          </w:rPr>
          <w:t xml:space="preserve"> и софинансировани</w:t>
        </w:r>
        <w:r w:rsidR="00C10B38">
          <w:rPr>
            <w:rStyle w:val="afe"/>
            <w:rFonts w:ascii="Arial" w:eastAsiaTheme="majorEastAsia" w:hAnsi="Arial" w:cs="Arial"/>
            <w:sz w:val="24"/>
            <w:szCs w:val="24"/>
            <w:lang w:val="ru-RU"/>
          </w:rPr>
          <w:t>ю</w:t>
        </w:r>
        <w:r w:rsidRPr="00B74439">
          <w:rPr>
            <w:rStyle w:val="afe"/>
            <w:rFonts w:ascii="Arial" w:eastAsiaTheme="majorEastAsia" w:hAnsi="Arial" w:cs="Arial"/>
            <w:sz w:val="24"/>
            <w:szCs w:val="24"/>
            <w:lang w:val="ru-RU"/>
          </w:rPr>
          <w:t xml:space="preserve"> (УПС)</w:t>
        </w:r>
      </w:hyperlink>
      <w:r w:rsidRPr="00B74439">
        <w:rPr>
          <w:rFonts w:ascii="Arial" w:eastAsiaTheme="majorEastAsia" w:hAnsi="Arial" w:cs="Arial"/>
          <w:color w:val="000000" w:themeColor="text1"/>
          <w:sz w:val="24"/>
          <w:szCs w:val="24"/>
          <w:lang w:val="ru-RU"/>
        </w:rPr>
        <w:t>.</w:t>
      </w:r>
      <w:r w:rsidR="00972D03" w:rsidRPr="00972D03">
        <w:rPr>
          <w:rStyle w:val="aff1"/>
          <w:sz w:val="24"/>
          <w:szCs w:val="24"/>
        </w:rPr>
        <w:footnoteReference w:id="55"/>
      </w:r>
      <w:r w:rsidR="0070372F" w:rsidRPr="008874E0">
        <w:rPr>
          <w:rStyle w:val="afe"/>
          <w:bCs/>
          <w:u w:val="none"/>
          <w:lang w:val="ru-RU"/>
        </w:rPr>
        <w:t xml:space="preserve"> </w:t>
      </w:r>
      <w:r w:rsidR="008874E0">
        <w:rPr>
          <w:rFonts w:ascii="Arial" w:eastAsiaTheme="majorEastAsia" w:hAnsi="Arial" w:cs="Arial"/>
          <w:color w:val="000000" w:themeColor="text1"/>
          <w:sz w:val="24"/>
          <w:szCs w:val="24"/>
          <w:lang w:val="ru-RU"/>
        </w:rPr>
        <w:t>В</w:t>
      </w:r>
      <w:r w:rsidR="008874E0" w:rsidRPr="008874E0">
        <w:rPr>
          <w:rFonts w:ascii="Arial" w:eastAsiaTheme="majorEastAsia" w:hAnsi="Arial" w:cs="Arial"/>
          <w:color w:val="000000" w:themeColor="text1"/>
          <w:sz w:val="24"/>
          <w:szCs w:val="24"/>
          <w:lang w:val="ru-RU"/>
        </w:rPr>
        <w:t xml:space="preserve"> </w:t>
      </w:r>
      <w:r w:rsidR="008874E0">
        <w:rPr>
          <w:rFonts w:ascii="Arial" w:eastAsiaTheme="majorEastAsia" w:hAnsi="Arial" w:cs="Arial"/>
          <w:color w:val="000000" w:themeColor="text1"/>
          <w:sz w:val="24"/>
          <w:szCs w:val="24"/>
          <w:lang w:val="ru-RU"/>
        </w:rPr>
        <w:t>данном</w:t>
      </w:r>
      <w:r w:rsidR="008874E0" w:rsidRPr="008874E0">
        <w:rPr>
          <w:rFonts w:ascii="Arial" w:eastAsiaTheme="majorEastAsia" w:hAnsi="Arial" w:cs="Arial"/>
          <w:color w:val="000000" w:themeColor="text1"/>
          <w:sz w:val="24"/>
          <w:szCs w:val="24"/>
          <w:lang w:val="ru-RU"/>
        </w:rPr>
        <w:t xml:space="preserve"> </w:t>
      </w:r>
      <w:r w:rsidR="008874E0">
        <w:rPr>
          <w:rFonts w:ascii="Arial" w:eastAsiaTheme="majorEastAsia" w:hAnsi="Arial" w:cs="Arial"/>
          <w:color w:val="000000" w:themeColor="text1"/>
          <w:sz w:val="24"/>
          <w:szCs w:val="24"/>
          <w:lang w:val="ru-RU"/>
        </w:rPr>
        <w:t xml:space="preserve">руководстве рассказывается об ожиданиях относительно переходного финансирования, включая </w:t>
      </w:r>
      <w:r w:rsidR="001F31E2">
        <w:rPr>
          <w:rFonts w:ascii="Arial" w:eastAsiaTheme="majorEastAsia" w:hAnsi="Arial" w:cs="Arial"/>
          <w:color w:val="000000" w:themeColor="text1"/>
          <w:sz w:val="24"/>
          <w:szCs w:val="24"/>
          <w:lang w:val="ru-RU"/>
        </w:rPr>
        <w:t>деятельность, которая подходит для финансирования со стороны Глобального фонда</w:t>
      </w:r>
      <w:r w:rsidR="0070372F" w:rsidRPr="001F31E2">
        <w:rPr>
          <w:rFonts w:ascii="Arial" w:eastAsiaTheme="majorEastAsia" w:hAnsi="Arial" w:cs="Arial"/>
          <w:color w:val="000000" w:themeColor="text1"/>
          <w:sz w:val="24"/>
          <w:szCs w:val="24"/>
          <w:lang w:val="ru-RU"/>
        </w:rPr>
        <w:t xml:space="preserve">. </w:t>
      </w:r>
    </w:p>
    <w:p w14:paraId="5BF8A52D" w14:textId="76522346" w:rsidR="0070372F" w:rsidRPr="00FB6171" w:rsidRDefault="006539E1" w:rsidP="00D92FA6">
      <w:pPr>
        <w:jc w:val="both"/>
        <w:rPr>
          <w:rFonts w:ascii="Arial" w:eastAsiaTheme="majorEastAsia" w:hAnsi="Arial" w:cs="Arial"/>
          <w:color w:val="000000" w:themeColor="text1"/>
          <w:sz w:val="24"/>
          <w:szCs w:val="24"/>
          <w:lang w:val="en-GB"/>
        </w:rPr>
      </w:pPr>
      <w:r>
        <w:rPr>
          <w:rFonts w:ascii="Arial" w:eastAsiaTheme="majorEastAsia" w:hAnsi="Arial" w:cs="Arial"/>
          <w:color w:val="000000" w:themeColor="text1"/>
          <w:sz w:val="24"/>
          <w:szCs w:val="24"/>
          <w:lang w:val="ru-RU"/>
        </w:rPr>
        <w:t>Переходное финансирование, вероятно, будет последним предоставляемым Глобальным фондом</w:t>
      </w:r>
      <w:r w:rsidR="00D3360F">
        <w:rPr>
          <w:rFonts w:ascii="Arial" w:eastAsiaTheme="majorEastAsia" w:hAnsi="Arial" w:cs="Arial"/>
          <w:color w:val="000000" w:themeColor="text1"/>
          <w:sz w:val="24"/>
          <w:szCs w:val="24"/>
          <w:lang w:val="ru-RU"/>
        </w:rPr>
        <w:t xml:space="preserve">. </w:t>
      </w:r>
      <w:r w:rsidR="001C6803">
        <w:rPr>
          <w:rFonts w:ascii="Arial" w:eastAsiaTheme="majorEastAsia" w:hAnsi="Arial" w:cs="Arial"/>
          <w:color w:val="000000" w:themeColor="text1"/>
          <w:sz w:val="24"/>
          <w:szCs w:val="24"/>
          <w:lang w:val="ru-RU"/>
        </w:rPr>
        <w:t>Оно предназначено для поддержки эффективного перехода на полностью внутреннее финансирование и руководство мерами реагирования, принимаемыми страной</w:t>
      </w:r>
      <w:r w:rsidR="00AA5109">
        <w:rPr>
          <w:rFonts w:ascii="Arial" w:eastAsiaTheme="majorEastAsia" w:hAnsi="Arial" w:cs="Arial"/>
          <w:color w:val="000000" w:themeColor="text1"/>
          <w:sz w:val="24"/>
          <w:szCs w:val="24"/>
          <w:lang w:val="ru-RU"/>
        </w:rPr>
        <w:t>. С</w:t>
      </w:r>
      <w:r w:rsidR="00AA5109" w:rsidRPr="00AA5109">
        <w:rPr>
          <w:rFonts w:ascii="Arial" w:eastAsiaTheme="majorEastAsia" w:hAnsi="Arial" w:cs="Arial"/>
          <w:color w:val="000000" w:themeColor="text1"/>
          <w:sz w:val="24"/>
          <w:szCs w:val="24"/>
        </w:rPr>
        <w:t xml:space="preserve"> </w:t>
      </w:r>
      <w:r w:rsidR="00AA5109">
        <w:rPr>
          <w:rFonts w:ascii="Arial" w:eastAsiaTheme="majorEastAsia" w:hAnsi="Arial" w:cs="Arial"/>
          <w:color w:val="000000" w:themeColor="text1"/>
          <w:sz w:val="24"/>
          <w:szCs w:val="24"/>
          <w:lang w:val="ru-RU"/>
        </w:rPr>
        <w:t>учетом</w:t>
      </w:r>
      <w:r w:rsidR="00AA5109" w:rsidRPr="00AA5109">
        <w:rPr>
          <w:rFonts w:ascii="Arial" w:eastAsiaTheme="majorEastAsia" w:hAnsi="Arial" w:cs="Arial"/>
          <w:color w:val="000000" w:themeColor="text1"/>
          <w:sz w:val="24"/>
          <w:szCs w:val="24"/>
        </w:rPr>
        <w:t xml:space="preserve"> </w:t>
      </w:r>
      <w:r w:rsidR="00AA5109">
        <w:rPr>
          <w:rFonts w:ascii="Arial" w:eastAsiaTheme="majorEastAsia" w:hAnsi="Arial" w:cs="Arial"/>
          <w:color w:val="000000" w:themeColor="text1"/>
          <w:sz w:val="24"/>
          <w:szCs w:val="24"/>
          <w:lang w:val="ru-RU"/>
        </w:rPr>
        <w:t>этого</w:t>
      </w:r>
      <w:r w:rsidR="00AA5109" w:rsidRPr="00AA5109">
        <w:rPr>
          <w:rFonts w:ascii="Arial" w:eastAsiaTheme="majorEastAsia" w:hAnsi="Arial" w:cs="Arial"/>
          <w:color w:val="000000" w:themeColor="text1"/>
          <w:sz w:val="24"/>
          <w:szCs w:val="24"/>
        </w:rPr>
        <w:t xml:space="preserve"> </w:t>
      </w:r>
      <w:r w:rsidR="00AA5109">
        <w:rPr>
          <w:rFonts w:ascii="Arial" w:eastAsiaTheme="majorEastAsia" w:hAnsi="Arial" w:cs="Arial"/>
          <w:color w:val="000000" w:themeColor="text1"/>
          <w:sz w:val="24"/>
          <w:szCs w:val="24"/>
          <w:lang w:val="ru-RU"/>
        </w:rPr>
        <w:t>ответьте</w:t>
      </w:r>
      <w:r w:rsidR="00AA5109" w:rsidRPr="00AA5109">
        <w:rPr>
          <w:rFonts w:ascii="Arial" w:eastAsiaTheme="majorEastAsia" w:hAnsi="Arial" w:cs="Arial"/>
          <w:color w:val="000000" w:themeColor="text1"/>
          <w:sz w:val="24"/>
          <w:szCs w:val="24"/>
        </w:rPr>
        <w:t xml:space="preserve"> </w:t>
      </w:r>
      <w:r w:rsidR="00AA5109">
        <w:rPr>
          <w:rFonts w:ascii="Arial" w:eastAsiaTheme="majorEastAsia" w:hAnsi="Arial" w:cs="Arial"/>
          <w:color w:val="000000" w:themeColor="text1"/>
          <w:sz w:val="24"/>
          <w:szCs w:val="24"/>
          <w:lang w:val="ru-RU"/>
        </w:rPr>
        <w:t>на</w:t>
      </w:r>
      <w:r w:rsidR="00AA5109" w:rsidRPr="00AA5109">
        <w:rPr>
          <w:rFonts w:ascii="Arial" w:eastAsiaTheme="majorEastAsia" w:hAnsi="Arial" w:cs="Arial"/>
          <w:color w:val="000000" w:themeColor="text1"/>
          <w:sz w:val="24"/>
          <w:szCs w:val="24"/>
        </w:rPr>
        <w:t xml:space="preserve"> </w:t>
      </w:r>
      <w:r w:rsidR="00AA5109">
        <w:rPr>
          <w:rFonts w:ascii="Arial" w:eastAsiaTheme="majorEastAsia" w:hAnsi="Arial" w:cs="Arial"/>
          <w:color w:val="000000" w:themeColor="text1"/>
          <w:sz w:val="24"/>
          <w:szCs w:val="24"/>
          <w:lang w:val="ru-RU"/>
        </w:rPr>
        <w:t>следующие</w:t>
      </w:r>
      <w:r w:rsidR="00AA5109" w:rsidRPr="00AA5109">
        <w:rPr>
          <w:rFonts w:ascii="Arial" w:eastAsiaTheme="majorEastAsia" w:hAnsi="Arial" w:cs="Arial"/>
          <w:color w:val="000000" w:themeColor="text1"/>
          <w:sz w:val="24"/>
          <w:szCs w:val="24"/>
        </w:rPr>
        <w:t xml:space="preserve"> </w:t>
      </w:r>
      <w:r w:rsidR="00AA5109">
        <w:rPr>
          <w:rFonts w:ascii="Arial" w:eastAsiaTheme="majorEastAsia" w:hAnsi="Arial" w:cs="Arial"/>
          <w:color w:val="000000" w:themeColor="text1"/>
          <w:sz w:val="24"/>
          <w:szCs w:val="24"/>
          <w:lang w:val="ru-RU"/>
        </w:rPr>
        <w:t>вопросы</w:t>
      </w:r>
      <w:r w:rsidR="0070372F" w:rsidRPr="00FB6171">
        <w:rPr>
          <w:rFonts w:ascii="Arial" w:eastAsiaTheme="majorEastAsia" w:hAnsi="Arial" w:cs="Arial"/>
          <w:color w:val="000000" w:themeColor="text1"/>
          <w:sz w:val="24"/>
          <w:szCs w:val="24"/>
          <w:lang w:val="en-GB"/>
        </w:rPr>
        <w:t>:</w:t>
      </w:r>
    </w:p>
    <w:p w14:paraId="75BDC722" w14:textId="10E4ECF5" w:rsidR="00B35F91" w:rsidRPr="001C484A" w:rsidRDefault="00D812C3" w:rsidP="00D8578B">
      <w:pPr>
        <w:pStyle w:val="a1"/>
        <w:numPr>
          <w:ilvl w:val="2"/>
          <w:numId w:val="7"/>
        </w:numPr>
        <w:ind w:left="850" w:hanging="490"/>
        <w:jc w:val="both"/>
        <w:rPr>
          <w:lang w:val="ru-RU"/>
        </w:rPr>
      </w:pPr>
      <w:r w:rsidRPr="00657CB8">
        <w:rPr>
          <w:lang w:val="ru-RU"/>
        </w:rPr>
        <w:t>Если</w:t>
      </w:r>
      <w:r w:rsidRPr="001C484A">
        <w:rPr>
          <w:lang w:val="ru-RU"/>
        </w:rPr>
        <w:t xml:space="preserve"> </w:t>
      </w:r>
      <w:r w:rsidRPr="00657CB8">
        <w:rPr>
          <w:lang w:val="ru-RU"/>
        </w:rPr>
        <w:t>применимо</w:t>
      </w:r>
      <w:r w:rsidRPr="001C484A">
        <w:rPr>
          <w:lang w:val="ru-RU"/>
        </w:rPr>
        <w:t xml:space="preserve"> – </w:t>
      </w:r>
      <w:r w:rsidRPr="00657CB8">
        <w:rPr>
          <w:lang w:val="ru-RU"/>
        </w:rPr>
        <w:t>дайте</w:t>
      </w:r>
      <w:r w:rsidRPr="001C484A">
        <w:rPr>
          <w:lang w:val="ru-RU"/>
        </w:rPr>
        <w:t xml:space="preserve"> </w:t>
      </w:r>
      <w:r w:rsidRPr="00657CB8">
        <w:rPr>
          <w:lang w:val="ru-RU"/>
        </w:rPr>
        <w:t>самую</w:t>
      </w:r>
      <w:r w:rsidRPr="001C484A">
        <w:rPr>
          <w:lang w:val="ru-RU"/>
        </w:rPr>
        <w:t xml:space="preserve"> </w:t>
      </w:r>
      <w:r w:rsidRPr="00657CB8">
        <w:rPr>
          <w:lang w:val="ru-RU"/>
        </w:rPr>
        <w:t>актуальную</w:t>
      </w:r>
      <w:r w:rsidRPr="001C484A">
        <w:rPr>
          <w:lang w:val="ru-RU"/>
        </w:rPr>
        <w:t xml:space="preserve"> </w:t>
      </w:r>
      <w:r w:rsidRPr="00657CB8">
        <w:rPr>
          <w:lang w:val="ru-RU"/>
        </w:rPr>
        <w:t>информацию</w:t>
      </w:r>
      <w:r w:rsidRPr="001C484A">
        <w:rPr>
          <w:lang w:val="ru-RU"/>
        </w:rPr>
        <w:t xml:space="preserve"> </w:t>
      </w:r>
      <w:r w:rsidR="00657CB8" w:rsidRPr="00657CB8">
        <w:rPr>
          <w:lang w:val="ru-RU"/>
        </w:rPr>
        <w:t>о</w:t>
      </w:r>
      <w:r w:rsidR="00657CB8" w:rsidRPr="001C484A">
        <w:rPr>
          <w:lang w:val="ru-RU"/>
        </w:rPr>
        <w:t xml:space="preserve"> </w:t>
      </w:r>
      <w:r w:rsidR="00657CB8" w:rsidRPr="00657CB8">
        <w:rPr>
          <w:lang w:val="ru-RU"/>
        </w:rPr>
        <w:t>достижениях</w:t>
      </w:r>
      <w:r w:rsidR="00657CB8" w:rsidRPr="001C484A">
        <w:rPr>
          <w:lang w:val="ru-RU"/>
        </w:rPr>
        <w:t xml:space="preserve"> </w:t>
      </w:r>
      <w:r w:rsidR="00657CB8" w:rsidRPr="00657CB8">
        <w:rPr>
          <w:lang w:val="ru-RU"/>
        </w:rPr>
        <w:t>по</w:t>
      </w:r>
      <w:r w:rsidR="00657CB8" w:rsidRPr="001C484A">
        <w:rPr>
          <w:lang w:val="ru-RU"/>
        </w:rPr>
        <w:t xml:space="preserve"> </w:t>
      </w:r>
      <w:r w:rsidR="00657CB8" w:rsidRPr="00657CB8">
        <w:rPr>
          <w:lang w:val="ru-RU"/>
        </w:rPr>
        <w:t>плану</w:t>
      </w:r>
      <w:r w:rsidR="00657CB8" w:rsidRPr="001C484A">
        <w:rPr>
          <w:lang w:val="ru-RU"/>
        </w:rPr>
        <w:t xml:space="preserve"> </w:t>
      </w:r>
      <w:r w:rsidR="00657CB8" w:rsidRPr="00657CB8">
        <w:rPr>
          <w:lang w:val="ru-RU"/>
        </w:rPr>
        <w:t>перехода</w:t>
      </w:r>
      <w:r w:rsidR="00657CB8" w:rsidRPr="001C484A">
        <w:rPr>
          <w:lang w:val="ru-RU"/>
        </w:rPr>
        <w:t xml:space="preserve"> </w:t>
      </w:r>
      <w:r w:rsidR="00657CB8" w:rsidRPr="00657CB8">
        <w:rPr>
          <w:lang w:val="ru-RU"/>
        </w:rPr>
        <w:t>в</w:t>
      </w:r>
      <w:r w:rsidR="00657CB8" w:rsidRPr="001C484A">
        <w:rPr>
          <w:lang w:val="ru-RU"/>
        </w:rPr>
        <w:t xml:space="preserve"> </w:t>
      </w:r>
      <w:r w:rsidR="00657CB8" w:rsidRPr="00657CB8">
        <w:rPr>
          <w:lang w:val="ru-RU"/>
        </w:rPr>
        <w:t>период</w:t>
      </w:r>
      <w:r w:rsidR="00657CB8" w:rsidRPr="001C484A">
        <w:rPr>
          <w:lang w:val="ru-RU"/>
        </w:rPr>
        <w:t xml:space="preserve"> </w:t>
      </w:r>
      <w:r w:rsidR="00657CB8" w:rsidRPr="00657CB8">
        <w:rPr>
          <w:lang w:val="ru-RU"/>
        </w:rPr>
        <w:t>финансирования</w:t>
      </w:r>
      <w:r w:rsidR="00657CB8" w:rsidRPr="001C484A">
        <w:rPr>
          <w:lang w:val="ru-RU"/>
        </w:rPr>
        <w:t xml:space="preserve"> </w:t>
      </w:r>
      <w:r w:rsidR="00657CB8" w:rsidRPr="00657CB8">
        <w:rPr>
          <w:lang w:val="ru-RU"/>
        </w:rPr>
        <w:t>с</w:t>
      </w:r>
      <w:r w:rsidR="00657CB8" w:rsidRPr="001C484A">
        <w:rPr>
          <w:lang w:val="ru-RU"/>
        </w:rPr>
        <w:t xml:space="preserve"> 2020 </w:t>
      </w:r>
      <w:r w:rsidR="00657CB8" w:rsidRPr="00657CB8">
        <w:rPr>
          <w:lang w:val="ru-RU"/>
        </w:rPr>
        <w:t>по</w:t>
      </w:r>
      <w:r w:rsidR="00657CB8" w:rsidRPr="001C484A">
        <w:rPr>
          <w:lang w:val="ru-RU"/>
        </w:rPr>
        <w:t xml:space="preserve"> 202</w:t>
      </w:r>
      <w:r w:rsidR="001C484A">
        <w:rPr>
          <w:lang w:val="ru-RU"/>
        </w:rPr>
        <w:t>2</w:t>
      </w:r>
      <w:r w:rsidR="00657CB8" w:rsidRPr="001C484A">
        <w:rPr>
          <w:lang w:val="ru-RU"/>
        </w:rPr>
        <w:t xml:space="preserve"> </w:t>
      </w:r>
      <w:r w:rsidR="00657CB8" w:rsidRPr="00657CB8">
        <w:rPr>
          <w:lang w:val="ru-RU"/>
        </w:rPr>
        <w:t>год</w:t>
      </w:r>
      <w:r w:rsidR="003B75BB" w:rsidRPr="001C484A">
        <w:rPr>
          <w:lang w:val="ru-RU"/>
        </w:rPr>
        <w:t>.</w:t>
      </w:r>
      <w:r w:rsidR="00B35F91" w:rsidRPr="001C484A">
        <w:rPr>
          <w:lang w:val="ru-RU"/>
        </w:rPr>
        <w:t xml:space="preserve"> </w:t>
      </w:r>
    </w:p>
    <w:p w14:paraId="40A3C0E1" w14:textId="3E195215" w:rsidR="00CC4F24" w:rsidRPr="00FF4A67" w:rsidRDefault="00FF4A67" w:rsidP="00D8578B">
      <w:pPr>
        <w:pStyle w:val="af1"/>
        <w:numPr>
          <w:ilvl w:val="2"/>
          <w:numId w:val="7"/>
        </w:numPr>
        <w:ind w:left="850" w:hanging="490"/>
        <w:contextualSpacing w:val="0"/>
        <w:jc w:val="both"/>
        <w:rPr>
          <w:rFonts w:ascii="Arial" w:eastAsiaTheme="majorEastAsia" w:hAnsi="Arial" w:cs="Arial"/>
          <w:color w:val="000000" w:themeColor="text1"/>
          <w:sz w:val="24"/>
          <w:szCs w:val="24"/>
          <w:lang w:val="ru-RU"/>
        </w:rPr>
      </w:pPr>
      <w:r w:rsidRPr="00FF4A67">
        <w:rPr>
          <w:rFonts w:ascii="Arial" w:eastAsiaTheme="majorEastAsia" w:hAnsi="Arial" w:cs="Arial"/>
          <w:color w:val="000000" w:themeColor="text1"/>
          <w:sz w:val="24"/>
          <w:szCs w:val="24"/>
          <w:lang w:val="ru-RU"/>
        </w:rPr>
        <w:t>Объясните, как данная заявка на финансирование поможет обеспечить полный переход к внутреннему финансированию</w:t>
      </w:r>
      <w:r w:rsidR="005D37A9" w:rsidRPr="00FF4A67">
        <w:rPr>
          <w:sz w:val="24"/>
          <w:szCs w:val="24"/>
          <w:lang w:val="ru-RU"/>
        </w:rPr>
        <w:t>.</w:t>
      </w:r>
    </w:p>
    <w:p w14:paraId="75E33860" w14:textId="328DFACC" w:rsidR="00B468FA" w:rsidRPr="00A51A7D" w:rsidRDefault="00224AED" w:rsidP="00F27EA3">
      <w:pPr>
        <w:pStyle w:val="af1"/>
        <w:ind w:left="0"/>
        <w:contextualSpacing w:val="0"/>
        <w:jc w:val="both"/>
        <w:rPr>
          <w:rFonts w:ascii="Arial" w:eastAsiaTheme="majorEastAsia" w:hAnsi="Arial" w:cs="Arial"/>
          <w:color w:val="000000" w:themeColor="text1"/>
          <w:sz w:val="24"/>
          <w:szCs w:val="24"/>
          <w:lang w:val="ru-RU"/>
        </w:rPr>
      </w:pPr>
      <w:r>
        <w:rPr>
          <w:rFonts w:ascii="Arial" w:eastAsiaTheme="majorEastAsia" w:hAnsi="Arial" w:cs="Arial"/>
          <w:b/>
          <w:bCs/>
          <w:i/>
          <w:iCs/>
          <w:color w:val="000000" w:themeColor="text1"/>
          <w:sz w:val="24"/>
          <w:szCs w:val="24"/>
          <w:lang w:val="ru-RU"/>
        </w:rPr>
        <w:t>Не</w:t>
      </w:r>
      <w:r w:rsidRPr="00224AED">
        <w:rPr>
          <w:rFonts w:ascii="Arial" w:eastAsiaTheme="majorEastAsia" w:hAnsi="Arial" w:cs="Arial"/>
          <w:b/>
          <w:bCs/>
          <w:i/>
          <w:iCs/>
          <w:color w:val="000000" w:themeColor="text1"/>
          <w:sz w:val="24"/>
          <w:szCs w:val="24"/>
          <w:lang w:val="ru-RU"/>
        </w:rPr>
        <w:t xml:space="preserve"> </w:t>
      </w:r>
      <w:r>
        <w:rPr>
          <w:rFonts w:ascii="Arial" w:eastAsiaTheme="majorEastAsia" w:hAnsi="Arial" w:cs="Arial"/>
          <w:b/>
          <w:bCs/>
          <w:i/>
          <w:iCs/>
          <w:color w:val="000000" w:themeColor="text1"/>
          <w:sz w:val="24"/>
          <w:szCs w:val="24"/>
          <w:lang w:val="ru-RU"/>
        </w:rPr>
        <w:t>нужно</w:t>
      </w:r>
      <w:r w:rsidRPr="00224AED">
        <w:rPr>
          <w:rFonts w:ascii="Arial" w:eastAsiaTheme="majorEastAsia" w:hAnsi="Arial" w:cs="Arial"/>
          <w:b/>
          <w:bCs/>
          <w:i/>
          <w:iCs/>
          <w:color w:val="000000" w:themeColor="text1"/>
          <w:sz w:val="24"/>
          <w:szCs w:val="24"/>
          <w:lang w:val="ru-RU"/>
        </w:rPr>
        <w:t xml:space="preserve"> </w:t>
      </w:r>
      <w:r>
        <w:rPr>
          <w:rFonts w:ascii="Arial" w:eastAsiaTheme="majorEastAsia" w:hAnsi="Arial" w:cs="Arial"/>
          <w:b/>
          <w:bCs/>
          <w:i/>
          <w:iCs/>
          <w:color w:val="000000" w:themeColor="text1"/>
          <w:sz w:val="24"/>
          <w:szCs w:val="24"/>
          <w:lang w:val="ru-RU"/>
        </w:rPr>
        <w:t>отвечать</w:t>
      </w:r>
      <w:r w:rsidRPr="00224AED">
        <w:rPr>
          <w:rFonts w:ascii="Arial" w:eastAsiaTheme="majorEastAsia" w:hAnsi="Arial" w:cs="Arial"/>
          <w:b/>
          <w:bCs/>
          <w:i/>
          <w:iCs/>
          <w:color w:val="000000" w:themeColor="text1"/>
          <w:sz w:val="24"/>
          <w:szCs w:val="24"/>
          <w:lang w:val="ru-RU"/>
        </w:rPr>
        <w:t xml:space="preserve"> </w:t>
      </w:r>
      <w:r>
        <w:rPr>
          <w:rFonts w:ascii="Arial" w:eastAsiaTheme="majorEastAsia" w:hAnsi="Arial" w:cs="Arial"/>
          <w:b/>
          <w:bCs/>
          <w:i/>
          <w:iCs/>
          <w:color w:val="000000" w:themeColor="text1"/>
          <w:sz w:val="24"/>
          <w:szCs w:val="24"/>
          <w:lang w:val="ru-RU"/>
        </w:rPr>
        <w:t>на</w:t>
      </w:r>
      <w:r w:rsidRPr="00224AED">
        <w:rPr>
          <w:rFonts w:ascii="Arial" w:eastAsiaTheme="majorEastAsia" w:hAnsi="Arial" w:cs="Arial"/>
          <w:b/>
          <w:bCs/>
          <w:i/>
          <w:iCs/>
          <w:color w:val="000000" w:themeColor="text1"/>
          <w:sz w:val="24"/>
          <w:szCs w:val="24"/>
          <w:lang w:val="ru-RU"/>
        </w:rPr>
        <w:t xml:space="preserve"> </w:t>
      </w:r>
      <w:r>
        <w:rPr>
          <w:rFonts w:ascii="Arial" w:eastAsiaTheme="majorEastAsia" w:hAnsi="Arial" w:cs="Arial"/>
          <w:b/>
          <w:bCs/>
          <w:i/>
          <w:iCs/>
          <w:color w:val="000000" w:themeColor="text1"/>
          <w:sz w:val="24"/>
          <w:szCs w:val="24"/>
          <w:lang w:val="ru-RU"/>
        </w:rPr>
        <w:t xml:space="preserve">нижеследующие вопросы, </w:t>
      </w:r>
      <w:r w:rsidR="00A51A7D">
        <w:rPr>
          <w:rFonts w:ascii="Arial" w:eastAsiaTheme="majorEastAsia" w:hAnsi="Arial" w:cs="Arial"/>
          <w:b/>
          <w:bCs/>
          <w:i/>
          <w:iCs/>
          <w:color w:val="000000" w:themeColor="text1"/>
          <w:sz w:val="24"/>
          <w:szCs w:val="24"/>
          <w:lang w:val="ru-RU"/>
        </w:rPr>
        <w:t>если будет исключительно применяться схема «оплата по результатам»</w:t>
      </w:r>
      <w:r w:rsidR="0089244B" w:rsidRPr="00A51A7D">
        <w:rPr>
          <w:rFonts w:ascii="Arial" w:eastAsiaTheme="majorEastAsia" w:hAnsi="Arial" w:cs="Arial"/>
          <w:b/>
          <w:bCs/>
          <w:color w:val="000000" w:themeColor="text1"/>
          <w:sz w:val="24"/>
          <w:szCs w:val="24"/>
          <w:lang w:val="ru-RU"/>
        </w:rPr>
        <w:t>:</w:t>
      </w:r>
      <w:r w:rsidR="00601CBE" w:rsidRPr="00A51A7D">
        <w:rPr>
          <w:rFonts w:ascii="Arial" w:eastAsiaTheme="majorEastAsia" w:hAnsi="Arial" w:cs="Arial"/>
          <w:color w:val="000000" w:themeColor="text1"/>
          <w:sz w:val="24"/>
          <w:szCs w:val="24"/>
          <w:lang w:val="ru-RU"/>
        </w:rPr>
        <w:t xml:space="preserve"> </w:t>
      </w:r>
    </w:p>
    <w:p w14:paraId="4F9AD1D2" w14:textId="216631F6" w:rsidR="003B75BB" w:rsidRPr="00760D1B" w:rsidRDefault="00A51A7D" w:rsidP="00D8578B">
      <w:pPr>
        <w:pStyle w:val="af1"/>
        <w:numPr>
          <w:ilvl w:val="2"/>
          <w:numId w:val="7"/>
        </w:numPr>
        <w:spacing w:line="264" w:lineRule="auto"/>
        <w:ind w:left="850" w:hanging="490"/>
        <w:contextualSpacing w:val="0"/>
        <w:jc w:val="both"/>
        <w:rPr>
          <w:rFonts w:ascii="Arial" w:eastAsiaTheme="majorEastAsia" w:hAnsi="Arial" w:cs="Arial"/>
          <w:color w:val="000000" w:themeColor="text1"/>
          <w:sz w:val="24"/>
          <w:szCs w:val="24"/>
          <w:lang w:val="ru-RU"/>
        </w:rPr>
      </w:pPr>
      <w:r w:rsidRPr="00197C9E">
        <w:rPr>
          <w:rFonts w:ascii="Arial" w:eastAsiaTheme="majorEastAsia" w:hAnsi="Arial" w:cs="Arial"/>
          <w:color w:val="000000" w:themeColor="text1"/>
          <w:sz w:val="24"/>
          <w:szCs w:val="24"/>
          <w:lang w:val="ru-RU"/>
        </w:rPr>
        <w:t>Опишите конкретные мероприятия из рабочего плана перехода (или его эквивалента)</w:t>
      </w:r>
      <w:r w:rsidR="00E178A4" w:rsidRPr="00197C9E">
        <w:rPr>
          <w:rFonts w:ascii="Arial" w:eastAsiaTheme="majorEastAsia" w:hAnsi="Arial" w:cs="Arial"/>
          <w:color w:val="000000" w:themeColor="text1"/>
          <w:sz w:val="24"/>
          <w:szCs w:val="24"/>
          <w:lang w:val="ru-RU"/>
        </w:rPr>
        <w:t>, которые будут финансироваться в рамках данной заявки на финансирование. А</w:t>
      </w:r>
      <w:r w:rsidR="00E178A4" w:rsidRPr="00760D1B">
        <w:rPr>
          <w:rFonts w:ascii="Arial" w:eastAsiaTheme="majorEastAsia" w:hAnsi="Arial" w:cs="Arial"/>
          <w:color w:val="000000" w:themeColor="text1"/>
          <w:sz w:val="24"/>
          <w:szCs w:val="24"/>
          <w:lang w:val="ru-RU"/>
        </w:rPr>
        <w:t xml:space="preserve"> </w:t>
      </w:r>
      <w:r w:rsidR="00E178A4" w:rsidRPr="00197C9E">
        <w:rPr>
          <w:rFonts w:ascii="Arial" w:eastAsiaTheme="majorEastAsia" w:hAnsi="Arial" w:cs="Arial"/>
          <w:color w:val="000000" w:themeColor="text1"/>
          <w:sz w:val="24"/>
          <w:szCs w:val="24"/>
          <w:lang w:val="ru-RU"/>
        </w:rPr>
        <w:t>также</w:t>
      </w:r>
      <w:r w:rsidR="00E178A4" w:rsidRPr="00760D1B">
        <w:rPr>
          <w:rFonts w:ascii="Arial" w:eastAsiaTheme="majorEastAsia" w:hAnsi="Arial" w:cs="Arial"/>
          <w:color w:val="000000" w:themeColor="text1"/>
          <w:sz w:val="24"/>
          <w:szCs w:val="24"/>
          <w:lang w:val="ru-RU"/>
        </w:rPr>
        <w:t xml:space="preserve"> – </w:t>
      </w:r>
      <w:r w:rsidR="00E178A4" w:rsidRPr="00197C9E">
        <w:rPr>
          <w:rFonts w:ascii="Arial" w:eastAsiaTheme="majorEastAsia" w:hAnsi="Arial" w:cs="Arial"/>
          <w:color w:val="000000" w:themeColor="text1"/>
          <w:sz w:val="24"/>
          <w:szCs w:val="24"/>
          <w:lang w:val="ru-RU"/>
        </w:rPr>
        <w:t>о</w:t>
      </w:r>
      <w:r w:rsidR="00E178A4" w:rsidRPr="00760D1B">
        <w:rPr>
          <w:rFonts w:ascii="Arial" w:eastAsiaTheme="majorEastAsia" w:hAnsi="Arial" w:cs="Arial"/>
          <w:color w:val="000000" w:themeColor="text1"/>
          <w:sz w:val="24"/>
          <w:szCs w:val="24"/>
          <w:lang w:val="ru-RU"/>
        </w:rPr>
        <w:t xml:space="preserve"> </w:t>
      </w:r>
      <w:r w:rsidR="00E178A4" w:rsidRPr="00197C9E">
        <w:rPr>
          <w:rFonts w:ascii="Arial" w:eastAsiaTheme="majorEastAsia" w:hAnsi="Arial" w:cs="Arial"/>
          <w:color w:val="000000" w:themeColor="text1"/>
          <w:sz w:val="24"/>
          <w:szCs w:val="24"/>
          <w:lang w:val="ru-RU"/>
        </w:rPr>
        <w:t>том</w:t>
      </w:r>
      <w:r w:rsidR="00E178A4" w:rsidRPr="00760D1B">
        <w:rPr>
          <w:rFonts w:ascii="Arial" w:eastAsiaTheme="majorEastAsia" w:hAnsi="Arial" w:cs="Arial"/>
          <w:color w:val="000000" w:themeColor="text1"/>
          <w:sz w:val="24"/>
          <w:szCs w:val="24"/>
          <w:lang w:val="ru-RU"/>
        </w:rPr>
        <w:t xml:space="preserve">, </w:t>
      </w:r>
      <w:r w:rsidR="00E178A4" w:rsidRPr="00197C9E">
        <w:rPr>
          <w:rFonts w:ascii="Arial" w:eastAsiaTheme="majorEastAsia" w:hAnsi="Arial" w:cs="Arial"/>
          <w:color w:val="000000" w:themeColor="text1"/>
          <w:sz w:val="24"/>
          <w:szCs w:val="24"/>
          <w:lang w:val="ru-RU"/>
        </w:rPr>
        <w:t>как</w:t>
      </w:r>
      <w:r w:rsidR="00E178A4" w:rsidRPr="00760D1B">
        <w:rPr>
          <w:rFonts w:ascii="Arial" w:eastAsiaTheme="majorEastAsia" w:hAnsi="Arial" w:cs="Arial"/>
          <w:color w:val="000000" w:themeColor="text1"/>
          <w:sz w:val="24"/>
          <w:szCs w:val="24"/>
          <w:lang w:val="ru-RU"/>
        </w:rPr>
        <w:t xml:space="preserve"> </w:t>
      </w:r>
      <w:r w:rsidR="00E178A4" w:rsidRPr="00197C9E">
        <w:rPr>
          <w:rFonts w:ascii="Arial" w:eastAsiaTheme="majorEastAsia" w:hAnsi="Arial" w:cs="Arial"/>
          <w:color w:val="000000" w:themeColor="text1"/>
          <w:sz w:val="24"/>
          <w:szCs w:val="24"/>
          <w:lang w:val="ru-RU"/>
        </w:rPr>
        <w:t>эти</w:t>
      </w:r>
      <w:r w:rsidR="00E178A4" w:rsidRPr="00760D1B">
        <w:rPr>
          <w:rFonts w:ascii="Arial" w:eastAsiaTheme="majorEastAsia" w:hAnsi="Arial" w:cs="Arial"/>
          <w:color w:val="000000" w:themeColor="text1"/>
          <w:sz w:val="24"/>
          <w:szCs w:val="24"/>
          <w:lang w:val="ru-RU"/>
        </w:rPr>
        <w:t xml:space="preserve"> </w:t>
      </w:r>
      <w:r w:rsidR="00E178A4" w:rsidRPr="00197C9E">
        <w:rPr>
          <w:rFonts w:ascii="Arial" w:eastAsiaTheme="majorEastAsia" w:hAnsi="Arial" w:cs="Arial"/>
          <w:color w:val="000000" w:themeColor="text1"/>
          <w:sz w:val="24"/>
          <w:szCs w:val="24"/>
          <w:lang w:val="ru-RU"/>
        </w:rPr>
        <w:t>мероприятия</w:t>
      </w:r>
      <w:r w:rsidR="00E178A4" w:rsidRPr="00760D1B">
        <w:rPr>
          <w:rFonts w:ascii="Arial" w:eastAsiaTheme="majorEastAsia" w:hAnsi="Arial" w:cs="Arial"/>
          <w:color w:val="000000" w:themeColor="text1"/>
          <w:sz w:val="24"/>
          <w:szCs w:val="24"/>
          <w:lang w:val="ru-RU"/>
        </w:rPr>
        <w:t xml:space="preserve"> </w:t>
      </w:r>
      <w:r w:rsidR="00197C9E" w:rsidRPr="00197C9E">
        <w:rPr>
          <w:rFonts w:ascii="Arial" w:eastAsiaTheme="majorEastAsia" w:hAnsi="Arial" w:cs="Arial"/>
          <w:color w:val="000000" w:themeColor="text1"/>
          <w:sz w:val="24"/>
          <w:szCs w:val="24"/>
          <w:lang w:val="ru-RU"/>
        </w:rPr>
        <w:t>помогут</w:t>
      </w:r>
      <w:r w:rsidR="00197C9E" w:rsidRPr="00760D1B">
        <w:rPr>
          <w:rFonts w:ascii="Arial" w:eastAsiaTheme="majorEastAsia" w:hAnsi="Arial" w:cs="Arial"/>
          <w:color w:val="000000" w:themeColor="text1"/>
          <w:sz w:val="24"/>
          <w:szCs w:val="24"/>
          <w:lang w:val="ru-RU"/>
        </w:rPr>
        <w:t xml:space="preserve"> </w:t>
      </w:r>
      <w:r w:rsidR="00197C9E" w:rsidRPr="00197C9E">
        <w:rPr>
          <w:rFonts w:ascii="Arial" w:eastAsiaTheme="majorEastAsia" w:hAnsi="Arial" w:cs="Arial"/>
          <w:color w:val="000000" w:themeColor="text1"/>
          <w:sz w:val="24"/>
          <w:szCs w:val="24"/>
          <w:lang w:val="ru-RU"/>
        </w:rPr>
        <w:t>обеспечить</w:t>
      </w:r>
      <w:r w:rsidR="00197C9E" w:rsidRPr="00760D1B">
        <w:rPr>
          <w:rFonts w:ascii="Arial" w:eastAsiaTheme="majorEastAsia" w:hAnsi="Arial" w:cs="Arial"/>
          <w:color w:val="000000" w:themeColor="text1"/>
          <w:sz w:val="24"/>
          <w:szCs w:val="24"/>
          <w:lang w:val="ru-RU"/>
        </w:rPr>
        <w:t xml:space="preserve"> </w:t>
      </w:r>
      <w:r w:rsidR="00197C9E" w:rsidRPr="00197C9E">
        <w:rPr>
          <w:rFonts w:ascii="Arial" w:eastAsiaTheme="majorEastAsia" w:hAnsi="Arial" w:cs="Arial"/>
          <w:color w:val="000000" w:themeColor="text1"/>
          <w:sz w:val="24"/>
          <w:szCs w:val="24"/>
          <w:lang w:val="ru-RU"/>
        </w:rPr>
        <w:t>полный</w:t>
      </w:r>
      <w:r w:rsidR="00197C9E" w:rsidRPr="00760D1B">
        <w:rPr>
          <w:rFonts w:ascii="Arial" w:eastAsiaTheme="majorEastAsia" w:hAnsi="Arial" w:cs="Arial"/>
          <w:color w:val="000000" w:themeColor="text1"/>
          <w:sz w:val="24"/>
          <w:szCs w:val="24"/>
          <w:lang w:val="ru-RU"/>
        </w:rPr>
        <w:t xml:space="preserve"> </w:t>
      </w:r>
      <w:r w:rsidR="00197C9E" w:rsidRPr="00197C9E">
        <w:rPr>
          <w:rFonts w:ascii="Arial" w:eastAsiaTheme="majorEastAsia" w:hAnsi="Arial" w:cs="Arial"/>
          <w:color w:val="000000" w:themeColor="text1"/>
          <w:sz w:val="24"/>
          <w:szCs w:val="24"/>
          <w:lang w:val="ru-RU"/>
        </w:rPr>
        <w:t>переход</w:t>
      </w:r>
      <w:r w:rsidR="00197C9E" w:rsidRPr="00760D1B">
        <w:rPr>
          <w:rFonts w:ascii="Arial" w:eastAsiaTheme="majorEastAsia" w:hAnsi="Arial" w:cs="Arial"/>
          <w:color w:val="000000" w:themeColor="text1"/>
          <w:sz w:val="24"/>
          <w:szCs w:val="24"/>
          <w:lang w:val="ru-RU"/>
        </w:rPr>
        <w:t xml:space="preserve"> </w:t>
      </w:r>
      <w:r w:rsidR="00197C9E" w:rsidRPr="00197C9E">
        <w:rPr>
          <w:rFonts w:ascii="Arial" w:eastAsiaTheme="majorEastAsia" w:hAnsi="Arial" w:cs="Arial"/>
          <w:color w:val="000000" w:themeColor="text1"/>
          <w:sz w:val="24"/>
          <w:szCs w:val="24"/>
          <w:lang w:val="ru-RU"/>
        </w:rPr>
        <w:t>на</w:t>
      </w:r>
      <w:r w:rsidR="00197C9E" w:rsidRPr="00760D1B">
        <w:rPr>
          <w:rFonts w:ascii="Arial" w:eastAsiaTheme="majorEastAsia" w:hAnsi="Arial" w:cs="Arial"/>
          <w:color w:val="000000" w:themeColor="text1"/>
          <w:sz w:val="24"/>
          <w:szCs w:val="24"/>
          <w:lang w:val="ru-RU"/>
        </w:rPr>
        <w:t xml:space="preserve"> </w:t>
      </w:r>
      <w:r w:rsidR="00197C9E" w:rsidRPr="00197C9E">
        <w:rPr>
          <w:rFonts w:ascii="Arial" w:eastAsiaTheme="majorEastAsia" w:hAnsi="Arial" w:cs="Arial"/>
          <w:color w:val="000000" w:themeColor="text1"/>
          <w:sz w:val="24"/>
          <w:szCs w:val="24"/>
          <w:lang w:val="ru-RU"/>
        </w:rPr>
        <w:t>внутреннее</w:t>
      </w:r>
      <w:r w:rsidR="00197C9E" w:rsidRPr="00760D1B">
        <w:rPr>
          <w:rFonts w:ascii="Arial" w:eastAsiaTheme="majorEastAsia" w:hAnsi="Arial" w:cs="Arial"/>
          <w:color w:val="000000" w:themeColor="text1"/>
          <w:sz w:val="24"/>
          <w:szCs w:val="24"/>
          <w:lang w:val="ru-RU"/>
        </w:rPr>
        <w:t xml:space="preserve"> </w:t>
      </w:r>
      <w:r w:rsidR="00197C9E" w:rsidRPr="00197C9E">
        <w:rPr>
          <w:rFonts w:ascii="Arial" w:eastAsiaTheme="majorEastAsia" w:hAnsi="Arial" w:cs="Arial"/>
          <w:color w:val="000000" w:themeColor="text1"/>
          <w:sz w:val="24"/>
          <w:szCs w:val="24"/>
          <w:lang w:val="ru-RU"/>
        </w:rPr>
        <w:t>финансирование</w:t>
      </w:r>
      <w:r w:rsidR="00197C9E" w:rsidRPr="00760D1B">
        <w:rPr>
          <w:rFonts w:ascii="Arial" w:eastAsiaTheme="majorEastAsia" w:hAnsi="Arial" w:cs="Arial"/>
          <w:color w:val="000000" w:themeColor="text1"/>
          <w:sz w:val="24"/>
          <w:szCs w:val="24"/>
          <w:lang w:val="ru-RU"/>
        </w:rPr>
        <w:t xml:space="preserve"> </w:t>
      </w:r>
      <w:r w:rsidR="00197C9E" w:rsidRPr="00197C9E">
        <w:rPr>
          <w:rFonts w:ascii="Arial" w:eastAsiaTheme="majorEastAsia" w:hAnsi="Arial" w:cs="Arial"/>
          <w:color w:val="000000" w:themeColor="text1"/>
          <w:sz w:val="24"/>
          <w:szCs w:val="24"/>
          <w:lang w:val="ru-RU"/>
        </w:rPr>
        <w:t>и</w:t>
      </w:r>
      <w:r w:rsidR="00197C9E" w:rsidRPr="00760D1B">
        <w:rPr>
          <w:rFonts w:ascii="Arial" w:eastAsiaTheme="majorEastAsia" w:hAnsi="Arial" w:cs="Arial"/>
          <w:color w:val="000000" w:themeColor="text1"/>
          <w:sz w:val="24"/>
          <w:szCs w:val="24"/>
          <w:lang w:val="ru-RU"/>
        </w:rPr>
        <w:t xml:space="preserve"> </w:t>
      </w:r>
      <w:r w:rsidR="00197C9E" w:rsidRPr="00197C9E">
        <w:rPr>
          <w:rFonts w:ascii="Arial" w:eastAsiaTheme="majorEastAsia" w:hAnsi="Arial" w:cs="Arial"/>
          <w:color w:val="000000" w:themeColor="text1"/>
          <w:sz w:val="24"/>
          <w:szCs w:val="24"/>
          <w:lang w:val="ru-RU"/>
        </w:rPr>
        <w:t>руководство</w:t>
      </w:r>
      <w:r w:rsidR="00197C9E" w:rsidRPr="00760D1B">
        <w:rPr>
          <w:rFonts w:ascii="Arial" w:eastAsiaTheme="majorEastAsia" w:hAnsi="Arial" w:cs="Arial"/>
          <w:color w:val="000000" w:themeColor="text1"/>
          <w:sz w:val="24"/>
          <w:szCs w:val="24"/>
          <w:lang w:val="ru-RU"/>
        </w:rPr>
        <w:t xml:space="preserve"> </w:t>
      </w:r>
      <w:r w:rsidR="00197C9E" w:rsidRPr="00197C9E">
        <w:rPr>
          <w:rFonts w:ascii="Arial" w:eastAsiaTheme="majorEastAsia" w:hAnsi="Arial" w:cs="Arial"/>
          <w:color w:val="000000" w:themeColor="text1"/>
          <w:sz w:val="24"/>
          <w:szCs w:val="24"/>
          <w:lang w:val="ru-RU"/>
        </w:rPr>
        <w:t>мерами</w:t>
      </w:r>
      <w:r w:rsidR="00197C9E" w:rsidRPr="00760D1B">
        <w:rPr>
          <w:rFonts w:ascii="Arial" w:eastAsiaTheme="majorEastAsia" w:hAnsi="Arial" w:cs="Arial"/>
          <w:color w:val="000000" w:themeColor="text1"/>
          <w:sz w:val="24"/>
          <w:szCs w:val="24"/>
          <w:lang w:val="ru-RU"/>
        </w:rPr>
        <w:t xml:space="preserve"> </w:t>
      </w:r>
      <w:r w:rsidR="00197C9E" w:rsidRPr="00197C9E">
        <w:rPr>
          <w:rFonts w:ascii="Arial" w:eastAsiaTheme="majorEastAsia" w:hAnsi="Arial" w:cs="Arial"/>
          <w:color w:val="000000" w:themeColor="text1"/>
          <w:sz w:val="24"/>
          <w:szCs w:val="24"/>
          <w:lang w:val="ru-RU"/>
        </w:rPr>
        <w:t>реагирования</w:t>
      </w:r>
      <w:r w:rsidR="00197C9E" w:rsidRPr="00760D1B">
        <w:rPr>
          <w:rFonts w:ascii="Arial" w:eastAsiaTheme="majorEastAsia" w:hAnsi="Arial" w:cs="Arial"/>
          <w:color w:val="000000" w:themeColor="text1"/>
          <w:sz w:val="24"/>
          <w:szCs w:val="24"/>
          <w:lang w:val="ru-RU"/>
        </w:rPr>
        <w:t xml:space="preserve">, </w:t>
      </w:r>
      <w:r w:rsidR="00197C9E" w:rsidRPr="00197C9E">
        <w:rPr>
          <w:rFonts w:ascii="Arial" w:eastAsiaTheme="majorEastAsia" w:hAnsi="Arial" w:cs="Arial"/>
          <w:color w:val="000000" w:themeColor="text1"/>
          <w:sz w:val="24"/>
          <w:szCs w:val="24"/>
          <w:lang w:val="ru-RU"/>
        </w:rPr>
        <w:t>принимаемыми</w:t>
      </w:r>
      <w:r w:rsidR="00197C9E" w:rsidRPr="00760D1B">
        <w:rPr>
          <w:rFonts w:ascii="Arial" w:eastAsiaTheme="majorEastAsia" w:hAnsi="Arial" w:cs="Arial"/>
          <w:color w:val="000000" w:themeColor="text1"/>
          <w:sz w:val="24"/>
          <w:szCs w:val="24"/>
          <w:lang w:val="ru-RU"/>
        </w:rPr>
        <w:t xml:space="preserve"> </w:t>
      </w:r>
      <w:r w:rsidR="00197C9E" w:rsidRPr="00197C9E">
        <w:rPr>
          <w:rFonts w:ascii="Arial" w:eastAsiaTheme="majorEastAsia" w:hAnsi="Arial" w:cs="Arial"/>
          <w:color w:val="000000" w:themeColor="text1"/>
          <w:sz w:val="24"/>
          <w:szCs w:val="24"/>
          <w:lang w:val="ru-RU"/>
        </w:rPr>
        <w:t>страной</w:t>
      </w:r>
      <w:r w:rsidR="003B75BB" w:rsidRPr="00760D1B">
        <w:rPr>
          <w:rFonts w:ascii="Arial" w:eastAsiaTheme="majorEastAsia" w:hAnsi="Arial" w:cs="Arial"/>
          <w:color w:val="000000" w:themeColor="text1"/>
          <w:sz w:val="24"/>
          <w:szCs w:val="24"/>
          <w:lang w:val="ru-RU"/>
        </w:rPr>
        <w:t>.</w:t>
      </w:r>
    </w:p>
    <w:p w14:paraId="4D6301EE" w14:textId="7477700A" w:rsidR="003B75BB" w:rsidRPr="009C2F69" w:rsidRDefault="00901B99" w:rsidP="00D8578B">
      <w:pPr>
        <w:pStyle w:val="af1"/>
        <w:numPr>
          <w:ilvl w:val="2"/>
          <w:numId w:val="7"/>
        </w:numPr>
        <w:ind w:left="850" w:hanging="490"/>
        <w:contextualSpacing w:val="0"/>
        <w:jc w:val="both"/>
        <w:rPr>
          <w:rFonts w:ascii="Arial" w:eastAsiaTheme="majorEastAsia" w:hAnsi="Arial" w:cs="Arial"/>
          <w:color w:val="000000" w:themeColor="text1"/>
          <w:sz w:val="24"/>
          <w:szCs w:val="24"/>
          <w:lang w:val="ru-RU"/>
        </w:rPr>
      </w:pPr>
      <w:r w:rsidRPr="009C2F69">
        <w:rPr>
          <w:rFonts w:ascii="Arial" w:eastAsiaTheme="majorEastAsia" w:hAnsi="Arial" w:cs="Arial"/>
          <w:color w:val="000000" w:themeColor="text1"/>
          <w:sz w:val="24"/>
          <w:szCs w:val="24"/>
          <w:lang w:val="ru-RU"/>
        </w:rPr>
        <w:t xml:space="preserve">Если данная заявка на финансирование предполагает </w:t>
      </w:r>
      <w:r w:rsidR="00423BFB" w:rsidRPr="009C2F69">
        <w:rPr>
          <w:rFonts w:ascii="Arial" w:eastAsiaTheme="majorEastAsia" w:hAnsi="Arial" w:cs="Arial"/>
          <w:color w:val="000000" w:themeColor="text1"/>
          <w:sz w:val="24"/>
          <w:szCs w:val="24"/>
          <w:lang w:val="ru-RU"/>
        </w:rPr>
        <w:t>деятельность по оказанию услуг</w:t>
      </w:r>
      <w:r w:rsidR="002843CA" w:rsidRPr="009C2F69">
        <w:rPr>
          <w:rFonts w:ascii="Arial" w:eastAsiaTheme="majorEastAsia" w:hAnsi="Arial" w:cs="Arial"/>
          <w:color w:val="000000" w:themeColor="text1"/>
          <w:sz w:val="24"/>
          <w:szCs w:val="24"/>
          <w:lang w:val="ru-RU"/>
        </w:rPr>
        <w:t xml:space="preserve"> или иные </w:t>
      </w:r>
      <w:r w:rsidR="00982025" w:rsidRPr="009C2F69">
        <w:rPr>
          <w:rFonts w:ascii="Arial" w:eastAsiaTheme="majorEastAsia" w:hAnsi="Arial" w:cs="Arial"/>
          <w:color w:val="000000" w:themeColor="text1"/>
          <w:sz w:val="24"/>
          <w:szCs w:val="24"/>
          <w:lang w:val="ru-RU"/>
        </w:rPr>
        <w:t xml:space="preserve">текущие </w:t>
      </w:r>
      <w:r w:rsidR="002843CA" w:rsidRPr="009C2F69">
        <w:rPr>
          <w:rFonts w:ascii="Arial" w:eastAsiaTheme="majorEastAsia" w:hAnsi="Arial" w:cs="Arial"/>
          <w:color w:val="000000" w:themeColor="text1"/>
          <w:sz w:val="24"/>
          <w:szCs w:val="24"/>
          <w:lang w:val="ru-RU"/>
        </w:rPr>
        <w:t xml:space="preserve">расходы, объясните, как такая деятельность будет </w:t>
      </w:r>
      <w:r w:rsidR="00345D88" w:rsidRPr="009C2F69">
        <w:rPr>
          <w:rFonts w:ascii="Arial" w:eastAsiaTheme="majorEastAsia" w:hAnsi="Arial" w:cs="Arial"/>
          <w:color w:val="000000" w:themeColor="text1"/>
          <w:sz w:val="24"/>
          <w:szCs w:val="24"/>
          <w:lang w:val="ru-RU"/>
        </w:rPr>
        <w:t xml:space="preserve">в полном объеме финансироваться из местных источников </w:t>
      </w:r>
      <w:r w:rsidR="00136B7D" w:rsidRPr="009C2F69">
        <w:rPr>
          <w:rFonts w:ascii="Arial" w:eastAsiaTheme="majorEastAsia" w:hAnsi="Arial" w:cs="Arial"/>
          <w:color w:val="000000" w:themeColor="text1"/>
          <w:sz w:val="24"/>
          <w:szCs w:val="24"/>
          <w:lang w:val="ru-RU"/>
        </w:rPr>
        <w:t xml:space="preserve">и/или будет поглощена/интегрирована госорганами в течение срока гранта. Если </w:t>
      </w:r>
      <w:r w:rsidR="009C2F69" w:rsidRPr="009C2F69">
        <w:rPr>
          <w:rFonts w:ascii="Arial" w:eastAsiaTheme="majorEastAsia" w:hAnsi="Arial" w:cs="Arial"/>
          <w:color w:val="000000" w:themeColor="text1"/>
          <w:sz w:val="24"/>
          <w:szCs w:val="24"/>
          <w:lang w:val="ru-RU"/>
        </w:rPr>
        <w:t>в такой деятельности и/или расходах больше нет необходимости, поясните, почему</w:t>
      </w:r>
      <w:r w:rsidR="003B75BB" w:rsidRPr="009C2F69">
        <w:rPr>
          <w:rFonts w:ascii="Arial" w:eastAsiaTheme="majorEastAsia" w:hAnsi="Arial" w:cs="Arial"/>
          <w:color w:val="000000" w:themeColor="text1"/>
          <w:sz w:val="24"/>
          <w:szCs w:val="24"/>
          <w:lang w:val="ru-RU"/>
        </w:rPr>
        <w:t>.</w:t>
      </w:r>
    </w:p>
    <w:p w14:paraId="4B8C444B" w14:textId="39D3AE37" w:rsidR="003B75BB" w:rsidRPr="00C10B38" w:rsidRDefault="009D256D" w:rsidP="00D8578B">
      <w:pPr>
        <w:pStyle w:val="af1"/>
        <w:numPr>
          <w:ilvl w:val="2"/>
          <w:numId w:val="7"/>
        </w:numPr>
        <w:ind w:left="850" w:hanging="490"/>
        <w:contextualSpacing w:val="0"/>
        <w:jc w:val="both"/>
        <w:rPr>
          <w:rFonts w:ascii="Arial" w:eastAsiaTheme="majorEastAsia" w:hAnsi="Arial" w:cs="Arial"/>
          <w:color w:val="000000" w:themeColor="text1"/>
          <w:sz w:val="24"/>
          <w:szCs w:val="24"/>
          <w:lang w:val="ru-RU"/>
        </w:rPr>
      </w:pPr>
      <w:r w:rsidRPr="00ED4CAA">
        <w:rPr>
          <w:rFonts w:ascii="Arial" w:eastAsiaTheme="majorEastAsia" w:hAnsi="Arial" w:cs="Arial"/>
          <w:color w:val="000000" w:themeColor="text1"/>
          <w:sz w:val="24"/>
          <w:szCs w:val="24"/>
          <w:lang w:val="ru-RU"/>
        </w:rPr>
        <w:t>Если применимо</w:t>
      </w:r>
      <w:r w:rsidR="00C71099" w:rsidRPr="00ED4CAA">
        <w:rPr>
          <w:rFonts w:ascii="Arial" w:eastAsiaTheme="majorEastAsia" w:hAnsi="Arial" w:cs="Arial"/>
          <w:color w:val="000000" w:themeColor="text1"/>
          <w:sz w:val="24"/>
          <w:szCs w:val="24"/>
          <w:lang w:val="ru-RU"/>
        </w:rPr>
        <w:t xml:space="preserve"> –</w:t>
      </w:r>
      <w:r w:rsidRPr="00ED4CAA">
        <w:rPr>
          <w:rFonts w:ascii="Arial" w:eastAsiaTheme="majorEastAsia" w:hAnsi="Arial" w:cs="Arial"/>
          <w:color w:val="000000" w:themeColor="text1"/>
          <w:sz w:val="24"/>
          <w:szCs w:val="24"/>
          <w:lang w:val="ru-RU"/>
        </w:rPr>
        <w:t xml:space="preserve"> </w:t>
      </w:r>
      <w:r w:rsidR="00C71099" w:rsidRPr="00ED4CAA">
        <w:rPr>
          <w:rFonts w:ascii="Arial" w:eastAsiaTheme="majorEastAsia" w:hAnsi="Arial" w:cs="Arial"/>
          <w:color w:val="000000" w:themeColor="text1"/>
          <w:sz w:val="24"/>
          <w:szCs w:val="24"/>
          <w:lang w:val="ru-RU"/>
        </w:rPr>
        <w:t xml:space="preserve">объясните, как главные программные функции, остающиеся </w:t>
      </w:r>
      <w:r w:rsidR="008C6657" w:rsidRPr="00ED4CAA">
        <w:rPr>
          <w:rFonts w:ascii="Arial" w:eastAsiaTheme="majorEastAsia" w:hAnsi="Arial" w:cs="Arial"/>
          <w:color w:val="000000" w:themeColor="text1"/>
          <w:sz w:val="24"/>
          <w:szCs w:val="24"/>
          <w:lang w:val="ru-RU"/>
        </w:rPr>
        <w:t>на уровне</w:t>
      </w:r>
      <w:r w:rsidR="00A670C0" w:rsidRPr="00ED4CAA">
        <w:rPr>
          <w:rFonts w:ascii="Arial" w:eastAsiaTheme="majorEastAsia" w:hAnsi="Arial" w:cs="Arial"/>
          <w:color w:val="000000" w:themeColor="text1"/>
          <w:sz w:val="24"/>
          <w:szCs w:val="24"/>
          <w:lang w:val="ru-RU"/>
        </w:rPr>
        <w:t xml:space="preserve"> Главного реципиента, или Отдел управления программой будут контролироваться местными субъектами </w:t>
      </w:r>
      <w:r w:rsidR="00670792" w:rsidRPr="00ED4CAA">
        <w:rPr>
          <w:rFonts w:ascii="Arial" w:eastAsiaTheme="majorEastAsia" w:hAnsi="Arial" w:cs="Arial"/>
          <w:color w:val="000000" w:themeColor="text1"/>
          <w:sz w:val="24"/>
          <w:szCs w:val="24"/>
          <w:lang w:val="ru-RU"/>
        </w:rPr>
        <w:t xml:space="preserve">к концу срока реализации и как они будут финансироваться. </w:t>
      </w:r>
      <w:r w:rsidR="00F57A51" w:rsidRPr="00ED4CAA">
        <w:rPr>
          <w:rFonts w:ascii="Arial" w:eastAsiaTheme="majorEastAsia" w:hAnsi="Arial" w:cs="Arial"/>
          <w:color w:val="000000" w:themeColor="text1"/>
          <w:sz w:val="24"/>
          <w:szCs w:val="24"/>
          <w:lang w:val="ru-RU"/>
        </w:rPr>
        <w:t>К</w:t>
      </w:r>
      <w:r w:rsidR="00F57A51" w:rsidRPr="00C10B38">
        <w:rPr>
          <w:rFonts w:ascii="Arial" w:eastAsiaTheme="majorEastAsia" w:hAnsi="Arial" w:cs="Arial"/>
          <w:color w:val="000000" w:themeColor="text1"/>
          <w:sz w:val="24"/>
          <w:szCs w:val="24"/>
          <w:lang w:val="ru-RU"/>
        </w:rPr>
        <w:t xml:space="preserve"> </w:t>
      </w:r>
      <w:r w:rsidR="00F57A51" w:rsidRPr="00ED4CAA">
        <w:rPr>
          <w:rFonts w:ascii="Arial" w:eastAsiaTheme="majorEastAsia" w:hAnsi="Arial" w:cs="Arial"/>
          <w:color w:val="000000" w:themeColor="text1"/>
          <w:sz w:val="24"/>
          <w:szCs w:val="24"/>
          <w:lang w:val="ru-RU"/>
        </w:rPr>
        <w:t>главным</w:t>
      </w:r>
      <w:r w:rsidR="00F57A51" w:rsidRPr="00C10B38">
        <w:rPr>
          <w:rFonts w:ascii="Arial" w:eastAsiaTheme="majorEastAsia" w:hAnsi="Arial" w:cs="Arial"/>
          <w:color w:val="000000" w:themeColor="text1"/>
          <w:sz w:val="24"/>
          <w:szCs w:val="24"/>
          <w:lang w:val="ru-RU"/>
        </w:rPr>
        <w:t xml:space="preserve"> </w:t>
      </w:r>
      <w:r w:rsidR="00F57A51" w:rsidRPr="00ED4CAA">
        <w:rPr>
          <w:rFonts w:ascii="Arial" w:eastAsiaTheme="majorEastAsia" w:hAnsi="Arial" w:cs="Arial"/>
          <w:color w:val="000000" w:themeColor="text1"/>
          <w:sz w:val="24"/>
          <w:szCs w:val="24"/>
          <w:lang w:val="ru-RU"/>
        </w:rPr>
        <w:t>программным</w:t>
      </w:r>
      <w:r w:rsidR="00F57A51" w:rsidRPr="00C10B38">
        <w:rPr>
          <w:rFonts w:ascii="Arial" w:eastAsiaTheme="majorEastAsia" w:hAnsi="Arial" w:cs="Arial"/>
          <w:color w:val="000000" w:themeColor="text1"/>
          <w:sz w:val="24"/>
          <w:szCs w:val="24"/>
          <w:lang w:val="ru-RU"/>
        </w:rPr>
        <w:t xml:space="preserve"> </w:t>
      </w:r>
      <w:r w:rsidR="00F57A51" w:rsidRPr="00ED4CAA">
        <w:rPr>
          <w:rFonts w:ascii="Arial" w:eastAsiaTheme="majorEastAsia" w:hAnsi="Arial" w:cs="Arial"/>
          <w:color w:val="000000" w:themeColor="text1"/>
          <w:sz w:val="24"/>
          <w:szCs w:val="24"/>
          <w:lang w:val="ru-RU"/>
        </w:rPr>
        <w:t>функциям</w:t>
      </w:r>
      <w:r w:rsidR="00F57A51" w:rsidRPr="00C10B38">
        <w:rPr>
          <w:rFonts w:ascii="Arial" w:eastAsiaTheme="majorEastAsia" w:hAnsi="Arial" w:cs="Arial"/>
          <w:color w:val="000000" w:themeColor="text1"/>
          <w:sz w:val="24"/>
          <w:szCs w:val="24"/>
          <w:lang w:val="ru-RU"/>
        </w:rPr>
        <w:t xml:space="preserve"> </w:t>
      </w:r>
      <w:r w:rsidR="00F57A51" w:rsidRPr="00ED4CAA">
        <w:rPr>
          <w:rFonts w:ascii="Arial" w:eastAsiaTheme="majorEastAsia" w:hAnsi="Arial" w:cs="Arial"/>
          <w:color w:val="000000" w:themeColor="text1"/>
          <w:sz w:val="24"/>
          <w:szCs w:val="24"/>
          <w:lang w:val="ru-RU"/>
        </w:rPr>
        <w:t>могут</w:t>
      </w:r>
      <w:r w:rsidR="00F57A51" w:rsidRPr="00C10B38">
        <w:rPr>
          <w:rFonts w:ascii="Arial" w:eastAsiaTheme="majorEastAsia" w:hAnsi="Arial" w:cs="Arial"/>
          <w:color w:val="000000" w:themeColor="text1"/>
          <w:sz w:val="24"/>
          <w:szCs w:val="24"/>
          <w:lang w:val="ru-RU"/>
        </w:rPr>
        <w:t xml:space="preserve"> </w:t>
      </w:r>
      <w:r w:rsidR="00F57A51" w:rsidRPr="00ED4CAA">
        <w:rPr>
          <w:rFonts w:ascii="Arial" w:eastAsiaTheme="majorEastAsia" w:hAnsi="Arial" w:cs="Arial"/>
          <w:color w:val="000000" w:themeColor="text1"/>
          <w:sz w:val="24"/>
          <w:szCs w:val="24"/>
          <w:lang w:val="ru-RU"/>
        </w:rPr>
        <w:t>относиться</w:t>
      </w:r>
      <w:r w:rsidR="00F57A51" w:rsidRPr="00C10B38">
        <w:rPr>
          <w:rFonts w:ascii="Arial" w:eastAsiaTheme="majorEastAsia" w:hAnsi="Arial" w:cs="Arial"/>
          <w:color w:val="000000" w:themeColor="text1"/>
          <w:sz w:val="24"/>
          <w:szCs w:val="24"/>
          <w:lang w:val="ru-RU"/>
        </w:rPr>
        <w:t xml:space="preserve"> </w:t>
      </w:r>
      <w:r w:rsidR="00ED4CAA" w:rsidRPr="00ED4CAA">
        <w:rPr>
          <w:rFonts w:ascii="Arial" w:eastAsiaTheme="majorEastAsia" w:hAnsi="Arial" w:cs="Arial"/>
          <w:color w:val="000000" w:themeColor="text1"/>
          <w:sz w:val="24"/>
          <w:szCs w:val="24"/>
          <w:lang w:val="ru-RU"/>
        </w:rPr>
        <w:t>координация</w:t>
      </w:r>
      <w:r w:rsidR="00ED4CAA" w:rsidRPr="00C10B38">
        <w:rPr>
          <w:rFonts w:ascii="Arial" w:eastAsiaTheme="majorEastAsia" w:hAnsi="Arial" w:cs="Arial"/>
          <w:color w:val="000000" w:themeColor="text1"/>
          <w:sz w:val="24"/>
          <w:szCs w:val="24"/>
          <w:lang w:val="ru-RU"/>
        </w:rPr>
        <w:t xml:space="preserve"> </w:t>
      </w:r>
      <w:r w:rsidR="00ED4CAA" w:rsidRPr="00ED4CAA">
        <w:rPr>
          <w:rFonts w:ascii="Arial" w:eastAsiaTheme="majorEastAsia" w:hAnsi="Arial" w:cs="Arial"/>
          <w:color w:val="000000" w:themeColor="text1"/>
          <w:sz w:val="24"/>
          <w:szCs w:val="24"/>
          <w:lang w:val="ru-RU"/>
        </w:rPr>
        <w:t>программ</w:t>
      </w:r>
      <w:r w:rsidR="00ED4CAA" w:rsidRPr="00C10B38">
        <w:rPr>
          <w:rFonts w:ascii="Arial" w:eastAsiaTheme="majorEastAsia" w:hAnsi="Arial" w:cs="Arial"/>
          <w:color w:val="000000" w:themeColor="text1"/>
          <w:sz w:val="24"/>
          <w:szCs w:val="24"/>
          <w:lang w:val="ru-RU"/>
        </w:rPr>
        <w:t xml:space="preserve">, </w:t>
      </w:r>
      <w:r w:rsidR="00ED4CAA" w:rsidRPr="00ED4CAA">
        <w:rPr>
          <w:rFonts w:ascii="Arial" w:eastAsiaTheme="majorEastAsia" w:hAnsi="Arial" w:cs="Arial"/>
          <w:color w:val="000000" w:themeColor="text1"/>
          <w:sz w:val="24"/>
          <w:szCs w:val="24"/>
          <w:lang w:val="ru-RU"/>
        </w:rPr>
        <w:t>закупки</w:t>
      </w:r>
      <w:r w:rsidR="00ED4CAA" w:rsidRPr="00C10B38">
        <w:rPr>
          <w:rFonts w:ascii="Arial" w:eastAsiaTheme="majorEastAsia" w:hAnsi="Arial" w:cs="Arial"/>
          <w:color w:val="000000" w:themeColor="text1"/>
          <w:sz w:val="24"/>
          <w:szCs w:val="24"/>
          <w:lang w:val="ru-RU"/>
        </w:rPr>
        <w:t xml:space="preserve">, </w:t>
      </w:r>
      <w:r w:rsidR="00ED4CAA" w:rsidRPr="00ED4CAA">
        <w:rPr>
          <w:rFonts w:ascii="Arial" w:eastAsiaTheme="majorEastAsia" w:hAnsi="Arial" w:cs="Arial"/>
          <w:color w:val="000000" w:themeColor="text1"/>
          <w:sz w:val="24"/>
          <w:szCs w:val="24"/>
          <w:lang w:val="ru-RU"/>
        </w:rPr>
        <w:t>мониторинг</w:t>
      </w:r>
      <w:r w:rsidR="00ED4CAA" w:rsidRPr="00C10B38">
        <w:rPr>
          <w:rFonts w:ascii="Arial" w:eastAsiaTheme="majorEastAsia" w:hAnsi="Arial" w:cs="Arial"/>
          <w:color w:val="000000" w:themeColor="text1"/>
          <w:sz w:val="24"/>
          <w:szCs w:val="24"/>
          <w:lang w:val="ru-RU"/>
        </w:rPr>
        <w:t xml:space="preserve"> </w:t>
      </w:r>
      <w:r w:rsidR="00ED4CAA" w:rsidRPr="00ED4CAA">
        <w:rPr>
          <w:rFonts w:ascii="Arial" w:eastAsiaTheme="majorEastAsia" w:hAnsi="Arial" w:cs="Arial"/>
          <w:color w:val="000000" w:themeColor="text1"/>
          <w:sz w:val="24"/>
          <w:szCs w:val="24"/>
          <w:lang w:val="ru-RU"/>
        </w:rPr>
        <w:t>и</w:t>
      </w:r>
      <w:r w:rsidR="00ED4CAA" w:rsidRPr="00C10B38">
        <w:rPr>
          <w:rFonts w:ascii="Arial" w:eastAsiaTheme="majorEastAsia" w:hAnsi="Arial" w:cs="Arial"/>
          <w:color w:val="000000" w:themeColor="text1"/>
          <w:sz w:val="24"/>
          <w:szCs w:val="24"/>
          <w:lang w:val="ru-RU"/>
        </w:rPr>
        <w:t xml:space="preserve"> </w:t>
      </w:r>
      <w:r w:rsidR="00ED4CAA" w:rsidRPr="00ED4CAA">
        <w:rPr>
          <w:rFonts w:ascii="Arial" w:eastAsiaTheme="majorEastAsia" w:hAnsi="Arial" w:cs="Arial"/>
          <w:color w:val="000000" w:themeColor="text1"/>
          <w:sz w:val="24"/>
          <w:szCs w:val="24"/>
          <w:lang w:val="ru-RU"/>
        </w:rPr>
        <w:t>оценка</w:t>
      </w:r>
      <w:r w:rsidR="00ED4CAA" w:rsidRPr="00C10B38">
        <w:rPr>
          <w:rFonts w:ascii="Arial" w:eastAsiaTheme="majorEastAsia" w:hAnsi="Arial" w:cs="Arial"/>
          <w:color w:val="000000" w:themeColor="text1"/>
          <w:sz w:val="24"/>
          <w:szCs w:val="24"/>
          <w:lang w:val="ru-RU"/>
        </w:rPr>
        <w:t xml:space="preserve">, </w:t>
      </w:r>
      <w:r w:rsidR="00ED4CAA" w:rsidRPr="00ED4CAA">
        <w:rPr>
          <w:rFonts w:ascii="Arial" w:eastAsiaTheme="majorEastAsia" w:hAnsi="Arial" w:cs="Arial"/>
          <w:color w:val="000000" w:themeColor="text1"/>
          <w:sz w:val="24"/>
          <w:szCs w:val="24"/>
          <w:lang w:val="ru-RU"/>
        </w:rPr>
        <w:t>управление</w:t>
      </w:r>
      <w:r w:rsidR="00ED4CAA" w:rsidRPr="00C10B38">
        <w:rPr>
          <w:rFonts w:ascii="Arial" w:eastAsiaTheme="majorEastAsia" w:hAnsi="Arial" w:cs="Arial"/>
          <w:color w:val="000000" w:themeColor="text1"/>
          <w:sz w:val="24"/>
          <w:szCs w:val="24"/>
          <w:lang w:val="ru-RU"/>
        </w:rPr>
        <w:t xml:space="preserve"> </w:t>
      </w:r>
      <w:r w:rsidR="00ED4CAA" w:rsidRPr="00ED4CAA">
        <w:rPr>
          <w:rFonts w:ascii="Arial" w:eastAsiaTheme="majorEastAsia" w:hAnsi="Arial" w:cs="Arial"/>
          <w:color w:val="000000" w:themeColor="text1"/>
          <w:sz w:val="24"/>
          <w:szCs w:val="24"/>
          <w:lang w:val="ru-RU"/>
        </w:rPr>
        <w:t>контрактами</w:t>
      </w:r>
      <w:r w:rsidR="00ED4CAA" w:rsidRPr="00C10B38">
        <w:rPr>
          <w:rFonts w:ascii="Arial" w:eastAsiaTheme="majorEastAsia" w:hAnsi="Arial" w:cs="Arial"/>
          <w:color w:val="000000" w:themeColor="text1"/>
          <w:sz w:val="24"/>
          <w:szCs w:val="24"/>
          <w:lang w:val="ru-RU"/>
        </w:rPr>
        <w:t xml:space="preserve"> </w:t>
      </w:r>
      <w:r w:rsidR="00ED4CAA" w:rsidRPr="00ED4CAA">
        <w:rPr>
          <w:rFonts w:ascii="Arial" w:eastAsiaTheme="majorEastAsia" w:hAnsi="Arial" w:cs="Arial"/>
          <w:color w:val="000000" w:themeColor="text1"/>
          <w:sz w:val="24"/>
          <w:szCs w:val="24"/>
          <w:lang w:val="ru-RU"/>
        </w:rPr>
        <w:t>с</w:t>
      </w:r>
      <w:r w:rsidR="00ED4CAA" w:rsidRPr="00C10B38">
        <w:rPr>
          <w:rFonts w:ascii="Arial" w:eastAsiaTheme="majorEastAsia" w:hAnsi="Arial" w:cs="Arial"/>
          <w:color w:val="000000" w:themeColor="text1"/>
          <w:sz w:val="24"/>
          <w:szCs w:val="24"/>
          <w:lang w:val="ru-RU"/>
        </w:rPr>
        <w:t xml:space="preserve"> </w:t>
      </w:r>
      <w:r w:rsidR="00ED4CAA" w:rsidRPr="00ED4CAA">
        <w:rPr>
          <w:rFonts w:ascii="Arial" w:eastAsiaTheme="majorEastAsia" w:hAnsi="Arial" w:cs="Arial"/>
          <w:color w:val="000000" w:themeColor="text1"/>
          <w:sz w:val="24"/>
          <w:szCs w:val="24"/>
          <w:lang w:val="ru-RU"/>
        </w:rPr>
        <w:t>негосударственными</w:t>
      </w:r>
      <w:r w:rsidR="00ED4CAA" w:rsidRPr="00C10B38">
        <w:rPr>
          <w:rFonts w:ascii="Arial" w:eastAsiaTheme="majorEastAsia" w:hAnsi="Arial" w:cs="Arial"/>
          <w:color w:val="000000" w:themeColor="text1"/>
          <w:sz w:val="24"/>
          <w:szCs w:val="24"/>
          <w:lang w:val="ru-RU"/>
        </w:rPr>
        <w:t xml:space="preserve"> </w:t>
      </w:r>
      <w:r w:rsidR="00ED4CAA" w:rsidRPr="00ED4CAA">
        <w:rPr>
          <w:rFonts w:ascii="Arial" w:eastAsiaTheme="majorEastAsia" w:hAnsi="Arial" w:cs="Arial"/>
          <w:color w:val="000000" w:themeColor="text1"/>
          <w:sz w:val="24"/>
          <w:szCs w:val="24"/>
          <w:lang w:val="ru-RU"/>
        </w:rPr>
        <w:t>субъектами</w:t>
      </w:r>
      <w:r w:rsidR="00ED4CAA" w:rsidRPr="00C10B38">
        <w:rPr>
          <w:rFonts w:ascii="Arial" w:eastAsiaTheme="majorEastAsia" w:hAnsi="Arial" w:cs="Arial"/>
          <w:color w:val="000000" w:themeColor="text1"/>
          <w:sz w:val="24"/>
          <w:szCs w:val="24"/>
          <w:lang w:val="ru-RU"/>
        </w:rPr>
        <w:t xml:space="preserve"> </w:t>
      </w:r>
      <w:r w:rsidR="00ED4CAA" w:rsidRPr="00ED4CAA">
        <w:rPr>
          <w:rFonts w:ascii="Arial" w:eastAsiaTheme="majorEastAsia" w:hAnsi="Arial" w:cs="Arial"/>
          <w:color w:val="000000" w:themeColor="text1"/>
          <w:sz w:val="24"/>
          <w:szCs w:val="24"/>
          <w:lang w:val="ru-RU"/>
        </w:rPr>
        <w:t>и</w:t>
      </w:r>
      <w:r w:rsidR="00ED4CAA" w:rsidRPr="00C10B38">
        <w:rPr>
          <w:rFonts w:ascii="Arial" w:eastAsiaTheme="majorEastAsia" w:hAnsi="Arial" w:cs="Arial"/>
          <w:color w:val="000000" w:themeColor="text1"/>
          <w:sz w:val="24"/>
          <w:szCs w:val="24"/>
          <w:lang w:val="ru-RU"/>
        </w:rPr>
        <w:t xml:space="preserve"> </w:t>
      </w:r>
      <w:r w:rsidR="00ED4CAA" w:rsidRPr="00ED4CAA">
        <w:rPr>
          <w:rFonts w:ascii="Arial" w:eastAsiaTheme="majorEastAsia" w:hAnsi="Arial" w:cs="Arial"/>
          <w:color w:val="000000" w:themeColor="text1"/>
          <w:sz w:val="24"/>
          <w:szCs w:val="24"/>
          <w:lang w:val="ru-RU"/>
        </w:rPr>
        <w:t>т</w:t>
      </w:r>
      <w:r w:rsidR="00ED4CAA" w:rsidRPr="00C10B38">
        <w:rPr>
          <w:rFonts w:ascii="Arial" w:eastAsiaTheme="majorEastAsia" w:hAnsi="Arial" w:cs="Arial"/>
          <w:color w:val="000000" w:themeColor="text1"/>
          <w:sz w:val="24"/>
          <w:szCs w:val="24"/>
          <w:lang w:val="ru-RU"/>
        </w:rPr>
        <w:t xml:space="preserve">. </w:t>
      </w:r>
      <w:r w:rsidR="00ED4CAA" w:rsidRPr="00ED4CAA">
        <w:rPr>
          <w:rFonts w:ascii="Arial" w:eastAsiaTheme="majorEastAsia" w:hAnsi="Arial" w:cs="Arial"/>
          <w:color w:val="000000" w:themeColor="text1"/>
          <w:sz w:val="24"/>
          <w:szCs w:val="24"/>
          <w:lang w:val="ru-RU"/>
        </w:rPr>
        <w:t>д</w:t>
      </w:r>
      <w:r w:rsidR="00A757A4" w:rsidRPr="00C10B38">
        <w:rPr>
          <w:rFonts w:ascii="Arial" w:eastAsiaTheme="majorEastAsia" w:hAnsi="Arial" w:cs="Arial"/>
          <w:color w:val="000000" w:themeColor="text1"/>
          <w:sz w:val="24"/>
          <w:szCs w:val="24"/>
          <w:lang w:val="ru-RU"/>
        </w:rPr>
        <w:t>.</w:t>
      </w:r>
    </w:p>
    <w:p w14:paraId="548881D5" w14:textId="77777777" w:rsidR="0070372F" w:rsidRPr="00C10B38" w:rsidRDefault="0070372F">
      <w:pPr>
        <w:spacing w:after="200"/>
        <w:rPr>
          <w:rFonts w:asciiTheme="majorHAnsi" w:eastAsiaTheme="majorEastAsia" w:hAnsiTheme="majorHAnsi" w:cstheme="majorBidi"/>
          <w:color w:val="000000" w:themeColor="text1"/>
          <w:sz w:val="32"/>
          <w:szCs w:val="32"/>
          <w:lang w:val="ru-RU"/>
        </w:rPr>
      </w:pPr>
      <w:r w:rsidRPr="00C10B38">
        <w:rPr>
          <w:lang w:val="ru-RU"/>
        </w:rPr>
        <w:br w:type="page"/>
      </w:r>
    </w:p>
    <w:p w14:paraId="13E99928" w14:textId="4DEFE50B" w:rsidR="00F92EBF" w:rsidRPr="004E5CD1" w:rsidRDefault="00D91969" w:rsidP="00C67745">
      <w:pPr>
        <w:pStyle w:val="1"/>
        <w:spacing w:after="0"/>
        <w:rPr>
          <w:lang w:val="ru-RU"/>
        </w:rPr>
      </w:pPr>
      <w:r>
        <w:rPr>
          <w:lang w:val="ru-RU"/>
        </w:rPr>
        <w:lastRenderedPageBreak/>
        <w:t>Приложение</w:t>
      </w:r>
      <w:r w:rsidR="0069591B" w:rsidRPr="004E5CD1">
        <w:rPr>
          <w:lang w:val="ru-RU"/>
        </w:rPr>
        <w:t xml:space="preserve"> </w:t>
      </w:r>
      <w:r w:rsidR="008275E6" w:rsidRPr="004E5CD1">
        <w:rPr>
          <w:lang w:val="ru-RU"/>
        </w:rPr>
        <w:t>2</w:t>
      </w:r>
      <w:r w:rsidR="00FD555E" w:rsidRPr="004E5CD1">
        <w:rPr>
          <w:lang w:val="ru-RU"/>
        </w:rPr>
        <w:t>.</w:t>
      </w:r>
      <w:r w:rsidR="0070372F" w:rsidRPr="004E5CD1">
        <w:rPr>
          <w:lang w:val="ru-RU"/>
        </w:rPr>
        <w:t xml:space="preserve"> </w:t>
      </w:r>
      <w:r w:rsidR="005725B7">
        <w:rPr>
          <w:lang w:val="ru-RU"/>
        </w:rPr>
        <w:t>Контрольный</w:t>
      </w:r>
      <w:r w:rsidR="005725B7" w:rsidRPr="004E5CD1">
        <w:rPr>
          <w:lang w:val="ru-RU"/>
        </w:rPr>
        <w:t xml:space="preserve"> </w:t>
      </w:r>
      <w:r w:rsidR="005725B7">
        <w:rPr>
          <w:lang w:val="ru-RU"/>
        </w:rPr>
        <w:t>перечень</w:t>
      </w:r>
      <w:r w:rsidR="005725B7" w:rsidRPr="004E5CD1">
        <w:rPr>
          <w:lang w:val="ru-RU"/>
        </w:rPr>
        <w:t xml:space="preserve"> </w:t>
      </w:r>
      <w:r w:rsidR="005725B7">
        <w:rPr>
          <w:lang w:val="ru-RU"/>
        </w:rPr>
        <w:t>документов</w:t>
      </w:r>
    </w:p>
    <w:p w14:paraId="087D237F" w14:textId="78C8D85F" w:rsidR="00EF304D" w:rsidRPr="004E5CD1" w:rsidRDefault="00C10B66" w:rsidP="00E9254A">
      <w:pPr>
        <w:pStyle w:val="a1"/>
        <w:spacing w:after="0"/>
        <w:contextualSpacing/>
        <w:jc w:val="both"/>
        <w:rPr>
          <w:sz w:val="20"/>
          <w:szCs w:val="18"/>
          <w:lang w:val="ru-RU"/>
        </w:rPr>
      </w:pPr>
      <w:r>
        <w:rPr>
          <w:sz w:val="20"/>
          <w:szCs w:val="18"/>
          <w:lang w:val="ru-RU"/>
        </w:rPr>
        <w:t>С</w:t>
      </w:r>
      <w:r w:rsidRPr="00C53860">
        <w:rPr>
          <w:sz w:val="20"/>
          <w:szCs w:val="18"/>
          <w:lang w:val="ru-RU"/>
        </w:rPr>
        <w:t xml:space="preserve"> </w:t>
      </w:r>
      <w:r>
        <w:rPr>
          <w:sz w:val="20"/>
          <w:szCs w:val="18"/>
          <w:lang w:val="ru-RU"/>
        </w:rPr>
        <w:t>помощью</w:t>
      </w:r>
      <w:r w:rsidRPr="00C53860">
        <w:rPr>
          <w:sz w:val="20"/>
          <w:szCs w:val="18"/>
          <w:lang w:val="ru-RU"/>
        </w:rPr>
        <w:t xml:space="preserve"> </w:t>
      </w:r>
      <w:r>
        <w:rPr>
          <w:sz w:val="20"/>
          <w:szCs w:val="18"/>
          <w:lang w:val="ru-RU"/>
        </w:rPr>
        <w:t>данного</w:t>
      </w:r>
      <w:r w:rsidRPr="00C53860">
        <w:rPr>
          <w:sz w:val="20"/>
          <w:szCs w:val="18"/>
          <w:lang w:val="ru-RU"/>
        </w:rPr>
        <w:t xml:space="preserve"> </w:t>
      </w:r>
      <w:r>
        <w:rPr>
          <w:sz w:val="20"/>
          <w:szCs w:val="18"/>
          <w:lang w:val="ru-RU"/>
        </w:rPr>
        <w:t>перечня</w:t>
      </w:r>
      <w:r w:rsidRPr="00C53860">
        <w:rPr>
          <w:sz w:val="20"/>
          <w:szCs w:val="18"/>
          <w:lang w:val="ru-RU"/>
        </w:rPr>
        <w:t xml:space="preserve"> </w:t>
      </w:r>
      <w:r>
        <w:rPr>
          <w:sz w:val="20"/>
          <w:szCs w:val="18"/>
          <w:lang w:val="ru-RU"/>
        </w:rPr>
        <w:t>проверьте</w:t>
      </w:r>
      <w:r w:rsidRPr="00C53860">
        <w:rPr>
          <w:sz w:val="20"/>
          <w:szCs w:val="18"/>
          <w:lang w:val="ru-RU"/>
        </w:rPr>
        <w:t xml:space="preserve">, </w:t>
      </w:r>
      <w:r>
        <w:rPr>
          <w:sz w:val="20"/>
          <w:szCs w:val="18"/>
          <w:lang w:val="ru-RU"/>
        </w:rPr>
        <w:t>полностью</w:t>
      </w:r>
      <w:r w:rsidRPr="00C53860">
        <w:rPr>
          <w:sz w:val="20"/>
          <w:szCs w:val="18"/>
          <w:lang w:val="ru-RU"/>
        </w:rPr>
        <w:t xml:space="preserve"> </w:t>
      </w:r>
      <w:r>
        <w:rPr>
          <w:sz w:val="20"/>
          <w:szCs w:val="18"/>
          <w:lang w:val="ru-RU"/>
        </w:rPr>
        <w:t>ли</w:t>
      </w:r>
      <w:r w:rsidRPr="00C53860">
        <w:rPr>
          <w:sz w:val="20"/>
          <w:szCs w:val="18"/>
          <w:lang w:val="ru-RU"/>
        </w:rPr>
        <w:t xml:space="preserve"> </w:t>
      </w:r>
      <w:r>
        <w:rPr>
          <w:sz w:val="20"/>
          <w:szCs w:val="18"/>
          <w:lang w:val="ru-RU"/>
        </w:rPr>
        <w:t>вы</w:t>
      </w:r>
      <w:r w:rsidRPr="00C53860">
        <w:rPr>
          <w:sz w:val="20"/>
          <w:szCs w:val="18"/>
          <w:lang w:val="ru-RU"/>
        </w:rPr>
        <w:t xml:space="preserve"> </w:t>
      </w:r>
      <w:r>
        <w:rPr>
          <w:sz w:val="20"/>
          <w:szCs w:val="18"/>
          <w:lang w:val="ru-RU"/>
        </w:rPr>
        <w:t>сформировали</w:t>
      </w:r>
      <w:r w:rsidRPr="00C53860">
        <w:rPr>
          <w:sz w:val="20"/>
          <w:szCs w:val="18"/>
          <w:lang w:val="ru-RU"/>
        </w:rPr>
        <w:t xml:space="preserve"> </w:t>
      </w:r>
      <w:r>
        <w:rPr>
          <w:sz w:val="20"/>
          <w:szCs w:val="18"/>
          <w:lang w:val="ru-RU"/>
        </w:rPr>
        <w:t>свой</w:t>
      </w:r>
      <w:r w:rsidRPr="00C53860">
        <w:rPr>
          <w:sz w:val="20"/>
          <w:szCs w:val="18"/>
          <w:lang w:val="ru-RU"/>
        </w:rPr>
        <w:t xml:space="preserve"> </w:t>
      </w:r>
      <w:r>
        <w:rPr>
          <w:sz w:val="20"/>
          <w:szCs w:val="18"/>
          <w:lang w:val="ru-RU"/>
        </w:rPr>
        <w:t>заявочный</w:t>
      </w:r>
      <w:r w:rsidRPr="00C53860">
        <w:rPr>
          <w:sz w:val="20"/>
          <w:szCs w:val="18"/>
          <w:lang w:val="ru-RU"/>
        </w:rPr>
        <w:t xml:space="preserve"> </w:t>
      </w:r>
      <w:r>
        <w:rPr>
          <w:sz w:val="20"/>
          <w:szCs w:val="18"/>
          <w:lang w:val="ru-RU"/>
        </w:rPr>
        <w:t>пакет</w:t>
      </w:r>
      <w:r w:rsidR="000F1A74" w:rsidRPr="00C53860">
        <w:rPr>
          <w:sz w:val="20"/>
          <w:szCs w:val="18"/>
          <w:lang w:val="ru-RU"/>
        </w:rPr>
        <w:t>.</w:t>
      </w:r>
      <w:r w:rsidR="00C53860">
        <w:rPr>
          <w:sz w:val="20"/>
          <w:szCs w:val="18"/>
          <w:lang w:val="ru-RU"/>
        </w:rPr>
        <w:t xml:space="preserve"> </w:t>
      </w:r>
      <w:r w:rsidR="00BC30E3">
        <w:rPr>
          <w:sz w:val="20"/>
          <w:szCs w:val="18"/>
          <w:lang w:val="ru-RU"/>
        </w:rPr>
        <w:t>Перечень</w:t>
      </w:r>
      <w:r w:rsidR="00BC30E3" w:rsidRPr="00BC30E3">
        <w:rPr>
          <w:sz w:val="20"/>
          <w:szCs w:val="18"/>
          <w:lang w:val="ru-RU"/>
        </w:rPr>
        <w:t xml:space="preserve"> </w:t>
      </w:r>
      <w:r w:rsidR="00BC30E3">
        <w:rPr>
          <w:sz w:val="20"/>
          <w:szCs w:val="18"/>
          <w:lang w:val="ru-RU"/>
        </w:rPr>
        <w:t>актуален</w:t>
      </w:r>
      <w:r w:rsidR="00BC30E3" w:rsidRPr="00BC30E3">
        <w:rPr>
          <w:sz w:val="20"/>
          <w:szCs w:val="18"/>
          <w:lang w:val="ru-RU"/>
        </w:rPr>
        <w:t xml:space="preserve"> </w:t>
      </w:r>
      <w:r w:rsidR="00BC30E3">
        <w:rPr>
          <w:sz w:val="20"/>
          <w:szCs w:val="18"/>
          <w:lang w:val="ru-RU"/>
        </w:rPr>
        <w:t>только</w:t>
      </w:r>
      <w:r w:rsidR="00BC30E3" w:rsidRPr="00BC30E3">
        <w:rPr>
          <w:sz w:val="20"/>
          <w:szCs w:val="18"/>
          <w:lang w:val="ru-RU"/>
        </w:rPr>
        <w:t xml:space="preserve"> </w:t>
      </w:r>
      <w:r w:rsidR="00BC30E3">
        <w:rPr>
          <w:sz w:val="20"/>
          <w:szCs w:val="18"/>
          <w:lang w:val="ru-RU"/>
        </w:rPr>
        <w:t>для</w:t>
      </w:r>
      <w:r w:rsidR="00BC30E3" w:rsidRPr="00BC30E3">
        <w:rPr>
          <w:sz w:val="20"/>
          <w:szCs w:val="18"/>
          <w:lang w:val="ru-RU"/>
        </w:rPr>
        <w:t xml:space="preserve"> </w:t>
      </w:r>
      <w:r w:rsidR="00BC30E3">
        <w:rPr>
          <w:sz w:val="20"/>
          <w:szCs w:val="18"/>
          <w:lang w:val="ru-RU"/>
        </w:rPr>
        <w:t>тех</w:t>
      </w:r>
      <w:r w:rsidR="00BC30E3" w:rsidRPr="00BC30E3">
        <w:rPr>
          <w:sz w:val="20"/>
          <w:szCs w:val="18"/>
          <w:lang w:val="ru-RU"/>
        </w:rPr>
        <w:t xml:space="preserve"> </w:t>
      </w:r>
      <w:r w:rsidR="00BC30E3">
        <w:rPr>
          <w:sz w:val="20"/>
          <w:szCs w:val="18"/>
          <w:lang w:val="ru-RU"/>
        </w:rPr>
        <w:t>кандидатов</w:t>
      </w:r>
      <w:r w:rsidR="00BC30E3" w:rsidRPr="00BC30E3">
        <w:rPr>
          <w:sz w:val="20"/>
          <w:szCs w:val="18"/>
          <w:lang w:val="ru-RU"/>
        </w:rPr>
        <w:t xml:space="preserve">, </w:t>
      </w:r>
      <w:r w:rsidR="00BC30E3">
        <w:rPr>
          <w:sz w:val="20"/>
          <w:szCs w:val="18"/>
          <w:lang w:val="ru-RU"/>
        </w:rPr>
        <w:t>которые</w:t>
      </w:r>
      <w:r w:rsidR="00BC30E3" w:rsidRPr="00BC30E3">
        <w:rPr>
          <w:sz w:val="20"/>
          <w:szCs w:val="18"/>
          <w:lang w:val="ru-RU"/>
        </w:rPr>
        <w:t xml:space="preserve"> </w:t>
      </w:r>
      <w:r w:rsidR="00BC30E3">
        <w:rPr>
          <w:sz w:val="20"/>
          <w:szCs w:val="18"/>
          <w:lang w:val="ru-RU"/>
        </w:rPr>
        <w:t>подают</w:t>
      </w:r>
      <w:r w:rsidR="00BC30E3" w:rsidRPr="00BC30E3">
        <w:rPr>
          <w:sz w:val="20"/>
          <w:szCs w:val="18"/>
          <w:lang w:val="ru-RU"/>
        </w:rPr>
        <w:t xml:space="preserve"> </w:t>
      </w:r>
      <w:r w:rsidR="00BC30E3">
        <w:rPr>
          <w:sz w:val="20"/>
          <w:szCs w:val="18"/>
          <w:lang w:val="ru-RU"/>
        </w:rPr>
        <w:t>заявки</w:t>
      </w:r>
      <w:r w:rsidR="00BC30E3" w:rsidRPr="00BC30E3">
        <w:rPr>
          <w:sz w:val="20"/>
          <w:szCs w:val="18"/>
          <w:lang w:val="ru-RU"/>
        </w:rPr>
        <w:t xml:space="preserve"> </w:t>
      </w:r>
      <w:r w:rsidR="00BC30E3">
        <w:rPr>
          <w:sz w:val="20"/>
          <w:szCs w:val="18"/>
          <w:lang w:val="ru-RU"/>
        </w:rPr>
        <w:t>по</w:t>
      </w:r>
      <w:r w:rsidR="00BC30E3" w:rsidRPr="00BC30E3">
        <w:rPr>
          <w:sz w:val="20"/>
          <w:szCs w:val="18"/>
          <w:lang w:val="ru-RU"/>
        </w:rPr>
        <w:t xml:space="preserve"> </w:t>
      </w:r>
      <w:r w:rsidR="00BC30E3">
        <w:rPr>
          <w:sz w:val="20"/>
          <w:szCs w:val="18"/>
          <w:lang w:val="ru-RU"/>
        </w:rPr>
        <w:t>форме</w:t>
      </w:r>
      <w:r w:rsidR="00BC30E3" w:rsidRPr="00BC30E3">
        <w:rPr>
          <w:sz w:val="20"/>
          <w:szCs w:val="18"/>
          <w:lang w:val="ru-RU"/>
        </w:rPr>
        <w:t xml:space="preserve"> </w:t>
      </w:r>
      <w:r w:rsidR="00BC30E3">
        <w:rPr>
          <w:sz w:val="20"/>
          <w:szCs w:val="18"/>
          <w:lang w:val="ru-RU"/>
        </w:rPr>
        <w:t>для</w:t>
      </w:r>
      <w:r w:rsidR="00BC30E3" w:rsidRPr="00BC30E3">
        <w:rPr>
          <w:sz w:val="20"/>
          <w:szCs w:val="18"/>
          <w:lang w:val="ru-RU"/>
        </w:rPr>
        <w:t xml:space="preserve"> </w:t>
      </w:r>
      <w:r w:rsidR="00BC30E3">
        <w:rPr>
          <w:sz w:val="20"/>
          <w:szCs w:val="18"/>
          <w:lang w:val="ru-RU"/>
        </w:rPr>
        <w:t>целевых</w:t>
      </w:r>
      <w:r w:rsidR="00BC30E3" w:rsidRPr="00BC30E3">
        <w:rPr>
          <w:sz w:val="20"/>
          <w:szCs w:val="18"/>
          <w:lang w:val="ru-RU"/>
        </w:rPr>
        <w:t xml:space="preserve"> </w:t>
      </w:r>
      <w:r w:rsidR="00BC30E3">
        <w:rPr>
          <w:sz w:val="20"/>
          <w:szCs w:val="18"/>
          <w:lang w:val="ru-RU"/>
        </w:rPr>
        <w:t>портфелей</w:t>
      </w:r>
      <w:r w:rsidR="000F1A74" w:rsidRPr="00BC30E3">
        <w:rPr>
          <w:sz w:val="20"/>
          <w:szCs w:val="18"/>
          <w:lang w:val="ru-RU"/>
        </w:rPr>
        <w:t>.</w:t>
      </w:r>
      <w:r w:rsidR="00BC30E3">
        <w:rPr>
          <w:sz w:val="20"/>
          <w:szCs w:val="18"/>
          <w:lang w:val="ru-RU"/>
        </w:rPr>
        <w:t xml:space="preserve"> </w:t>
      </w:r>
      <w:r w:rsidR="00C96922">
        <w:rPr>
          <w:sz w:val="20"/>
          <w:szCs w:val="18"/>
          <w:lang w:val="ru-RU"/>
        </w:rPr>
        <w:t>Подробности</w:t>
      </w:r>
      <w:r w:rsidR="00C96922" w:rsidRPr="00A159B4">
        <w:rPr>
          <w:sz w:val="20"/>
          <w:szCs w:val="18"/>
          <w:lang w:val="ru-RU"/>
        </w:rPr>
        <w:t xml:space="preserve"> </w:t>
      </w:r>
      <w:r w:rsidR="00C96922">
        <w:rPr>
          <w:sz w:val="20"/>
          <w:szCs w:val="18"/>
          <w:lang w:val="ru-RU"/>
        </w:rPr>
        <w:t>и</w:t>
      </w:r>
      <w:r w:rsidR="00C96922" w:rsidRPr="00A159B4">
        <w:rPr>
          <w:sz w:val="20"/>
          <w:szCs w:val="18"/>
          <w:lang w:val="ru-RU"/>
        </w:rPr>
        <w:t xml:space="preserve"> </w:t>
      </w:r>
      <w:r w:rsidR="00C96922">
        <w:rPr>
          <w:sz w:val="20"/>
          <w:szCs w:val="18"/>
          <w:lang w:val="ru-RU"/>
        </w:rPr>
        <w:t>данные</w:t>
      </w:r>
      <w:r w:rsidR="00C96922" w:rsidRPr="00A159B4">
        <w:rPr>
          <w:sz w:val="20"/>
          <w:szCs w:val="18"/>
          <w:lang w:val="ru-RU"/>
        </w:rPr>
        <w:t xml:space="preserve"> </w:t>
      </w:r>
      <w:r w:rsidR="00C96922">
        <w:rPr>
          <w:sz w:val="20"/>
          <w:szCs w:val="18"/>
          <w:lang w:val="ru-RU"/>
        </w:rPr>
        <w:t>о</w:t>
      </w:r>
      <w:r w:rsidR="00C96922" w:rsidRPr="00A159B4">
        <w:rPr>
          <w:sz w:val="20"/>
          <w:szCs w:val="18"/>
          <w:lang w:val="ru-RU"/>
        </w:rPr>
        <w:t xml:space="preserve"> </w:t>
      </w:r>
      <w:r w:rsidR="00C96922">
        <w:rPr>
          <w:sz w:val="20"/>
          <w:szCs w:val="18"/>
          <w:lang w:val="ru-RU"/>
        </w:rPr>
        <w:t>применимости</w:t>
      </w:r>
      <w:r w:rsidR="00C96922" w:rsidRPr="00A159B4">
        <w:rPr>
          <w:sz w:val="20"/>
          <w:szCs w:val="18"/>
          <w:lang w:val="ru-RU"/>
        </w:rPr>
        <w:t xml:space="preserve"> </w:t>
      </w:r>
      <w:r w:rsidR="00C96922">
        <w:rPr>
          <w:sz w:val="20"/>
          <w:szCs w:val="18"/>
          <w:lang w:val="ru-RU"/>
        </w:rPr>
        <w:t>и</w:t>
      </w:r>
      <w:r w:rsidR="00C96922" w:rsidRPr="00A159B4">
        <w:rPr>
          <w:sz w:val="20"/>
          <w:szCs w:val="18"/>
          <w:lang w:val="ru-RU"/>
        </w:rPr>
        <w:t xml:space="preserve"> </w:t>
      </w:r>
      <w:r w:rsidR="00C96922">
        <w:rPr>
          <w:sz w:val="20"/>
          <w:szCs w:val="18"/>
          <w:lang w:val="ru-RU"/>
        </w:rPr>
        <w:t>ресурсах</w:t>
      </w:r>
      <w:r w:rsidR="00C96922" w:rsidRPr="00A159B4">
        <w:rPr>
          <w:sz w:val="20"/>
          <w:szCs w:val="18"/>
          <w:lang w:val="ru-RU"/>
        </w:rPr>
        <w:t xml:space="preserve"> </w:t>
      </w:r>
      <w:r w:rsidR="00C96922">
        <w:rPr>
          <w:sz w:val="20"/>
          <w:szCs w:val="18"/>
          <w:lang w:val="ru-RU"/>
        </w:rPr>
        <w:t>см</w:t>
      </w:r>
      <w:r w:rsidR="00C96922" w:rsidRPr="00A159B4">
        <w:rPr>
          <w:sz w:val="20"/>
          <w:szCs w:val="18"/>
          <w:lang w:val="ru-RU"/>
        </w:rPr>
        <w:t xml:space="preserve">. </w:t>
      </w:r>
      <w:r w:rsidR="00A159B4">
        <w:rPr>
          <w:sz w:val="20"/>
          <w:szCs w:val="18"/>
          <w:lang w:val="ru-RU"/>
        </w:rPr>
        <w:t>в</w:t>
      </w:r>
      <w:r w:rsidR="00A159B4" w:rsidRPr="00A159B4">
        <w:rPr>
          <w:sz w:val="20"/>
          <w:szCs w:val="18"/>
          <w:lang w:val="ru-RU"/>
        </w:rPr>
        <w:t xml:space="preserve"> </w:t>
      </w:r>
      <w:hyperlink r:id="rId41" w:history="1">
        <w:r w:rsidR="00A159B4" w:rsidRPr="00A159B4">
          <w:rPr>
            <w:rStyle w:val="afe"/>
            <w:sz w:val="20"/>
            <w:szCs w:val="18"/>
            <w:lang w:val="ru-RU"/>
          </w:rPr>
          <w:t>Инструкциях по заявкам для целевых портфелей</w:t>
        </w:r>
      </w:hyperlink>
      <w:r w:rsidR="00A159B4" w:rsidRPr="00A159B4">
        <w:rPr>
          <w:sz w:val="20"/>
          <w:szCs w:val="18"/>
          <w:lang w:val="ru-RU"/>
        </w:rPr>
        <w:t>.</w:t>
      </w:r>
      <w:r w:rsidR="002351C4" w:rsidRPr="002031F6">
        <w:rPr>
          <w:rStyle w:val="aff1"/>
          <w:sz w:val="20"/>
          <w:szCs w:val="18"/>
        </w:rPr>
        <w:footnoteReference w:id="56"/>
      </w:r>
      <w:r w:rsidR="000F1A74" w:rsidRPr="00A159B4">
        <w:rPr>
          <w:sz w:val="20"/>
          <w:szCs w:val="18"/>
          <w:lang w:val="ru-RU"/>
        </w:rPr>
        <w:t xml:space="preserve"> </w:t>
      </w:r>
    </w:p>
    <w:p w14:paraId="386F5B04" w14:textId="6B8989D0" w:rsidR="00EF304D" w:rsidRPr="008064BB" w:rsidRDefault="002F0ECC" w:rsidP="00E9254A">
      <w:pPr>
        <w:pStyle w:val="4"/>
        <w:spacing w:before="240"/>
        <w:rPr>
          <w:sz w:val="22"/>
        </w:rPr>
      </w:pPr>
      <w:r>
        <w:rPr>
          <w:sz w:val="22"/>
          <w:lang w:val="ru-RU"/>
        </w:rPr>
        <w:t>Документы</w:t>
      </w:r>
      <w:r w:rsidRPr="002F0ECC">
        <w:rPr>
          <w:sz w:val="22"/>
          <w:lang w:val="en-US"/>
        </w:rPr>
        <w:t xml:space="preserve">, </w:t>
      </w:r>
      <w:r>
        <w:rPr>
          <w:sz w:val="22"/>
          <w:lang w:val="ru-RU"/>
        </w:rPr>
        <w:t>проверяемые</w:t>
      </w:r>
      <w:r w:rsidR="00471C7E" w:rsidRPr="00471C7E">
        <w:rPr>
          <w:sz w:val="22"/>
          <w:lang w:val="en-US"/>
        </w:rPr>
        <w:t xml:space="preserve"> </w:t>
      </w:r>
      <w:r w:rsidR="00471C7E">
        <w:rPr>
          <w:sz w:val="22"/>
          <w:lang w:val="ru-RU"/>
        </w:rPr>
        <w:t>Группой</w:t>
      </w:r>
      <w:r w:rsidR="00471C7E" w:rsidRPr="00471C7E">
        <w:rPr>
          <w:sz w:val="22"/>
          <w:lang w:val="en-US"/>
        </w:rPr>
        <w:t xml:space="preserve"> </w:t>
      </w:r>
      <w:r w:rsidR="00471C7E">
        <w:rPr>
          <w:sz w:val="22"/>
          <w:lang w:val="ru-RU"/>
        </w:rPr>
        <w:t>технической</w:t>
      </w:r>
      <w:r w:rsidR="00471C7E" w:rsidRPr="00471C7E">
        <w:rPr>
          <w:sz w:val="22"/>
          <w:lang w:val="en-US"/>
        </w:rPr>
        <w:t xml:space="preserve"> </w:t>
      </w:r>
      <w:r w:rsidR="00471C7E">
        <w:rPr>
          <w:sz w:val="22"/>
          <w:lang w:val="ru-RU"/>
        </w:rPr>
        <w:t>оценки</w:t>
      </w:r>
    </w:p>
    <w:tbl>
      <w:tblPr>
        <w:tblStyle w:val="GlobalFundNoSpace"/>
        <w:tblW w:w="9209" w:type="dxa"/>
        <w:tblBorders>
          <w:insideH w:val="single" w:sz="2" w:space="0" w:color="BFBFBF" w:themeColor="background1" w:themeShade="BF"/>
          <w:insideV w:val="single" w:sz="2" w:space="0" w:color="BFBFBF" w:themeColor="background1" w:themeShade="BF"/>
        </w:tblBorders>
        <w:tblLook w:val="0600" w:firstRow="0" w:lastRow="0" w:firstColumn="0" w:lastColumn="0" w:noHBand="1" w:noVBand="1"/>
      </w:tblPr>
      <w:tblGrid>
        <w:gridCol w:w="567"/>
        <w:gridCol w:w="8642"/>
      </w:tblGrid>
      <w:tr w:rsidR="00EF304D" w:rsidRPr="00794147" w14:paraId="4D465269" w14:textId="77777777" w:rsidTr="00D92FA6">
        <w:trPr>
          <w:trHeight w:val="432"/>
        </w:trPr>
        <w:tc>
          <w:tcPr>
            <w:tcW w:w="567" w:type="dxa"/>
          </w:tcPr>
          <w:p w14:paraId="23037375" w14:textId="77777777" w:rsidR="00EF304D" w:rsidRPr="00794147" w:rsidRDefault="00A26916" w:rsidP="00EC781D">
            <w:pPr>
              <w:pStyle w:val="TableText"/>
              <w:rPr>
                <w:sz w:val="20"/>
                <w:szCs w:val="20"/>
              </w:rPr>
            </w:pPr>
            <w:sdt>
              <w:sdtPr>
                <w:rPr>
                  <w:sz w:val="20"/>
                  <w:szCs w:val="20"/>
                </w:rPr>
                <w:id w:val="2031300964"/>
                <w14:checkbox>
                  <w14:checked w14:val="0"/>
                  <w14:checkedState w14:val="2612" w14:font="MS Gothic"/>
                  <w14:uncheckedState w14:val="2610" w14:font="MS Gothic"/>
                </w14:checkbox>
              </w:sdtPr>
              <w:sdtContent>
                <w:r w:rsidR="00EF304D" w:rsidRPr="00794147">
                  <w:rPr>
                    <w:rFonts w:ascii="MS Gothic" w:eastAsia="MS Gothic" w:hAnsi="MS Gothic" w:hint="eastAsia"/>
                    <w:sz w:val="20"/>
                    <w:szCs w:val="20"/>
                  </w:rPr>
                  <w:t>☐</w:t>
                </w:r>
              </w:sdtContent>
            </w:sdt>
          </w:p>
        </w:tc>
        <w:tc>
          <w:tcPr>
            <w:tcW w:w="8642" w:type="dxa"/>
          </w:tcPr>
          <w:p w14:paraId="56712286" w14:textId="05A0A0DA" w:rsidR="00EF304D" w:rsidRPr="00794147" w:rsidRDefault="00F0681F" w:rsidP="00EC781D">
            <w:pPr>
              <w:pStyle w:val="TableText"/>
              <w:ind w:left="144"/>
              <w:rPr>
                <w:bCs/>
                <w:sz w:val="20"/>
                <w:szCs w:val="20"/>
              </w:rPr>
            </w:pPr>
            <w:r>
              <w:rPr>
                <w:bCs/>
                <w:sz w:val="20"/>
                <w:szCs w:val="20"/>
                <w:lang w:val="ru-RU"/>
              </w:rPr>
              <w:t>Форма заявки на финансирование</w:t>
            </w:r>
          </w:p>
        </w:tc>
      </w:tr>
      <w:tr w:rsidR="00EF304D" w:rsidRPr="00794147" w14:paraId="762CE8F6" w14:textId="77777777" w:rsidTr="00D92FA6">
        <w:trPr>
          <w:trHeight w:val="432"/>
        </w:trPr>
        <w:tc>
          <w:tcPr>
            <w:tcW w:w="567" w:type="dxa"/>
          </w:tcPr>
          <w:p w14:paraId="1DD456EB" w14:textId="77777777" w:rsidR="00EF304D" w:rsidRPr="00794147" w:rsidRDefault="00A26916" w:rsidP="00EC781D">
            <w:pPr>
              <w:pStyle w:val="TableText"/>
              <w:rPr>
                <w:sz w:val="20"/>
                <w:szCs w:val="20"/>
              </w:rPr>
            </w:pPr>
            <w:sdt>
              <w:sdtPr>
                <w:rPr>
                  <w:sz w:val="20"/>
                  <w:szCs w:val="20"/>
                </w:rPr>
                <w:id w:val="699827957"/>
                <w14:checkbox>
                  <w14:checked w14:val="0"/>
                  <w14:checkedState w14:val="2612" w14:font="MS Gothic"/>
                  <w14:uncheckedState w14:val="2610" w14:font="MS Gothic"/>
                </w14:checkbox>
              </w:sdtPr>
              <w:sdtContent>
                <w:r w:rsidR="00EF304D" w:rsidRPr="00794147">
                  <w:rPr>
                    <w:rFonts w:ascii="Segoe UI Symbol" w:eastAsia="MS Gothic" w:hAnsi="Segoe UI Symbol" w:cs="Segoe UI Symbol"/>
                    <w:sz w:val="20"/>
                    <w:szCs w:val="20"/>
                  </w:rPr>
                  <w:t>☐</w:t>
                </w:r>
              </w:sdtContent>
            </w:sdt>
          </w:p>
        </w:tc>
        <w:tc>
          <w:tcPr>
            <w:tcW w:w="8642" w:type="dxa"/>
          </w:tcPr>
          <w:p w14:paraId="761747DD" w14:textId="6F865E0B" w:rsidR="00EF304D" w:rsidRPr="00F0681F" w:rsidRDefault="00F0681F" w:rsidP="00EC781D">
            <w:pPr>
              <w:pStyle w:val="TableText"/>
              <w:ind w:left="144"/>
              <w:rPr>
                <w:bCs/>
                <w:sz w:val="20"/>
                <w:szCs w:val="20"/>
                <w:lang w:val="ru-RU"/>
              </w:rPr>
            </w:pPr>
            <w:r>
              <w:rPr>
                <w:bCs/>
                <w:sz w:val="20"/>
                <w:szCs w:val="20"/>
                <w:lang w:val="ru-RU"/>
              </w:rPr>
              <w:t>Структура показателей эффективности</w:t>
            </w:r>
          </w:p>
        </w:tc>
      </w:tr>
      <w:tr w:rsidR="00EF304D" w:rsidRPr="00794147" w14:paraId="726B217D" w14:textId="77777777" w:rsidTr="00D92FA6">
        <w:trPr>
          <w:trHeight w:val="432"/>
        </w:trPr>
        <w:tc>
          <w:tcPr>
            <w:tcW w:w="567" w:type="dxa"/>
          </w:tcPr>
          <w:p w14:paraId="33F212FD" w14:textId="77777777" w:rsidR="00EF304D" w:rsidRPr="00794147" w:rsidRDefault="00A26916" w:rsidP="00EC781D">
            <w:pPr>
              <w:pStyle w:val="TableText"/>
              <w:rPr>
                <w:sz w:val="20"/>
                <w:szCs w:val="20"/>
              </w:rPr>
            </w:pPr>
            <w:sdt>
              <w:sdtPr>
                <w:rPr>
                  <w:sz w:val="20"/>
                  <w:szCs w:val="20"/>
                </w:rPr>
                <w:id w:val="-1303691870"/>
                <w14:checkbox>
                  <w14:checked w14:val="0"/>
                  <w14:checkedState w14:val="2612" w14:font="MS Gothic"/>
                  <w14:uncheckedState w14:val="2610" w14:font="MS Gothic"/>
                </w14:checkbox>
              </w:sdtPr>
              <w:sdtContent>
                <w:r w:rsidR="00EF304D" w:rsidRPr="00794147">
                  <w:rPr>
                    <w:rFonts w:ascii="Segoe UI Symbol" w:eastAsia="MS Gothic" w:hAnsi="Segoe UI Symbol" w:cs="Segoe UI Symbol"/>
                    <w:sz w:val="20"/>
                    <w:szCs w:val="20"/>
                  </w:rPr>
                  <w:t>☐</w:t>
                </w:r>
              </w:sdtContent>
            </w:sdt>
          </w:p>
        </w:tc>
        <w:tc>
          <w:tcPr>
            <w:tcW w:w="8642" w:type="dxa"/>
          </w:tcPr>
          <w:p w14:paraId="68CF43DB" w14:textId="3D91AF6D" w:rsidR="00EF304D" w:rsidRPr="00794147" w:rsidRDefault="00F0681F" w:rsidP="00EC781D">
            <w:pPr>
              <w:pStyle w:val="TableText"/>
              <w:ind w:left="144"/>
              <w:rPr>
                <w:bCs/>
                <w:sz w:val="20"/>
                <w:szCs w:val="20"/>
              </w:rPr>
            </w:pPr>
            <w:r>
              <w:rPr>
                <w:bCs/>
                <w:sz w:val="20"/>
                <w:szCs w:val="20"/>
                <w:lang w:val="ru-RU"/>
              </w:rPr>
              <w:t>Подробный бюджет</w:t>
            </w:r>
          </w:p>
        </w:tc>
      </w:tr>
      <w:tr w:rsidR="00EF304D" w:rsidRPr="00794147" w14:paraId="46EEDB9C" w14:textId="77777777" w:rsidTr="00D92FA6">
        <w:trPr>
          <w:trHeight w:val="432"/>
        </w:trPr>
        <w:tc>
          <w:tcPr>
            <w:tcW w:w="567" w:type="dxa"/>
          </w:tcPr>
          <w:p w14:paraId="12F0BF0F" w14:textId="77777777" w:rsidR="00EF304D" w:rsidRPr="00794147" w:rsidRDefault="00A26916" w:rsidP="00EC781D">
            <w:pPr>
              <w:pStyle w:val="TableText"/>
              <w:rPr>
                <w:sz w:val="20"/>
                <w:szCs w:val="20"/>
              </w:rPr>
            </w:pPr>
            <w:sdt>
              <w:sdtPr>
                <w:rPr>
                  <w:sz w:val="20"/>
                  <w:szCs w:val="20"/>
                </w:rPr>
                <w:id w:val="-857580730"/>
                <w14:checkbox>
                  <w14:checked w14:val="0"/>
                  <w14:checkedState w14:val="2612" w14:font="MS Gothic"/>
                  <w14:uncheckedState w14:val="2610" w14:font="MS Gothic"/>
                </w14:checkbox>
              </w:sdtPr>
              <w:sdtContent>
                <w:r w:rsidR="00EF304D" w:rsidRPr="00794147">
                  <w:rPr>
                    <w:rFonts w:ascii="Segoe UI Symbol" w:eastAsia="MS Gothic" w:hAnsi="Segoe UI Symbol" w:cs="Segoe UI Symbol"/>
                    <w:sz w:val="20"/>
                    <w:szCs w:val="20"/>
                  </w:rPr>
                  <w:t>☐</w:t>
                </w:r>
              </w:sdtContent>
            </w:sdt>
          </w:p>
        </w:tc>
        <w:tc>
          <w:tcPr>
            <w:tcW w:w="8642" w:type="dxa"/>
          </w:tcPr>
          <w:p w14:paraId="38DE65A9" w14:textId="077DA436" w:rsidR="00EF304D" w:rsidRPr="00794147" w:rsidRDefault="00F0681F" w:rsidP="00EC781D">
            <w:pPr>
              <w:pStyle w:val="TableText"/>
              <w:ind w:left="144"/>
              <w:rPr>
                <w:rFonts w:eastAsia="SimSun"/>
                <w:bCs/>
                <w:sz w:val="20"/>
                <w:szCs w:val="20"/>
                <w:lang w:eastAsia="zh-CN"/>
              </w:rPr>
            </w:pPr>
            <w:r>
              <w:rPr>
                <w:bCs/>
                <w:sz w:val="20"/>
                <w:szCs w:val="20"/>
                <w:lang w:val="ru-RU"/>
              </w:rPr>
              <w:t>Таблицы программных пробелов</w:t>
            </w:r>
          </w:p>
        </w:tc>
      </w:tr>
      <w:tr w:rsidR="00EF304D" w:rsidRPr="00794147" w14:paraId="5E7B7BAC" w14:textId="77777777" w:rsidTr="00D92FA6">
        <w:trPr>
          <w:trHeight w:val="432"/>
        </w:trPr>
        <w:tc>
          <w:tcPr>
            <w:tcW w:w="567" w:type="dxa"/>
          </w:tcPr>
          <w:p w14:paraId="546BD9FF" w14:textId="77777777" w:rsidR="00EF304D" w:rsidRPr="00794147" w:rsidRDefault="00A26916" w:rsidP="00EC781D">
            <w:pPr>
              <w:pStyle w:val="TableText"/>
              <w:rPr>
                <w:sz w:val="20"/>
                <w:szCs w:val="20"/>
              </w:rPr>
            </w:pPr>
            <w:sdt>
              <w:sdtPr>
                <w:rPr>
                  <w:sz w:val="20"/>
                  <w:szCs w:val="20"/>
                </w:rPr>
                <w:id w:val="-214896585"/>
                <w14:checkbox>
                  <w14:checked w14:val="0"/>
                  <w14:checkedState w14:val="2612" w14:font="MS Gothic"/>
                  <w14:uncheckedState w14:val="2610" w14:font="MS Gothic"/>
                </w14:checkbox>
              </w:sdtPr>
              <w:sdtContent>
                <w:r w:rsidR="00EF304D" w:rsidRPr="00794147">
                  <w:rPr>
                    <w:rFonts w:ascii="Segoe UI Symbol" w:eastAsia="MS Gothic" w:hAnsi="Segoe UI Symbol" w:cs="Segoe UI Symbol"/>
                    <w:sz w:val="20"/>
                    <w:szCs w:val="20"/>
                  </w:rPr>
                  <w:t>☐</w:t>
                </w:r>
              </w:sdtContent>
            </w:sdt>
          </w:p>
        </w:tc>
        <w:tc>
          <w:tcPr>
            <w:tcW w:w="8642" w:type="dxa"/>
          </w:tcPr>
          <w:p w14:paraId="4896DBCF" w14:textId="49F42FA1" w:rsidR="00EF304D" w:rsidRPr="00794147" w:rsidRDefault="0059040D" w:rsidP="00EC781D">
            <w:pPr>
              <w:pStyle w:val="TableText"/>
              <w:ind w:left="144"/>
              <w:rPr>
                <w:bCs/>
                <w:sz w:val="20"/>
                <w:szCs w:val="20"/>
              </w:rPr>
            </w:pPr>
            <w:r>
              <w:rPr>
                <w:bCs/>
                <w:sz w:val="20"/>
                <w:szCs w:val="20"/>
                <w:lang w:val="ru-RU"/>
              </w:rPr>
              <w:t>Таблицы ландшафта финансирования</w:t>
            </w:r>
          </w:p>
        </w:tc>
      </w:tr>
      <w:tr w:rsidR="00EF304D" w:rsidRPr="00A26916" w14:paraId="1F0D36B4" w14:textId="77777777" w:rsidTr="00D92FA6">
        <w:trPr>
          <w:trHeight w:val="432"/>
        </w:trPr>
        <w:tc>
          <w:tcPr>
            <w:tcW w:w="567" w:type="dxa"/>
          </w:tcPr>
          <w:p w14:paraId="42446FC4" w14:textId="77777777" w:rsidR="00EF304D" w:rsidRPr="00794147" w:rsidRDefault="00A26916" w:rsidP="00EC781D">
            <w:pPr>
              <w:pStyle w:val="TableText"/>
              <w:rPr>
                <w:sz w:val="20"/>
                <w:szCs w:val="20"/>
              </w:rPr>
            </w:pPr>
            <w:sdt>
              <w:sdtPr>
                <w:rPr>
                  <w:sz w:val="20"/>
                  <w:szCs w:val="20"/>
                </w:rPr>
                <w:id w:val="-883638904"/>
                <w14:checkbox>
                  <w14:checked w14:val="0"/>
                  <w14:checkedState w14:val="2612" w14:font="MS Gothic"/>
                  <w14:uncheckedState w14:val="2610" w14:font="MS Gothic"/>
                </w14:checkbox>
              </w:sdtPr>
              <w:sdtContent>
                <w:r w:rsidR="00EF304D" w:rsidRPr="00794147">
                  <w:rPr>
                    <w:rFonts w:ascii="Segoe UI Symbol" w:hAnsi="Segoe UI Symbol" w:cs="Segoe UI Symbol"/>
                    <w:sz w:val="20"/>
                    <w:szCs w:val="20"/>
                  </w:rPr>
                  <w:t>☐</w:t>
                </w:r>
              </w:sdtContent>
            </w:sdt>
          </w:p>
        </w:tc>
        <w:tc>
          <w:tcPr>
            <w:tcW w:w="8642" w:type="dxa"/>
          </w:tcPr>
          <w:p w14:paraId="56809CD3" w14:textId="4E06DCA7" w:rsidR="00EF304D" w:rsidRPr="0059040D" w:rsidRDefault="0059040D" w:rsidP="00EC781D">
            <w:pPr>
              <w:pStyle w:val="TableText"/>
              <w:ind w:left="144"/>
              <w:rPr>
                <w:bCs/>
                <w:sz w:val="20"/>
                <w:szCs w:val="20"/>
                <w:lang w:val="ru-RU"/>
              </w:rPr>
            </w:pPr>
            <w:r w:rsidRPr="0059040D">
              <w:rPr>
                <w:bCs/>
                <w:sz w:val="20"/>
                <w:szCs w:val="20"/>
                <w:lang w:val="ru-RU"/>
              </w:rPr>
              <w:t>Приоритетн</w:t>
            </w:r>
            <w:r>
              <w:rPr>
                <w:bCs/>
                <w:sz w:val="20"/>
                <w:szCs w:val="20"/>
                <w:lang w:val="ru-RU"/>
              </w:rPr>
              <w:t>ая</w:t>
            </w:r>
            <w:r w:rsidRPr="0059040D">
              <w:rPr>
                <w:bCs/>
                <w:sz w:val="20"/>
                <w:szCs w:val="20"/>
                <w:lang w:val="ru-RU"/>
              </w:rPr>
              <w:t xml:space="preserve"> заявк</w:t>
            </w:r>
            <w:r>
              <w:rPr>
                <w:bCs/>
                <w:sz w:val="20"/>
                <w:szCs w:val="20"/>
                <w:lang w:val="ru-RU"/>
              </w:rPr>
              <w:t>а</w:t>
            </w:r>
            <w:r w:rsidRPr="0059040D">
              <w:rPr>
                <w:bCs/>
                <w:sz w:val="20"/>
                <w:szCs w:val="20"/>
                <w:lang w:val="ru-RU"/>
              </w:rPr>
              <w:t xml:space="preserve"> на средства сверх финансирования (ПЗССФ)</w:t>
            </w:r>
          </w:p>
        </w:tc>
      </w:tr>
      <w:tr w:rsidR="00EF304D" w:rsidRPr="00794147" w14:paraId="533B8355" w14:textId="77777777" w:rsidTr="00D92FA6">
        <w:trPr>
          <w:trHeight w:val="432"/>
        </w:trPr>
        <w:tc>
          <w:tcPr>
            <w:tcW w:w="567" w:type="dxa"/>
          </w:tcPr>
          <w:p w14:paraId="58F84805" w14:textId="77777777" w:rsidR="00EF304D" w:rsidRPr="00794147" w:rsidRDefault="00A26916" w:rsidP="00EC781D">
            <w:pPr>
              <w:pStyle w:val="TableText"/>
              <w:rPr>
                <w:sz w:val="20"/>
                <w:szCs w:val="20"/>
              </w:rPr>
            </w:pPr>
            <w:sdt>
              <w:sdtPr>
                <w:rPr>
                  <w:sz w:val="20"/>
                  <w:szCs w:val="20"/>
                </w:rPr>
                <w:id w:val="1665122381"/>
                <w14:checkbox>
                  <w14:checked w14:val="0"/>
                  <w14:checkedState w14:val="2612" w14:font="MS Gothic"/>
                  <w14:uncheckedState w14:val="2610" w14:font="MS Gothic"/>
                </w14:checkbox>
              </w:sdtPr>
              <w:sdtContent>
                <w:r w:rsidR="00EF304D" w:rsidRPr="00794147">
                  <w:rPr>
                    <w:rFonts w:ascii="Segoe UI Symbol" w:hAnsi="Segoe UI Symbol" w:cs="Segoe UI Symbol"/>
                    <w:sz w:val="20"/>
                    <w:szCs w:val="20"/>
                  </w:rPr>
                  <w:t>☐</w:t>
                </w:r>
              </w:sdtContent>
            </w:sdt>
          </w:p>
        </w:tc>
        <w:tc>
          <w:tcPr>
            <w:tcW w:w="8642" w:type="dxa"/>
          </w:tcPr>
          <w:p w14:paraId="47EFBD3C" w14:textId="0BD917D2" w:rsidR="00EF304D" w:rsidRPr="00794147" w:rsidRDefault="0059040D" w:rsidP="00EC781D">
            <w:pPr>
              <w:pStyle w:val="TableText"/>
              <w:ind w:left="144"/>
              <w:rPr>
                <w:bCs/>
                <w:sz w:val="20"/>
                <w:szCs w:val="20"/>
              </w:rPr>
            </w:pPr>
            <w:r>
              <w:rPr>
                <w:bCs/>
                <w:sz w:val="20"/>
                <w:szCs w:val="20"/>
                <w:lang w:val="ru-RU"/>
              </w:rPr>
              <w:t xml:space="preserve">Карты </w:t>
            </w:r>
            <w:r w:rsidR="00A21D3F">
              <w:rPr>
                <w:bCs/>
                <w:sz w:val="20"/>
                <w:szCs w:val="20"/>
                <w:lang w:val="ru-RU"/>
              </w:rPr>
              <w:t>организации исполнения</w:t>
            </w:r>
          </w:p>
        </w:tc>
      </w:tr>
      <w:tr w:rsidR="00EF304D" w:rsidRPr="00A26916" w14:paraId="13EA5E16" w14:textId="77777777" w:rsidTr="00D92FA6">
        <w:trPr>
          <w:trHeight w:val="432"/>
        </w:trPr>
        <w:tc>
          <w:tcPr>
            <w:tcW w:w="567" w:type="dxa"/>
          </w:tcPr>
          <w:p w14:paraId="2D2A3A3C" w14:textId="214CB5AB" w:rsidR="00EF304D" w:rsidRDefault="00761C9B" w:rsidP="00EC781D">
            <w:pPr>
              <w:pStyle w:val="TableText"/>
              <w:rPr>
                <w:sz w:val="20"/>
                <w:szCs w:val="20"/>
              </w:rPr>
            </w:pPr>
            <w:r w:rsidRPr="00794147">
              <w:rPr>
                <w:rFonts w:ascii="Segoe UI Symbol" w:hAnsi="Segoe UI Symbol" w:cs="Segoe UI Symbol"/>
                <w:sz w:val="20"/>
                <w:szCs w:val="20"/>
              </w:rPr>
              <w:t>☐</w:t>
            </w:r>
          </w:p>
        </w:tc>
        <w:tc>
          <w:tcPr>
            <w:tcW w:w="8642" w:type="dxa"/>
          </w:tcPr>
          <w:p w14:paraId="4808C7EB" w14:textId="7AF90DAD" w:rsidR="00EF304D" w:rsidRPr="00A21D3F" w:rsidRDefault="00A21D3F" w:rsidP="00EC781D">
            <w:pPr>
              <w:pStyle w:val="TableText"/>
              <w:ind w:left="144"/>
              <w:rPr>
                <w:bCs/>
                <w:sz w:val="20"/>
                <w:szCs w:val="20"/>
                <w:lang w:val="ru-RU"/>
              </w:rPr>
            </w:pPr>
            <w:r>
              <w:rPr>
                <w:bCs/>
                <w:sz w:val="20"/>
                <w:szCs w:val="20"/>
                <w:lang w:val="ru-RU"/>
              </w:rPr>
              <w:t>Оценка</w:t>
            </w:r>
            <w:r w:rsidRPr="00A21D3F">
              <w:rPr>
                <w:bCs/>
                <w:sz w:val="20"/>
                <w:szCs w:val="20"/>
                <w:lang w:val="ru-RU"/>
              </w:rPr>
              <w:t xml:space="preserve"> </w:t>
            </w:r>
            <w:r>
              <w:rPr>
                <w:bCs/>
                <w:sz w:val="20"/>
                <w:szCs w:val="20"/>
                <w:lang w:val="ru-RU"/>
              </w:rPr>
              <w:t>правовых</w:t>
            </w:r>
            <w:r w:rsidRPr="00A21D3F">
              <w:rPr>
                <w:bCs/>
                <w:sz w:val="20"/>
                <w:szCs w:val="20"/>
                <w:lang w:val="ru-RU"/>
              </w:rPr>
              <w:t xml:space="preserve"> </w:t>
            </w:r>
            <w:r>
              <w:rPr>
                <w:bCs/>
                <w:sz w:val="20"/>
                <w:szCs w:val="20"/>
                <w:lang w:val="ru-RU"/>
              </w:rPr>
              <w:t>барьеров</w:t>
            </w:r>
            <w:r w:rsidRPr="00A21D3F">
              <w:rPr>
                <w:bCs/>
                <w:sz w:val="20"/>
                <w:szCs w:val="20"/>
                <w:lang w:val="ru-RU"/>
              </w:rPr>
              <w:t xml:space="preserve"> </w:t>
            </w:r>
            <w:r>
              <w:rPr>
                <w:bCs/>
                <w:sz w:val="20"/>
                <w:szCs w:val="20"/>
                <w:lang w:val="ru-RU"/>
              </w:rPr>
              <w:t>в</w:t>
            </w:r>
            <w:r w:rsidRPr="00A21D3F">
              <w:rPr>
                <w:bCs/>
                <w:sz w:val="20"/>
                <w:szCs w:val="20"/>
                <w:lang w:val="ru-RU"/>
              </w:rPr>
              <w:t xml:space="preserve"> </w:t>
            </w:r>
            <w:r>
              <w:rPr>
                <w:bCs/>
                <w:sz w:val="20"/>
                <w:szCs w:val="20"/>
                <w:lang w:val="ru-RU"/>
              </w:rPr>
              <w:t>доступе</w:t>
            </w:r>
            <w:r w:rsidRPr="00A21D3F">
              <w:rPr>
                <w:bCs/>
                <w:sz w:val="20"/>
                <w:szCs w:val="20"/>
                <w:lang w:val="ru-RU"/>
              </w:rPr>
              <w:t xml:space="preserve"> </w:t>
            </w:r>
            <w:r>
              <w:rPr>
                <w:bCs/>
                <w:sz w:val="20"/>
                <w:szCs w:val="20"/>
                <w:lang w:val="ru-RU"/>
              </w:rPr>
              <w:t>к</w:t>
            </w:r>
            <w:r w:rsidRPr="00A21D3F">
              <w:rPr>
                <w:bCs/>
                <w:sz w:val="20"/>
                <w:szCs w:val="20"/>
                <w:lang w:val="ru-RU"/>
              </w:rPr>
              <w:t xml:space="preserve"> </w:t>
            </w:r>
            <w:r>
              <w:rPr>
                <w:bCs/>
                <w:sz w:val="20"/>
                <w:szCs w:val="20"/>
                <w:lang w:val="ru-RU"/>
              </w:rPr>
              <w:t>услугам</w:t>
            </w:r>
            <w:r w:rsidRPr="00A21D3F">
              <w:rPr>
                <w:bCs/>
                <w:sz w:val="20"/>
                <w:szCs w:val="20"/>
                <w:lang w:val="ru-RU"/>
              </w:rPr>
              <w:t xml:space="preserve"> (</w:t>
            </w:r>
            <w:r>
              <w:rPr>
                <w:bCs/>
                <w:sz w:val="20"/>
                <w:szCs w:val="20"/>
                <w:lang w:val="ru-RU"/>
              </w:rPr>
              <w:t>если</w:t>
            </w:r>
            <w:r w:rsidRPr="00A21D3F">
              <w:rPr>
                <w:bCs/>
                <w:sz w:val="20"/>
                <w:szCs w:val="20"/>
                <w:lang w:val="ru-RU"/>
              </w:rPr>
              <w:t xml:space="preserve"> </w:t>
            </w:r>
            <w:r>
              <w:rPr>
                <w:bCs/>
                <w:sz w:val="20"/>
                <w:szCs w:val="20"/>
                <w:lang w:val="ru-RU"/>
              </w:rPr>
              <w:t>имеется</w:t>
            </w:r>
            <w:r w:rsidR="005D565B" w:rsidRPr="00A21D3F">
              <w:rPr>
                <w:bCs/>
                <w:sz w:val="20"/>
                <w:szCs w:val="20"/>
                <w:lang w:val="ru-RU"/>
              </w:rPr>
              <w:t>)</w:t>
            </w:r>
            <w:r w:rsidR="00EF304D" w:rsidRPr="00A21D3F">
              <w:rPr>
                <w:bCs/>
                <w:sz w:val="20"/>
                <w:szCs w:val="20"/>
                <w:lang w:val="ru-RU"/>
              </w:rPr>
              <w:t xml:space="preserve"> </w:t>
            </w:r>
          </w:p>
        </w:tc>
      </w:tr>
      <w:tr w:rsidR="00EF304D" w:rsidRPr="00A21D3F" w14:paraId="2CC10DBA" w14:textId="77777777" w:rsidTr="00D92FA6">
        <w:trPr>
          <w:trHeight w:val="432"/>
        </w:trPr>
        <w:tc>
          <w:tcPr>
            <w:tcW w:w="567" w:type="dxa"/>
          </w:tcPr>
          <w:p w14:paraId="2128320F" w14:textId="77777777" w:rsidR="00EF304D" w:rsidRPr="00794147" w:rsidRDefault="00A26916" w:rsidP="00EC781D">
            <w:pPr>
              <w:pStyle w:val="TableText"/>
              <w:rPr>
                <w:sz w:val="20"/>
                <w:szCs w:val="20"/>
              </w:rPr>
            </w:pPr>
            <w:sdt>
              <w:sdtPr>
                <w:rPr>
                  <w:sz w:val="20"/>
                  <w:szCs w:val="20"/>
                </w:rPr>
                <w:id w:val="-1080827212"/>
                <w14:checkbox>
                  <w14:checked w14:val="0"/>
                  <w14:checkedState w14:val="2612" w14:font="MS Gothic"/>
                  <w14:uncheckedState w14:val="2610" w14:font="MS Gothic"/>
                </w14:checkbox>
              </w:sdtPr>
              <w:sdtEndPr>
                <w:rPr>
                  <w:rFonts w:ascii="Segoe UI Symbol" w:hAnsi="Segoe UI Symbol" w:cs="Segoe UI Symbol"/>
                </w:rPr>
              </w:sdtEndPr>
              <w:sdtContent/>
            </w:sdt>
            <w:r w:rsidR="00EF304D" w:rsidRPr="00794147">
              <w:rPr>
                <w:rFonts w:ascii="Segoe UI Symbol" w:hAnsi="Segoe UI Symbol" w:cs="Segoe UI Symbol"/>
                <w:sz w:val="20"/>
                <w:szCs w:val="20"/>
              </w:rPr>
              <w:t>☐</w:t>
            </w:r>
          </w:p>
        </w:tc>
        <w:tc>
          <w:tcPr>
            <w:tcW w:w="8642" w:type="dxa"/>
          </w:tcPr>
          <w:p w14:paraId="1E15288B" w14:textId="12F5B47B" w:rsidR="00EF304D" w:rsidRPr="00A21D3F" w:rsidRDefault="00A21D3F" w:rsidP="00EC781D">
            <w:pPr>
              <w:pStyle w:val="TableText"/>
              <w:ind w:left="144"/>
              <w:rPr>
                <w:sz w:val="20"/>
                <w:szCs w:val="20"/>
                <w:lang w:val="ru-RU"/>
              </w:rPr>
            </w:pPr>
            <w:r>
              <w:rPr>
                <w:sz w:val="20"/>
                <w:szCs w:val="20"/>
                <w:lang w:val="ru-RU"/>
              </w:rPr>
              <w:t>Гендерная оценка (если имеется)</w:t>
            </w:r>
          </w:p>
        </w:tc>
      </w:tr>
      <w:tr w:rsidR="00EF304D" w:rsidRPr="00794147" w14:paraId="7DB6AD61" w14:textId="77777777" w:rsidTr="00D92FA6">
        <w:trPr>
          <w:trHeight w:val="432"/>
        </w:trPr>
        <w:tc>
          <w:tcPr>
            <w:tcW w:w="567" w:type="dxa"/>
          </w:tcPr>
          <w:p w14:paraId="05385903" w14:textId="77777777" w:rsidR="00EF304D" w:rsidRPr="00794147" w:rsidRDefault="00A26916" w:rsidP="00EC781D">
            <w:pPr>
              <w:pStyle w:val="TableText"/>
              <w:rPr>
                <w:sz w:val="20"/>
                <w:szCs w:val="20"/>
              </w:rPr>
            </w:pPr>
            <w:sdt>
              <w:sdtPr>
                <w:rPr>
                  <w:sz w:val="20"/>
                  <w:szCs w:val="20"/>
                </w:rPr>
                <w:id w:val="2016493584"/>
                <w14:checkbox>
                  <w14:checked w14:val="0"/>
                  <w14:checkedState w14:val="2612" w14:font="MS Gothic"/>
                  <w14:uncheckedState w14:val="2610" w14:font="MS Gothic"/>
                </w14:checkbox>
              </w:sdtPr>
              <w:sdtContent>
                <w:r w:rsidR="00EF304D" w:rsidRPr="00794147">
                  <w:rPr>
                    <w:rFonts w:ascii="Segoe UI Symbol" w:hAnsi="Segoe UI Symbol" w:cs="Segoe UI Symbol"/>
                    <w:sz w:val="20"/>
                    <w:szCs w:val="20"/>
                  </w:rPr>
                  <w:t>☐</w:t>
                </w:r>
              </w:sdtContent>
            </w:sdt>
          </w:p>
        </w:tc>
        <w:tc>
          <w:tcPr>
            <w:tcW w:w="8642" w:type="dxa"/>
          </w:tcPr>
          <w:p w14:paraId="5DBB83A8" w14:textId="29E72A40" w:rsidR="00EF304D" w:rsidRPr="00794147" w:rsidRDefault="00A21D3F" w:rsidP="00EC781D">
            <w:pPr>
              <w:pStyle w:val="TableText"/>
              <w:ind w:left="144"/>
              <w:rPr>
                <w:bCs/>
                <w:sz w:val="20"/>
                <w:szCs w:val="20"/>
              </w:rPr>
            </w:pPr>
            <w:r>
              <w:rPr>
                <w:sz w:val="20"/>
                <w:szCs w:val="20"/>
                <w:lang w:val="ru-RU"/>
              </w:rPr>
              <w:t>Таблицы основных данных</w:t>
            </w:r>
          </w:p>
        </w:tc>
      </w:tr>
      <w:tr w:rsidR="00EF304D" w:rsidRPr="00794147" w14:paraId="339942CD" w14:textId="77777777" w:rsidTr="00D92FA6">
        <w:trPr>
          <w:trHeight w:val="432"/>
        </w:trPr>
        <w:tc>
          <w:tcPr>
            <w:tcW w:w="567" w:type="dxa"/>
          </w:tcPr>
          <w:p w14:paraId="64264AE9" w14:textId="77777777" w:rsidR="00EF304D" w:rsidRPr="00794147" w:rsidRDefault="00A26916" w:rsidP="00EC781D">
            <w:pPr>
              <w:pStyle w:val="TableText"/>
              <w:rPr>
                <w:sz w:val="20"/>
                <w:szCs w:val="20"/>
              </w:rPr>
            </w:pPr>
            <w:sdt>
              <w:sdtPr>
                <w:rPr>
                  <w:sz w:val="20"/>
                  <w:szCs w:val="20"/>
                </w:rPr>
                <w:id w:val="54824864"/>
                <w14:checkbox>
                  <w14:checked w14:val="0"/>
                  <w14:checkedState w14:val="2612" w14:font="MS Gothic"/>
                  <w14:uncheckedState w14:val="2610" w14:font="MS Gothic"/>
                </w14:checkbox>
              </w:sdtPr>
              <w:sdtContent>
                <w:r w:rsidR="00EF304D" w:rsidRPr="00794147">
                  <w:rPr>
                    <w:rFonts w:ascii="Segoe UI Symbol" w:hAnsi="Segoe UI Symbol" w:cs="Segoe UI Symbol"/>
                    <w:sz w:val="20"/>
                    <w:szCs w:val="20"/>
                  </w:rPr>
                  <w:t>☐</w:t>
                </w:r>
              </w:sdtContent>
            </w:sdt>
          </w:p>
        </w:tc>
        <w:tc>
          <w:tcPr>
            <w:tcW w:w="8642" w:type="dxa"/>
          </w:tcPr>
          <w:p w14:paraId="2C14C368" w14:textId="01C7F3F7" w:rsidR="00EF304D" w:rsidRPr="00794147" w:rsidRDefault="00A21D3F" w:rsidP="00EC781D">
            <w:pPr>
              <w:pStyle w:val="TableText"/>
              <w:ind w:left="144"/>
              <w:rPr>
                <w:sz w:val="20"/>
                <w:szCs w:val="20"/>
              </w:rPr>
            </w:pPr>
            <w:r>
              <w:rPr>
                <w:bCs/>
                <w:sz w:val="20"/>
                <w:szCs w:val="20"/>
                <w:lang w:val="ru-RU"/>
              </w:rPr>
              <w:t>Национальный стратегический план</w:t>
            </w:r>
          </w:p>
        </w:tc>
      </w:tr>
      <w:tr w:rsidR="00EF304D" w:rsidRPr="00A26916" w14:paraId="1830DA5E" w14:textId="77777777" w:rsidTr="00D92FA6">
        <w:trPr>
          <w:trHeight w:val="432"/>
        </w:trPr>
        <w:tc>
          <w:tcPr>
            <w:tcW w:w="567" w:type="dxa"/>
          </w:tcPr>
          <w:p w14:paraId="19A47A08" w14:textId="77777777" w:rsidR="00EF304D" w:rsidRPr="00794147" w:rsidRDefault="00A26916" w:rsidP="00EC781D">
            <w:pPr>
              <w:pStyle w:val="TableText"/>
              <w:rPr>
                <w:sz w:val="20"/>
                <w:szCs w:val="20"/>
              </w:rPr>
            </w:pPr>
            <w:sdt>
              <w:sdtPr>
                <w:rPr>
                  <w:sz w:val="20"/>
                  <w:szCs w:val="20"/>
                </w:rPr>
                <w:id w:val="1232667640"/>
                <w14:checkbox>
                  <w14:checked w14:val="0"/>
                  <w14:checkedState w14:val="2612" w14:font="MS Gothic"/>
                  <w14:uncheckedState w14:val="2610" w14:font="MS Gothic"/>
                </w14:checkbox>
              </w:sdtPr>
              <w:sdtContent>
                <w:r w:rsidR="00EF304D" w:rsidRPr="00794147">
                  <w:rPr>
                    <w:rFonts w:ascii="Segoe UI Symbol" w:hAnsi="Segoe UI Symbol" w:cs="Segoe UI Symbol"/>
                    <w:sz w:val="20"/>
                    <w:szCs w:val="20"/>
                  </w:rPr>
                  <w:t>☐</w:t>
                </w:r>
              </w:sdtContent>
            </w:sdt>
          </w:p>
        </w:tc>
        <w:tc>
          <w:tcPr>
            <w:tcW w:w="8642" w:type="dxa"/>
          </w:tcPr>
          <w:p w14:paraId="55EA4A4A" w14:textId="1BCCE726" w:rsidR="00EF304D" w:rsidRPr="00AB07AD" w:rsidRDefault="00AB07AD" w:rsidP="00EC781D">
            <w:pPr>
              <w:pStyle w:val="TableText"/>
              <w:ind w:left="144"/>
              <w:rPr>
                <w:bCs/>
                <w:sz w:val="20"/>
                <w:szCs w:val="20"/>
                <w:lang w:val="ru-RU"/>
              </w:rPr>
            </w:pPr>
            <w:r>
              <w:rPr>
                <w:sz w:val="20"/>
                <w:szCs w:val="20"/>
                <w:lang w:val="ru-RU"/>
              </w:rPr>
              <w:t>Документация</w:t>
            </w:r>
            <w:r w:rsidRPr="00AB07AD">
              <w:rPr>
                <w:sz w:val="20"/>
                <w:szCs w:val="20"/>
                <w:lang w:val="ru-RU"/>
              </w:rPr>
              <w:t xml:space="preserve"> </w:t>
            </w:r>
            <w:r>
              <w:rPr>
                <w:sz w:val="20"/>
                <w:szCs w:val="20"/>
                <w:lang w:val="ru-RU"/>
              </w:rPr>
              <w:t>по</w:t>
            </w:r>
            <w:r w:rsidRPr="00AB07AD">
              <w:rPr>
                <w:sz w:val="20"/>
                <w:szCs w:val="20"/>
                <w:lang w:val="ru-RU"/>
              </w:rPr>
              <w:t xml:space="preserve"> </w:t>
            </w:r>
            <w:r>
              <w:rPr>
                <w:sz w:val="20"/>
                <w:szCs w:val="20"/>
                <w:lang w:val="ru-RU"/>
              </w:rPr>
              <w:t>инновационному</w:t>
            </w:r>
            <w:r w:rsidRPr="00AB07AD">
              <w:rPr>
                <w:sz w:val="20"/>
                <w:szCs w:val="20"/>
                <w:lang w:val="ru-RU"/>
              </w:rPr>
              <w:t xml:space="preserve"> </w:t>
            </w:r>
            <w:r>
              <w:rPr>
                <w:sz w:val="20"/>
                <w:szCs w:val="20"/>
                <w:lang w:val="ru-RU"/>
              </w:rPr>
              <w:t>финансированию</w:t>
            </w:r>
            <w:r w:rsidRPr="00AB07AD">
              <w:rPr>
                <w:sz w:val="20"/>
                <w:szCs w:val="20"/>
                <w:lang w:val="ru-RU"/>
              </w:rPr>
              <w:t xml:space="preserve"> </w:t>
            </w:r>
            <w:r w:rsidR="00EF304D" w:rsidRPr="00AB07AD">
              <w:rPr>
                <w:sz w:val="20"/>
                <w:szCs w:val="20"/>
                <w:lang w:val="ru-RU"/>
              </w:rPr>
              <w:t>(</w:t>
            </w:r>
            <w:r>
              <w:rPr>
                <w:sz w:val="20"/>
                <w:szCs w:val="20"/>
                <w:lang w:val="ru-RU"/>
              </w:rPr>
              <w:t>если применимо</w:t>
            </w:r>
            <w:r w:rsidR="00EF304D" w:rsidRPr="00AB07AD">
              <w:rPr>
                <w:sz w:val="20"/>
                <w:szCs w:val="20"/>
                <w:lang w:val="ru-RU"/>
              </w:rPr>
              <w:t>)</w:t>
            </w:r>
          </w:p>
        </w:tc>
      </w:tr>
      <w:tr w:rsidR="00EF304D" w:rsidRPr="00A26916" w14:paraId="1EA4D5E6" w14:textId="77777777" w:rsidTr="00EC781D">
        <w:trPr>
          <w:trHeight w:val="567"/>
        </w:trPr>
        <w:tc>
          <w:tcPr>
            <w:tcW w:w="567" w:type="dxa"/>
          </w:tcPr>
          <w:p w14:paraId="253607B1" w14:textId="77777777" w:rsidR="00EF304D" w:rsidRPr="00794147" w:rsidRDefault="00A26916" w:rsidP="00EC781D">
            <w:pPr>
              <w:pStyle w:val="TableText"/>
              <w:rPr>
                <w:sz w:val="20"/>
                <w:szCs w:val="20"/>
              </w:rPr>
            </w:pPr>
            <w:sdt>
              <w:sdtPr>
                <w:rPr>
                  <w:sz w:val="20"/>
                  <w:szCs w:val="20"/>
                </w:rPr>
                <w:id w:val="2060594533"/>
                <w14:checkbox>
                  <w14:checked w14:val="0"/>
                  <w14:checkedState w14:val="2612" w14:font="MS Gothic"/>
                  <w14:uncheckedState w14:val="2610" w14:font="MS Gothic"/>
                </w14:checkbox>
              </w:sdtPr>
              <w:sdtContent>
                <w:r w:rsidR="00EF304D" w:rsidRPr="00794147">
                  <w:rPr>
                    <w:rFonts w:ascii="Segoe UI Symbol" w:hAnsi="Segoe UI Symbol" w:cs="Segoe UI Symbol"/>
                    <w:sz w:val="20"/>
                    <w:szCs w:val="20"/>
                  </w:rPr>
                  <w:t>☐</w:t>
                </w:r>
              </w:sdtContent>
            </w:sdt>
          </w:p>
        </w:tc>
        <w:tc>
          <w:tcPr>
            <w:tcW w:w="8642" w:type="dxa"/>
          </w:tcPr>
          <w:p w14:paraId="24D1C5FA" w14:textId="724EBDE7" w:rsidR="00EF304D" w:rsidRPr="00F0446A" w:rsidRDefault="00AE58CD" w:rsidP="00EC781D">
            <w:pPr>
              <w:pStyle w:val="TableText"/>
              <w:ind w:left="144"/>
              <w:rPr>
                <w:sz w:val="20"/>
                <w:szCs w:val="20"/>
                <w:lang w:val="ru-RU"/>
              </w:rPr>
            </w:pPr>
            <w:r>
              <w:rPr>
                <w:bCs/>
                <w:sz w:val="20"/>
                <w:szCs w:val="20"/>
                <w:lang w:val="ru-RU"/>
              </w:rPr>
              <w:t>Подтверждающая</w:t>
            </w:r>
            <w:r w:rsidRPr="00F0446A">
              <w:rPr>
                <w:bCs/>
                <w:sz w:val="20"/>
                <w:szCs w:val="20"/>
                <w:lang w:val="ru-RU"/>
              </w:rPr>
              <w:t xml:space="preserve"> </w:t>
            </w:r>
            <w:r>
              <w:rPr>
                <w:bCs/>
                <w:sz w:val="20"/>
                <w:szCs w:val="20"/>
                <w:lang w:val="ru-RU"/>
              </w:rPr>
              <w:t>документация</w:t>
            </w:r>
            <w:r w:rsidR="002C3D65" w:rsidRPr="00F0446A">
              <w:rPr>
                <w:bCs/>
                <w:sz w:val="20"/>
                <w:szCs w:val="20"/>
                <w:lang w:val="ru-RU"/>
              </w:rPr>
              <w:t xml:space="preserve">, </w:t>
            </w:r>
            <w:r w:rsidR="002C3D65">
              <w:rPr>
                <w:bCs/>
                <w:sz w:val="20"/>
                <w:szCs w:val="20"/>
                <w:lang w:val="ru-RU"/>
              </w:rPr>
              <w:t>касающаяся</w:t>
            </w:r>
            <w:r w:rsidR="002C3D65" w:rsidRPr="00F0446A">
              <w:rPr>
                <w:bCs/>
                <w:sz w:val="20"/>
                <w:szCs w:val="20"/>
                <w:lang w:val="ru-RU"/>
              </w:rPr>
              <w:t xml:space="preserve"> </w:t>
            </w:r>
            <w:r w:rsidR="002C3D65">
              <w:rPr>
                <w:bCs/>
                <w:sz w:val="20"/>
                <w:szCs w:val="20"/>
                <w:lang w:val="ru-RU"/>
              </w:rPr>
              <w:t>устойчивости</w:t>
            </w:r>
            <w:r w:rsidR="002C3D65" w:rsidRPr="00F0446A">
              <w:rPr>
                <w:bCs/>
                <w:sz w:val="20"/>
                <w:szCs w:val="20"/>
                <w:lang w:val="ru-RU"/>
              </w:rPr>
              <w:t xml:space="preserve"> </w:t>
            </w:r>
            <w:r w:rsidR="002C3D65">
              <w:rPr>
                <w:bCs/>
                <w:sz w:val="20"/>
                <w:szCs w:val="20"/>
                <w:lang w:val="ru-RU"/>
              </w:rPr>
              <w:t>и</w:t>
            </w:r>
            <w:r w:rsidR="002C3D65" w:rsidRPr="00F0446A">
              <w:rPr>
                <w:bCs/>
                <w:sz w:val="20"/>
                <w:szCs w:val="20"/>
                <w:lang w:val="ru-RU"/>
              </w:rPr>
              <w:t xml:space="preserve"> </w:t>
            </w:r>
            <w:r w:rsidR="002C3D65">
              <w:rPr>
                <w:bCs/>
                <w:sz w:val="20"/>
                <w:szCs w:val="20"/>
                <w:lang w:val="ru-RU"/>
              </w:rPr>
              <w:t>перехода</w:t>
            </w:r>
            <w:r w:rsidR="0025469D" w:rsidRPr="00F0446A">
              <w:rPr>
                <w:bCs/>
                <w:sz w:val="20"/>
                <w:szCs w:val="20"/>
                <w:lang w:val="ru-RU"/>
              </w:rPr>
              <w:t xml:space="preserve"> </w:t>
            </w:r>
            <w:r w:rsidR="00AE428C" w:rsidRPr="00F0446A">
              <w:rPr>
                <w:bCs/>
                <w:sz w:val="20"/>
                <w:szCs w:val="20"/>
                <w:lang w:val="ru-RU"/>
              </w:rPr>
              <w:t>(</w:t>
            </w:r>
            <w:r w:rsidR="002C3D65">
              <w:rPr>
                <w:bCs/>
                <w:sz w:val="20"/>
                <w:szCs w:val="20"/>
                <w:lang w:val="ru-RU"/>
              </w:rPr>
              <w:t>для</w:t>
            </w:r>
            <w:r w:rsidR="002C3D65" w:rsidRPr="00F0446A">
              <w:rPr>
                <w:bCs/>
                <w:sz w:val="20"/>
                <w:szCs w:val="20"/>
                <w:lang w:val="ru-RU"/>
              </w:rPr>
              <w:t xml:space="preserve"> </w:t>
            </w:r>
            <w:r w:rsidR="002C3D65">
              <w:rPr>
                <w:bCs/>
                <w:sz w:val="20"/>
                <w:szCs w:val="20"/>
                <w:lang w:val="ru-RU"/>
              </w:rPr>
              <w:t>формы</w:t>
            </w:r>
            <w:r w:rsidR="002C3D65" w:rsidRPr="00F0446A">
              <w:rPr>
                <w:bCs/>
                <w:sz w:val="20"/>
                <w:szCs w:val="20"/>
                <w:lang w:val="ru-RU"/>
              </w:rPr>
              <w:t xml:space="preserve"> </w:t>
            </w:r>
            <w:r w:rsidR="002C3D65">
              <w:rPr>
                <w:bCs/>
                <w:sz w:val="20"/>
                <w:szCs w:val="20"/>
                <w:lang w:val="ru-RU"/>
              </w:rPr>
              <w:t>заявки</w:t>
            </w:r>
            <w:r w:rsidR="002C3D65" w:rsidRPr="00F0446A">
              <w:rPr>
                <w:bCs/>
                <w:sz w:val="20"/>
                <w:szCs w:val="20"/>
                <w:lang w:val="ru-RU"/>
              </w:rPr>
              <w:t xml:space="preserve"> </w:t>
            </w:r>
            <w:r w:rsidR="002C3D65">
              <w:rPr>
                <w:bCs/>
                <w:sz w:val="20"/>
                <w:szCs w:val="20"/>
                <w:lang w:val="ru-RU"/>
              </w:rPr>
              <w:t>для</w:t>
            </w:r>
            <w:r w:rsidR="002C3D65" w:rsidRPr="00F0446A">
              <w:rPr>
                <w:bCs/>
                <w:sz w:val="20"/>
                <w:szCs w:val="20"/>
                <w:lang w:val="ru-RU"/>
              </w:rPr>
              <w:t xml:space="preserve"> </w:t>
            </w:r>
            <w:r w:rsidR="002C3D65">
              <w:rPr>
                <w:bCs/>
                <w:sz w:val="20"/>
                <w:szCs w:val="20"/>
                <w:lang w:val="ru-RU"/>
              </w:rPr>
              <w:t>целевых</w:t>
            </w:r>
            <w:r w:rsidR="002C3D65" w:rsidRPr="00F0446A">
              <w:rPr>
                <w:bCs/>
                <w:sz w:val="20"/>
                <w:szCs w:val="20"/>
                <w:lang w:val="ru-RU"/>
              </w:rPr>
              <w:t xml:space="preserve"> </w:t>
            </w:r>
            <w:r w:rsidR="002C3D65">
              <w:rPr>
                <w:bCs/>
                <w:sz w:val="20"/>
                <w:szCs w:val="20"/>
                <w:lang w:val="ru-RU"/>
              </w:rPr>
              <w:t>портфелей</w:t>
            </w:r>
            <w:r w:rsidR="0027664B" w:rsidRPr="00F0446A">
              <w:rPr>
                <w:bCs/>
                <w:sz w:val="20"/>
                <w:szCs w:val="20"/>
                <w:lang w:val="ru-RU"/>
              </w:rPr>
              <w:t xml:space="preserve"> – </w:t>
            </w:r>
            <w:r w:rsidR="0027664B">
              <w:rPr>
                <w:b/>
                <w:i/>
                <w:iCs/>
                <w:sz w:val="20"/>
                <w:szCs w:val="20"/>
                <w:lang w:val="ru-RU"/>
              </w:rPr>
              <w:t>если</w:t>
            </w:r>
            <w:r w:rsidR="0027664B" w:rsidRPr="00F0446A">
              <w:rPr>
                <w:b/>
                <w:i/>
                <w:iCs/>
                <w:sz w:val="20"/>
                <w:szCs w:val="20"/>
                <w:lang w:val="ru-RU"/>
              </w:rPr>
              <w:t xml:space="preserve"> </w:t>
            </w:r>
            <w:r w:rsidR="0027664B">
              <w:rPr>
                <w:b/>
                <w:i/>
                <w:iCs/>
                <w:sz w:val="20"/>
                <w:szCs w:val="20"/>
                <w:lang w:val="ru-RU"/>
              </w:rPr>
              <w:t>имеется</w:t>
            </w:r>
            <w:r w:rsidR="0027664B" w:rsidRPr="00F0446A">
              <w:rPr>
                <w:b/>
                <w:i/>
                <w:iCs/>
                <w:sz w:val="20"/>
                <w:szCs w:val="20"/>
                <w:lang w:val="ru-RU"/>
              </w:rPr>
              <w:t>;</w:t>
            </w:r>
            <w:r w:rsidR="002C3D65" w:rsidRPr="00F0446A">
              <w:rPr>
                <w:bCs/>
                <w:sz w:val="20"/>
                <w:szCs w:val="20"/>
                <w:lang w:val="ru-RU"/>
              </w:rPr>
              <w:t xml:space="preserve"> </w:t>
            </w:r>
            <w:r w:rsidR="0027664B">
              <w:rPr>
                <w:bCs/>
                <w:sz w:val="20"/>
                <w:szCs w:val="20"/>
                <w:lang w:val="ru-RU"/>
              </w:rPr>
              <w:t>для</w:t>
            </w:r>
            <w:r w:rsidR="0027664B" w:rsidRPr="00F0446A">
              <w:rPr>
                <w:bCs/>
                <w:sz w:val="20"/>
                <w:szCs w:val="20"/>
                <w:lang w:val="ru-RU"/>
              </w:rPr>
              <w:t xml:space="preserve"> </w:t>
            </w:r>
            <w:r w:rsidR="0027664B">
              <w:rPr>
                <w:bCs/>
                <w:sz w:val="20"/>
                <w:szCs w:val="20"/>
                <w:lang w:val="ru-RU"/>
              </w:rPr>
              <w:t>формы</w:t>
            </w:r>
            <w:r w:rsidR="0027664B" w:rsidRPr="00F0446A">
              <w:rPr>
                <w:bCs/>
                <w:sz w:val="20"/>
                <w:szCs w:val="20"/>
                <w:lang w:val="ru-RU"/>
              </w:rPr>
              <w:t xml:space="preserve"> </w:t>
            </w:r>
            <w:r w:rsidR="0027664B">
              <w:rPr>
                <w:bCs/>
                <w:sz w:val="20"/>
                <w:szCs w:val="20"/>
                <w:lang w:val="ru-RU"/>
              </w:rPr>
              <w:t>заявки</w:t>
            </w:r>
            <w:r w:rsidR="0027664B" w:rsidRPr="00F0446A">
              <w:rPr>
                <w:bCs/>
                <w:sz w:val="20"/>
                <w:szCs w:val="20"/>
                <w:lang w:val="ru-RU"/>
              </w:rPr>
              <w:t xml:space="preserve"> </w:t>
            </w:r>
            <w:r w:rsidR="0027664B">
              <w:rPr>
                <w:bCs/>
                <w:sz w:val="20"/>
                <w:szCs w:val="20"/>
                <w:lang w:val="ru-RU"/>
              </w:rPr>
              <w:t>для</w:t>
            </w:r>
            <w:r w:rsidR="0027664B" w:rsidRPr="00F0446A">
              <w:rPr>
                <w:bCs/>
                <w:sz w:val="20"/>
                <w:szCs w:val="20"/>
                <w:lang w:val="ru-RU"/>
              </w:rPr>
              <w:t xml:space="preserve"> </w:t>
            </w:r>
            <w:r w:rsidR="0027664B">
              <w:rPr>
                <w:bCs/>
                <w:sz w:val="20"/>
                <w:szCs w:val="20"/>
                <w:lang w:val="ru-RU"/>
              </w:rPr>
              <w:t>перехода</w:t>
            </w:r>
            <w:r w:rsidR="0027664B" w:rsidRPr="00F0446A">
              <w:rPr>
                <w:bCs/>
                <w:sz w:val="20"/>
                <w:szCs w:val="20"/>
                <w:lang w:val="ru-RU"/>
              </w:rPr>
              <w:t xml:space="preserve"> - </w:t>
            </w:r>
            <w:r w:rsidR="0027664B">
              <w:rPr>
                <w:b/>
                <w:bCs/>
                <w:i/>
                <w:sz w:val="20"/>
                <w:szCs w:val="20"/>
                <w:lang w:val="ru-RU"/>
              </w:rPr>
              <w:t>обязательно</w:t>
            </w:r>
            <w:r w:rsidR="0086679C" w:rsidRPr="00F0446A">
              <w:rPr>
                <w:bCs/>
                <w:sz w:val="20"/>
                <w:szCs w:val="20"/>
                <w:lang w:val="ru-RU"/>
              </w:rPr>
              <w:t>)</w:t>
            </w:r>
          </w:p>
        </w:tc>
      </w:tr>
      <w:tr w:rsidR="00EF304D" w:rsidRPr="00794147" w14:paraId="242F7C12" w14:textId="77777777" w:rsidTr="00D92FA6">
        <w:trPr>
          <w:trHeight w:val="432"/>
        </w:trPr>
        <w:tc>
          <w:tcPr>
            <w:tcW w:w="567" w:type="dxa"/>
          </w:tcPr>
          <w:p w14:paraId="34AE965F" w14:textId="77777777" w:rsidR="00EF304D" w:rsidRPr="00794147" w:rsidRDefault="00A26916" w:rsidP="00EC781D">
            <w:pPr>
              <w:pStyle w:val="TableText"/>
              <w:rPr>
                <w:sz w:val="20"/>
                <w:szCs w:val="20"/>
              </w:rPr>
            </w:pPr>
            <w:sdt>
              <w:sdtPr>
                <w:rPr>
                  <w:sz w:val="20"/>
                  <w:szCs w:val="20"/>
                </w:rPr>
                <w:id w:val="-1004967915"/>
                <w14:checkbox>
                  <w14:checked w14:val="0"/>
                  <w14:checkedState w14:val="2612" w14:font="MS Gothic"/>
                  <w14:uncheckedState w14:val="2610" w14:font="MS Gothic"/>
                </w14:checkbox>
              </w:sdtPr>
              <w:sdtContent>
                <w:r w:rsidR="00EF304D" w:rsidRPr="00794147">
                  <w:rPr>
                    <w:rFonts w:ascii="Segoe UI Symbol" w:hAnsi="Segoe UI Symbol" w:cs="Segoe UI Symbol"/>
                    <w:sz w:val="20"/>
                    <w:szCs w:val="20"/>
                  </w:rPr>
                  <w:t>☐</w:t>
                </w:r>
              </w:sdtContent>
            </w:sdt>
          </w:p>
        </w:tc>
        <w:tc>
          <w:tcPr>
            <w:tcW w:w="8642" w:type="dxa"/>
          </w:tcPr>
          <w:p w14:paraId="28CB8EBC" w14:textId="1398E2AC" w:rsidR="00EF304D" w:rsidRPr="00794147" w:rsidRDefault="00F0446A" w:rsidP="00EC781D">
            <w:pPr>
              <w:pStyle w:val="TableText"/>
              <w:ind w:left="144"/>
              <w:rPr>
                <w:bCs/>
                <w:sz w:val="20"/>
                <w:szCs w:val="20"/>
              </w:rPr>
            </w:pPr>
            <w:r>
              <w:rPr>
                <w:sz w:val="20"/>
                <w:szCs w:val="20"/>
                <w:lang w:val="ru-RU"/>
              </w:rPr>
              <w:t>Перечень сокращений и приложений</w:t>
            </w:r>
          </w:p>
        </w:tc>
      </w:tr>
    </w:tbl>
    <w:p w14:paraId="34DFF227" w14:textId="735DC47D" w:rsidR="00EF304D" w:rsidRPr="008064BB" w:rsidRDefault="00FF3CCC" w:rsidP="00EB00CA">
      <w:pPr>
        <w:pStyle w:val="4"/>
        <w:spacing w:before="120"/>
        <w:rPr>
          <w:sz w:val="22"/>
        </w:rPr>
      </w:pPr>
      <w:r>
        <w:rPr>
          <w:sz w:val="22"/>
          <w:lang w:val="ru-RU"/>
        </w:rPr>
        <w:t>Документы</w:t>
      </w:r>
      <w:r w:rsidRPr="00FF3CCC">
        <w:rPr>
          <w:sz w:val="22"/>
          <w:lang w:val="en-US"/>
        </w:rPr>
        <w:t xml:space="preserve">, </w:t>
      </w:r>
      <w:r>
        <w:rPr>
          <w:sz w:val="22"/>
          <w:lang w:val="ru-RU"/>
        </w:rPr>
        <w:t>оцениваемые</w:t>
      </w:r>
      <w:r w:rsidRPr="00FF3CCC">
        <w:rPr>
          <w:sz w:val="22"/>
          <w:lang w:val="en-US"/>
        </w:rPr>
        <w:t xml:space="preserve"> </w:t>
      </w:r>
      <w:r>
        <w:rPr>
          <w:sz w:val="22"/>
          <w:lang w:val="ru-RU"/>
        </w:rPr>
        <w:t>Секретариатом</w:t>
      </w:r>
      <w:r w:rsidRPr="00FF3CCC">
        <w:rPr>
          <w:sz w:val="22"/>
          <w:lang w:val="en-US"/>
        </w:rPr>
        <w:t xml:space="preserve"> </w:t>
      </w:r>
      <w:r>
        <w:rPr>
          <w:sz w:val="22"/>
          <w:lang w:val="ru-RU"/>
        </w:rPr>
        <w:t>Глобального</w:t>
      </w:r>
      <w:r w:rsidRPr="00FF3CCC">
        <w:rPr>
          <w:sz w:val="22"/>
          <w:lang w:val="en-US"/>
        </w:rPr>
        <w:t xml:space="preserve"> </w:t>
      </w:r>
      <w:r>
        <w:rPr>
          <w:sz w:val="22"/>
          <w:lang w:val="ru-RU"/>
        </w:rPr>
        <w:t>фонда</w:t>
      </w:r>
    </w:p>
    <w:tbl>
      <w:tblPr>
        <w:tblStyle w:val="GlobalFundNoSpace"/>
        <w:tblW w:w="9209" w:type="dxa"/>
        <w:tblBorders>
          <w:insideH w:val="single" w:sz="2" w:space="0" w:color="BFBFBF" w:themeColor="background1" w:themeShade="BF"/>
          <w:insideV w:val="single" w:sz="2" w:space="0" w:color="BFBFBF" w:themeColor="background1" w:themeShade="BF"/>
        </w:tblBorders>
        <w:tblLook w:val="0600" w:firstRow="0" w:lastRow="0" w:firstColumn="0" w:lastColumn="0" w:noHBand="1" w:noVBand="1"/>
      </w:tblPr>
      <w:tblGrid>
        <w:gridCol w:w="567"/>
        <w:gridCol w:w="8642"/>
      </w:tblGrid>
      <w:tr w:rsidR="00EF304D" w:rsidRPr="00A26916" w14:paraId="4BEB5973" w14:textId="77777777" w:rsidTr="00D92FA6">
        <w:trPr>
          <w:trHeight w:val="432"/>
        </w:trPr>
        <w:tc>
          <w:tcPr>
            <w:tcW w:w="567" w:type="dxa"/>
          </w:tcPr>
          <w:p w14:paraId="0E598981" w14:textId="77777777" w:rsidR="00EF304D" w:rsidRPr="00794147" w:rsidRDefault="00A26916" w:rsidP="00EC781D">
            <w:pPr>
              <w:pStyle w:val="TableText"/>
              <w:rPr>
                <w:sz w:val="20"/>
                <w:szCs w:val="20"/>
              </w:rPr>
            </w:pPr>
            <w:sdt>
              <w:sdtPr>
                <w:rPr>
                  <w:sz w:val="20"/>
                  <w:szCs w:val="20"/>
                </w:rPr>
                <w:id w:val="1327792100"/>
                <w14:checkbox>
                  <w14:checked w14:val="0"/>
                  <w14:checkedState w14:val="2612" w14:font="MS Gothic"/>
                  <w14:uncheckedState w14:val="2610" w14:font="MS Gothic"/>
                </w14:checkbox>
              </w:sdtPr>
              <w:sdtContent>
                <w:r w:rsidR="00EF304D" w:rsidRPr="00794147">
                  <w:rPr>
                    <w:rFonts w:ascii="Segoe UI Symbol" w:hAnsi="Segoe UI Symbol" w:cs="Segoe UI Symbol"/>
                    <w:sz w:val="20"/>
                    <w:szCs w:val="20"/>
                  </w:rPr>
                  <w:t>☐</w:t>
                </w:r>
              </w:sdtContent>
            </w:sdt>
          </w:p>
        </w:tc>
        <w:tc>
          <w:tcPr>
            <w:tcW w:w="8642" w:type="dxa"/>
          </w:tcPr>
          <w:p w14:paraId="1BFCCA58" w14:textId="5AD78964" w:rsidR="00EF304D" w:rsidRPr="009B0C80" w:rsidRDefault="009B0C80" w:rsidP="00EC781D">
            <w:pPr>
              <w:pStyle w:val="TableText"/>
              <w:ind w:left="144"/>
              <w:rPr>
                <w:bCs/>
                <w:sz w:val="20"/>
                <w:szCs w:val="20"/>
                <w:lang w:val="ru-RU"/>
              </w:rPr>
            </w:pPr>
            <w:r>
              <w:rPr>
                <w:bCs/>
                <w:sz w:val="20"/>
                <w:szCs w:val="20"/>
                <w:lang w:val="ru-RU"/>
              </w:rPr>
              <w:t>Приложение</w:t>
            </w:r>
            <w:r w:rsidRPr="009B0C80">
              <w:rPr>
                <w:bCs/>
                <w:sz w:val="20"/>
                <w:szCs w:val="20"/>
                <w:lang w:val="ru-RU"/>
              </w:rPr>
              <w:t xml:space="preserve"> </w:t>
            </w:r>
            <w:r>
              <w:rPr>
                <w:bCs/>
                <w:sz w:val="20"/>
                <w:szCs w:val="20"/>
                <w:lang w:val="ru-RU"/>
              </w:rPr>
              <w:t>с</w:t>
            </w:r>
            <w:r w:rsidRPr="009B0C80">
              <w:rPr>
                <w:bCs/>
                <w:sz w:val="20"/>
                <w:szCs w:val="20"/>
                <w:lang w:val="ru-RU"/>
              </w:rPr>
              <w:t xml:space="preserve"> </w:t>
            </w:r>
            <w:r>
              <w:rPr>
                <w:bCs/>
                <w:sz w:val="20"/>
                <w:szCs w:val="20"/>
                <w:lang w:val="ru-RU"/>
              </w:rPr>
              <w:t>приоритетными</w:t>
            </w:r>
            <w:r w:rsidRPr="009B0C80">
              <w:rPr>
                <w:bCs/>
                <w:sz w:val="20"/>
                <w:szCs w:val="20"/>
                <w:lang w:val="ru-RU"/>
              </w:rPr>
              <w:t xml:space="preserve"> </w:t>
            </w:r>
            <w:r>
              <w:rPr>
                <w:bCs/>
                <w:sz w:val="20"/>
                <w:szCs w:val="20"/>
                <w:lang w:val="ru-RU"/>
              </w:rPr>
              <w:t>направлениями</w:t>
            </w:r>
            <w:r w:rsidRPr="009B0C80">
              <w:rPr>
                <w:bCs/>
                <w:sz w:val="20"/>
                <w:szCs w:val="20"/>
                <w:lang w:val="ru-RU"/>
              </w:rPr>
              <w:t xml:space="preserve"> </w:t>
            </w:r>
            <w:r>
              <w:rPr>
                <w:bCs/>
                <w:sz w:val="20"/>
                <w:szCs w:val="20"/>
                <w:lang w:val="ru-RU"/>
              </w:rPr>
              <w:t>финансирования</w:t>
            </w:r>
            <w:r w:rsidRPr="009B0C80">
              <w:rPr>
                <w:bCs/>
                <w:sz w:val="20"/>
                <w:szCs w:val="20"/>
                <w:lang w:val="ru-RU"/>
              </w:rPr>
              <w:t xml:space="preserve"> </w:t>
            </w:r>
            <w:r>
              <w:rPr>
                <w:bCs/>
                <w:sz w:val="20"/>
                <w:szCs w:val="20"/>
                <w:lang w:val="ru-RU"/>
              </w:rPr>
              <w:t>от</w:t>
            </w:r>
            <w:r w:rsidRPr="009B0C80">
              <w:rPr>
                <w:bCs/>
                <w:sz w:val="20"/>
                <w:szCs w:val="20"/>
                <w:lang w:val="ru-RU"/>
              </w:rPr>
              <w:t xml:space="preserve"> </w:t>
            </w:r>
            <w:r>
              <w:rPr>
                <w:bCs/>
                <w:sz w:val="20"/>
                <w:szCs w:val="20"/>
                <w:lang w:val="ru-RU"/>
              </w:rPr>
              <w:t>гражданского общества и сообществ</w:t>
            </w:r>
          </w:p>
        </w:tc>
      </w:tr>
      <w:tr w:rsidR="00EF304D" w:rsidRPr="00A26916" w14:paraId="0917D99F" w14:textId="77777777" w:rsidTr="00D92FA6">
        <w:trPr>
          <w:trHeight w:val="432"/>
        </w:trPr>
        <w:tc>
          <w:tcPr>
            <w:tcW w:w="567" w:type="dxa"/>
          </w:tcPr>
          <w:p w14:paraId="45597E4A" w14:textId="77777777" w:rsidR="00EF304D" w:rsidRDefault="00A26916" w:rsidP="00EC781D">
            <w:pPr>
              <w:pStyle w:val="TableText"/>
              <w:rPr>
                <w:sz w:val="20"/>
                <w:szCs w:val="20"/>
              </w:rPr>
            </w:pPr>
            <w:sdt>
              <w:sdtPr>
                <w:rPr>
                  <w:sz w:val="20"/>
                  <w:szCs w:val="20"/>
                </w:rPr>
                <w:id w:val="-1275089135"/>
                <w14:checkbox>
                  <w14:checked w14:val="0"/>
                  <w14:checkedState w14:val="2612" w14:font="MS Gothic"/>
                  <w14:uncheckedState w14:val="2610" w14:font="MS Gothic"/>
                </w14:checkbox>
              </w:sdtPr>
              <w:sdtEndPr>
                <w:rPr>
                  <w:rFonts w:ascii="MS Gothic" w:eastAsia="MS Gothic" w:hAnsi="MS Gothic" w:hint="eastAsia"/>
                </w:rPr>
              </w:sdtEndPr>
              <w:sdtContent/>
            </w:sdt>
            <w:r w:rsidR="00EF304D">
              <w:rPr>
                <w:rFonts w:ascii="MS Gothic" w:eastAsia="MS Gothic" w:hAnsi="MS Gothic" w:hint="eastAsia"/>
                <w:sz w:val="20"/>
                <w:szCs w:val="20"/>
              </w:rPr>
              <w:t>☐</w:t>
            </w:r>
          </w:p>
        </w:tc>
        <w:tc>
          <w:tcPr>
            <w:tcW w:w="8642" w:type="dxa"/>
          </w:tcPr>
          <w:p w14:paraId="154EBF91" w14:textId="2268E503" w:rsidR="00EF304D" w:rsidRPr="009B0C80" w:rsidRDefault="009B0C80" w:rsidP="00EC781D">
            <w:pPr>
              <w:pStyle w:val="TableText"/>
              <w:ind w:left="144"/>
              <w:rPr>
                <w:sz w:val="20"/>
                <w:szCs w:val="20"/>
                <w:lang w:val="ru-RU"/>
              </w:rPr>
            </w:pPr>
            <w:r>
              <w:rPr>
                <w:sz w:val="20"/>
                <w:szCs w:val="20"/>
                <w:lang w:val="ru-RU"/>
              </w:rPr>
              <w:t>Описательный отчет о страновом диалоге</w:t>
            </w:r>
          </w:p>
        </w:tc>
      </w:tr>
      <w:tr w:rsidR="00EF304D" w:rsidRPr="00A26916" w14:paraId="4ADF306D" w14:textId="77777777" w:rsidTr="00D92FA6">
        <w:trPr>
          <w:trHeight w:val="432"/>
        </w:trPr>
        <w:tc>
          <w:tcPr>
            <w:tcW w:w="567" w:type="dxa"/>
          </w:tcPr>
          <w:p w14:paraId="73046839" w14:textId="77777777" w:rsidR="00EF304D" w:rsidRPr="00794147" w:rsidRDefault="00A26916" w:rsidP="00EC781D">
            <w:pPr>
              <w:pStyle w:val="TableText"/>
              <w:rPr>
                <w:sz w:val="20"/>
                <w:szCs w:val="20"/>
              </w:rPr>
            </w:pPr>
            <w:sdt>
              <w:sdtPr>
                <w:rPr>
                  <w:sz w:val="20"/>
                  <w:szCs w:val="20"/>
                </w:rPr>
                <w:id w:val="414133121"/>
                <w14:checkbox>
                  <w14:checked w14:val="0"/>
                  <w14:checkedState w14:val="2612" w14:font="MS Gothic"/>
                  <w14:uncheckedState w14:val="2610" w14:font="MS Gothic"/>
                </w14:checkbox>
              </w:sdtPr>
              <w:sdtContent>
                <w:r w:rsidR="00EF304D" w:rsidRPr="00794147">
                  <w:rPr>
                    <w:rFonts w:ascii="Segoe UI Symbol" w:hAnsi="Segoe UI Symbol" w:cs="Segoe UI Symbol"/>
                    <w:sz w:val="20"/>
                    <w:szCs w:val="20"/>
                  </w:rPr>
                  <w:t>☐</w:t>
                </w:r>
              </w:sdtContent>
            </w:sdt>
          </w:p>
        </w:tc>
        <w:tc>
          <w:tcPr>
            <w:tcW w:w="8642" w:type="dxa"/>
          </w:tcPr>
          <w:p w14:paraId="0B1F4D25" w14:textId="0AAF2366" w:rsidR="00EF304D" w:rsidRPr="00FB3D24" w:rsidRDefault="00FB3D24" w:rsidP="00EC781D">
            <w:pPr>
              <w:pStyle w:val="TableText"/>
              <w:ind w:left="144"/>
              <w:rPr>
                <w:sz w:val="20"/>
                <w:szCs w:val="20"/>
                <w:lang w:val="ru-RU"/>
              </w:rPr>
            </w:pPr>
            <w:r>
              <w:rPr>
                <w:bCs/>
                <w:sz w:val="20"/>
                <w:szCs w:val="20"/>
                <w:lang w:val="ru-RU"/>
              </w:rPr>
              <w:t>Одобрение заявки на финансирование от СКМ</w:t>
            </w:r>
          </w:p>
        </w:tc>
      </w:tr>
      <w:tr w:rsidR="00EF304D" w:rsidRPr="00A26916" w14:paraId="011A96FE" w14:textId="77777777" w:rsidTr="00D92FA6">
        <w:trPr>
          <w:trHeight w:val="432"/>
        </w:trPr>
        <w:tc>
          <w:tcPr>
            <w:tcW w:w="567" w:type="dxa"/>
          </w:tcPr>
          <w:p w14:paraId="6F5190F9" w14:textId="77777777" w:rsidR="00EF304D" w:rsidRPr="00794147" w:rsidRDefault="00A26916" w:rsidP="00EC781D">
            <w:pPr>
              <w:pStyle w:val="TableText"/>
              <w:rPr>
                <w:sz w:val="20"/>
                <w:szCs w:val="20"/>
              </w:rPr>
            </w:pPr>
            <w:sdt>
              <w:sdtPr>
                <w:rPr>
                  <w:sz w:val="20"/>
                  <w:szCs w:val="20"/>
                </w:rPr>
                <w:id w:val="1056893753"/>
                <w14:checkbox>
                  <w14:checked w14:val="0"/>
                  <w14:checkedState w14:val="2612" w14:font="MS Gothic"/>
                  <w14:uncheckedState w14:val="2610" w14:font="MS Gothic"/>
                </w14:checkbox>
              </w:sdtPr>
              <w:sdtContent>
                <w:r w:rsidR="00EF304D" w:rsidRPr="00794147">
                  <w:rPr>
                    <w:rFonts w:ascii="MS Gothic" w:eastAsia="MS Gothic" w:hAnsi="MS Gothic"/>
                    <w:sz w:val="20"/>
                    <w:szCs w:val="20"/>
                  </w:rPr>
                  <w:t>☐</w:t>
                </w:r>
              </w:sdtContent>
            </w:sdt>
          </w:p>
        </w:tc>
        <w:tc>
          <w:tcPr>
            <w:tcW w:w="8642" w:type="dxa"/>
          </w:tcPr>
          <w:p w14:paraId="27339652" w14:textId="4FB2326F" w:rsidR="00EF304D" w:rsidRPr="00FB3D24" w:rsidRDefault="00FB3D24" w:rsidP="00EC781D">
            <w:pPr>
              <w:pStyle w:val="TableText"/>
              <w:ind w:left="144"/>
              <w:rPr>
                <w:bCs/>
                <w:sz w:val="20"/>
                <w:szCs w:val="20"/>
                <w:lang w:val="ru-RU"/>
              </w:rPr>
            </w:pPr>
            <w:r>
              <w:rPr>
                <w:rFonts w:eastAsia="SimSun"/>
                <w:bCs/>
                <w:sz w:val="20"/>
                <w:szCs w:val="20"/>
                <w:lang w:val="ru-RU" w:eastAsia="zh-CN"/>
              </w:rPr>
              <w:t>Заявление о соответствии от СКМ</w:t>
            </w:r>
          </w:p>
        </w:tc>
      </w:tr>
      <w:tr w:rsidR="00EF304D" w:rsidRPr="00A26916" w14:paraId="1956BA92" w14:textId="77777777" w:rsidTr="00D92FA6">
        <w:trPr>
          <w:trHeight w:val="432"/>
        </w:trPr>
        <w:tc>
          <w:tcPr>
            <w:tcW w:w="567" w:type="dxa"/>
          </w:tcPr>
          <w:p w14:paraId="741F4186" w14:textId="77777777" w:rsidR="00EF304D" w:rsidRPr="00794147" w:rsidRDefault="00A26916" w:rsidP="00EC781D">
            <w:pPr>
              <w:pStyle w:val="TableText"/>
              <w:rPr>
                <w:sz w:val="20"/>
                <w:szCs w:val="20"/>
              </w:rPr>
            </w:pPr>
            <w:sdt>
              <w:sdtPr>
                <w:rPr>
                  <w:sz w:val="20"/>
                  <w:szCs w:val="20"/>
                </w:rPr>
                <w:id w:val="1212620163"/>
                <w14:checkbox>
                  <w14:checked w14:val="0"/>
                  <w14:checkedState w14:val="2612" w14:font="MS Gothic"/>
                  <w14:uncheckedState w14:val="2610" w14:font="MS Gothic"/>
                </w14:checkbox>
              </w:sdtPr>
              <w:sdtContent>
                <w:r w:rsidR="00EF304D" w:rsidRPr="00794147">
                  <w:rPr>
                    <w:rFonts w:ascii="Segoe UI Symbol" w:eastAsia="MS Gothic" w:hAnsi="Segoe UI Symbol" w:cs="Segoe UI Symbol"/>
                    <w:sz w:val="20"/>
                    <w:szCs w:val="20"/>
                  </w:rPr>
                  <w:t>☐</w:t>
                </w:r>
              </w:sdtContent>
            </w:sdt>
          </w:p>
        </w:tc>
        <w:tc>
          <w:tcPr>
            <w:tcW w:w="8642" w:type="dxa"/>
          </w:tcPr>
          <w:p w14:paraId="6E2194CF" w14:textId="372E0B9D" w:rsidR="00EF304D" w:rsidRPr="00FB3D24" w:rsidRDefault="00FB3D24" w:rsidP="00EC781D">
            <w:pPr>
              <w:pStyle w:val="TableText"/>
              <w:ind w:left="144"/>
              <w:rPr>
                <w:bCs/>
                <w:sz w:val="20"/>
                <w:szCs w:val="20"/>
                <w:lang w:val="ru-RU"/>
              </w:rPr>
            </w:pPr>
            <w:r>
              <w:rPr>
                <w:bCs/>
                <w:sz w:val="20"/>
                <w:szCs w:val="20"/>
                <w:lang w:val="ru-RU"/>
              </w:rPr>
              <w:t>Документация</w:t>
            </w:r>
            <w:r w:rsidRPr="00FB3D24">
              <w:rPr>
                <w:bCs/>
                <w:sz w:val="20"/>
                <w:szCs w:val="20"/>
                <w:lang w:val="ru-RU"/>
              </w:rPr>
              <w:t xml:space="preserve"> </w:t>
            </w:r>
            <w:r>
              <w:rPr>
                <w:bCs/>
                <w:sz w:val="20"/>
                <w:szCs w:val="20"/>
                <w:lang w:val="ru-RU"/>
              </w:rPr>
              <w:t>по</w:t>
            </w:r>
            <w:r w:rsidRPr="00FB3D24">
              <w:rPr>
                <w:bCs/>
                <w:sz w:val="20"/>
                <w:szCs w:val="20"/>
                <w:lang w:val="ru-RU"/>
              </w:rPr>
              <w:t xml:space="preserve"> </w:t>
            </w:r>
            <w:r>
              <w:rPr>
                <w:bCs/>
                <w:sz w:val="20"/>
                <w:szCs w:val="20"/>
                <w:lang w:val="ru-RU"/>
              </w:rPr>
              <w:t>требованиям</w:t>
            </w:r>
            <w:r w:rsidRPr="00FB3D24">
              <w:rPr>
                <w:bCs/>
                <w:sz w:val="20"/>
                <w:szCs w:val="20"/>
                <w:lang w:val="ru-RU"/>
              </w:rPr>
              <w:t xml:space="preserve"> </w:t>
            </w:r>
            <w:r>
              <w:rPr>
                <w:bCs/>
                <w:sz w:val="20"/>
                <w:szCs w:val="20"/>
                <w:lang w:val="ru-RU"/>
              </w:rPr>
              <w:t>к софинансированию</w:t>
            </w:r>
          </w:p>
        </w:tc>
      </w:tr>
      <w:tr w:rsidR="002A6367" w:rsidRPr="00A26916" w14:paraId="0152737A" w14:textId="77777777" w:rsidTr="00D92FA6">
        <w:trPr>
          <w:trHeight w:val="432"/>
        </w:trPr>
        <w:tc>
          <w:tcPr>
            <w:tcW w:w="567" w:type="dxa"/>
          </w:tcPr>
          <w:p w14:paraId="20F5570C" w14:textId="39549802" w:rsidR="002A6367" w:rsidRDefault="00A26916" w:rsidP="002A6367">
            <w:pPr>
              <w:pStyle w:val="TableText"/>
              <w:rPr>
                <w:sz w:val="20"/>
                <w:szCs w:val="20"/>
              </w:rPr>
            </w:pPr>
            <w:sdt>
              <w:sdtPr>
                <w:rPr>
                  <w:sz w:val="20"/>
                  <w:szCs w:val="20"/>
                </w:rPr>
                <w:id w:val="-267306128"/>
                <w14:checkbox>
                  <w14:checked w14:val="0"/>
                  <w14:checkedState w14:val="2612" w14:font="MS Gothic"/>
                  <w14:uncheckedState w14:val="2610" w14:font="MS Gothic"/>
                </w14:checkbox>
              </w:sdtPr>
              <w:sdtContent>
                <w:r w:rsidR="002A6367">
                  <w:rPr>
                    <w:rFonts w:ascii="MS Gothic" w:eastAsia="MS Gothic" w:hAnsi="MS Gothic" w:hint="eastAsia"/>
                    <w:sz w:val="20"/>
                    <w:szCs w:val="20"/>
                  </w:rPr>
                  <w:t>☐</w:t>
                </w:r>
              </w:sdtContent>
            </w:sdt>
          </w:p>
        </w:tc>
        <w:tc>
          <w:tcPr>
            <w:tcW w:w="8642" w:type="dxa"/>
          </w:tcPr>
          <w:p w14:paraId="7F191BF5" w14:textId="44EC35BB" w:rsidR="002A6367" w:rsidRPr="00C27B46" w:rsidRDefault="00C27B46" w:rsidP="002A6367">
            <w:pPr>
              <w:pStyle w:val="TableText"/>
              <w:ind w:left="144"/>
              <w:rPr>
                <w:bCs/>
                <w:sz w:val="20"/>
                <w:szCs w:val="20"/>
                <w:lang w:val="ru-RU"/>
              </w:rPr>
            </w:pPr>
            <w:r>
              <w:rPr>
                <w:sz w:val="20"/>
                <w:szCs w:val="20"/>
                <w:lang w:val="ru-RU"/>
              </w:rPr>
              <w:t>Оценка</w:t>
            </w:r>
            <w:r w:rsidRPr="00C27B46">
              <w:rPr>
                <w:sz w:val="20"/>
                <w:szCs w:val="20"/>
                <w:lang w:val="ru-RU"/>
              </w:rPr>
              <w:t xml:space="preserve"> </w:t>
            </w:r>
            <w:r>
              <w:rPr>
                <w:sz w:val="20"/>
                <w:szCs w:val="20"/>
                <w:lang w:val="ru-RU"/>
              </w:rPr>
              <w:t>рисков</w:t>
            </w:r>
            <w:r w:rsidRPr="00C27B46">
              <w:rPr>
                <w:sz w:val="20"/>
                <w:szCs w:val="20"/>
                <w:lang w:val="ru-RU"/>
              </w:rPr>
              <w:t xml:space="preserve"> </w:t>
            </w:r>
            <w:r>
              <w:rPr>
                <w:sz w:val="20"/>
                <w:szCs w:val="20"/>
                <w:lang w:val="ru-RU"/>
              </w:rPr>
              <w:t>сексуальной</w:t>
            </w:r>
            <w:r w:rsidRPr="00C27B46">
              <w:rPr>
                <w:sz w:val="20"/>
                <w:szCs w:val="20"/>
                <w:lang w:val="ru-RU"/>
              </w:rPr>
              <w:t xml:space="preserve"> </w:t>
            </w:r>
            <w:r>
              <w:rPr>
                <w:sz w:val="20"/>
                <w:szCs w:val="20"/>
                <w:lang w:val="ru-RU"/>
              </w:rPr>
              <w:t>эксплуатации</w:t>
            </w:r>
            <w:r w:rsidRPr="00C27B46">
              <w:rPr>
                <w:sz w:val="20"/>
                <w:szCs w:val="20"/>
                <w:lang w:val="ru-RU"/>
              </w:rPr>
              <w:t xml:space="preserve">, </w:t>
            </w:r>
            <w:r>
              <w:rPr>
                <w:sz w:val="20"/>
                <w:szCs w:val="20"/>
                <w:lang w:val="ru-RU"/>
              </w:rPr>
              <w:t>насилия</w:t>
            </w:r>
            <w:r w:rsidRPr="00C27B46">
              <w:rPr>
                <w:sz w:val="20"/>
                <w:szCs w:val="20"/>
                <w:lang w:val="ru-RU"/>
              </w:rPr>
              <w:t xml:space="preserve"> </w:t>
            </w:r>
            <w:r>
              <w:rPr>
                <w:sz w:val="20"/>
                <w:szCs w:val="20"/>
                <w:lang w:val="ru-RU"/>
              </w:rPr>
              <w:t>и</w:t>
            </w:r>
            <w:r w:rsidRPr="00C27B46">
              <w:rPr>
                <w:sz w:val="20"/>
                <w:szCs w:val="20"/>
                <w:lang w:val="ru-RU"/>
              </w:rPr>
              <w:t xml:space="preserve"> </w:t>
            </w:r>
            <w:r>
              <w:rPr>
                <w:sz w:val="20"/>
                <w:szCs w:val="20"/>
                <w:lang w:val="ru-RU"/>
              </w:rPr>
              <w:t>харассмента</w:t>
            </w:r>
            <w:r w:rsidRPr="00C27B46">
              <w:rPr>
                <w:sz w:val="20"/>
                <w:szCs w:val="20"/>
                <w:lang w:val="ru-RU"/>
              </w:rPr>
              <w:t xml:space="preserve"> (</w:t>
            </w:r>
            <w:r>
              <w:rPr>
                <w:sz w:val="20"/>
                <w:szCs w:val="20"/>
                <w:lang w:val="ru-RU"/>
              </w:rPr>
              <w:t>СЭНХ</w:t>
            </w:r>
            <w:r w:rsidRPr="00C27B46">
              <w:rPr>
                <w:sz w:val="20"/>
                <w:szCs w:val="20"/>
                <w:lang w:val="ru-RU"/>
              </w:rPr>
              <w:t xml:space="preserve">) – </w:t>
            </w:r>
            <w:r>
              <w:rPr>
                <w:sz w:val="20"/>
                <w:szCs w:val="20"/>
                <w:lang w:val="ru-RU"/>
              </w:rPr>
              <w:t>по желанию.</w:t>
            </w:r>
          </w:p>
        </w:tc>
      </w:tr>
    </w:tbl>
    <w:p w14:paraId="44E16941" w14:textId="77777777" w:rsidR="00F92EBF" w:rsidRPr="00C27B46" w:rsidRDefault="00F92EBF" w:rsidP="00D92FA6">
      <w:pPr>
        <w:pStyle w:val="a1"/>
        <w:rPr>
          <w:lang w:val="ru-RU"/>
        </w:rPr>
      </w:pPr>
    </w:p>
    <w:sectPr w:rsidR="00F92EBF" w:rsidRPr="00C27B46" w:rsidSect="008225CA">
      <w:type w:val="continuous"/>
      <w:pgSz w:w="11906" w:h="16838" w:code="9"/>
      <w:pgMar w:top="851" w:right="851" w:bottom="1871" w:left="851" w:header="288" w:footer="28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Anna Katasonova" w:date="2023-02-26T22:21:00Z" w:initials="AK">
    <w:p w14:paraId="501A786A" w14:textId="77777777" w:rsidR="00A26916" w:rsidRPr="007C2DE2" w:rsidRDefault="00A26916" w:rsidP="007C2DE2">
      <w:pPr>
        <w:rPr>
          <w:lang w:val="ru-RU"/>
        </w:rPr>
      </w:pPr>
      <w:r>
        <w:rPr>
          <w:rStyle w:val="aff3"/>
        </w:rPr>
        <w:annotationRef/>
      </w:r>
      <w:r w:rsidRPr="007C2DE2">
        <w:rPr>
          <w:rFonts w:ascii="Arial" w:hAnsi="Arial"/>
          <w:sz w:val="20"/>
          <w:szCs w:val="20"/>
          <w:lang w:val="ru-RU"/>
        </w:rPr>
        <w:t>Источник?</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1A78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5D395" w16cex:dateUtc="2023-02-26T06:48:00Z"/>
  <w16cex:commentExtensible w16cex:durableId="27A5D810" w16cex:dateUtc="2023-02-26T07:07:00Z"/>
  <w16cex:commentExtensible w16cex:durableId="27A5D84D" w16cex:dateUtc="2023-02-26T07:08:00Z"/>
  <w16cex:commentExtensible w16cex:durableId="27A5D8B8" w16cex:dateUtc="2023-02-26T07:10:00Z"/>
  <w16cex:commentExtensible w16cex:durableId="27A5D92F" w16cex:dateUtc="2023-02-26T07:12:00Z"/>
  <w16cex:commentExtensible w16cex:durableId="27A5DB94" w16cex:dateUtc="2023-02-26T07:22:00Z"/>
  <w16cex:commentExtensible w16cex:durableId="27A5DCBC" w16cex:dateUtc="2023-02-26T07:27:00Z"/>
  <w16cex:commentExtensible w16cex:durableId="27A5F8E8" w16cex:dateUtc="2023-02-26T09:27:00Z"/>
  <w16cex:commentExtensible w16cex:durableId="27A5E368" w16cex:dateUtc="2023-02-26T07:55:00Z"/>
  <w16cex:commentExtensible w16cex:durableId="27A5E7F5" w16cex:dateUtc="2023-02-26T08:15:00Z"/>
  <w16cex:commentExtensible w16cex:durableId="27A5FA01" w16cex:dateUtc="2023-02-26T09:32:00Z"/>
  <w16cex:commentExtensible w16cex:durableId="27A5FA67" w16cex:dateUtc="2023-02-26T09:33:00Z"/>
  <w16cex:commentExtensible w16cex:durableId="27A5FBBF" w16cex:dateUtc="2023-02-26T09:39:00Z"/>
  <w16cex:commentExtensible w16cex:durableId="27A607D5" w16cex:dateUtc="2023-02-26T10:31:00Z"/>
  <w16cex:commentExtensible w16cex:durableId="27A60DD5" w16cex:dateUtc="2023-02-26T10:56:00Z"/>
  <w16cex:commentExtensible w16cex:durableId="27A60EED" w16cex:dateUtc="2023-02-26T11:01:00Z"/>
  <w16cex:commentExtensible w16cex:durableId="27A615BC" w16cex:dateUtc="2023-02-26T11:30:00Z"/>
  <w16cex:commentExtensible w16cex:durableId="27A61768" w16cex:dateUtc="2023-02-26T11:37:00Z"/>
  <w16cex:commentExtensible w16cex:durableId="27A61E1A" w16cex:dateUtc="2023-02-26T12:06:00Z"/>
  <w16cex:commentExtensible w16cex:durableId="27A6214E" w16cex:dateUtc="2023-02-26T12:19:00Z"/>
  <w16cex:commentExtensible w16cex:durableId="27A62171" w16cex:dateUtc="2023-02-26T12:20:00Z"/>
  <w16cex:commentExtensible w16cex:durableId="27A6657C" w16cex:dateUtc="2023-02-26T17:10:00Z"/>
  <w16cex:commentExtensible w16cex:durableId="27A63209" w16cex:dateUtc="2023-02-26T13:31:00Z"/>
  <w16cex:commentExtensible w16cex:durableId="27A63215" w16cex:dateUtc="2023-02-26T13:31:00Z"/>
  <w16cex:commentExtensible w16cex:durableId="27A6413A" w16cex:dateUtc="2023-02-26T14:36:00Z"/>
  <w16cex:commentExtensible w16cex:durableId="27A64859" w16cex:dateUtc="2023-02-26T15:06:00Z"/>
  <w16cex:commentExtensible w16cex:durableId="27A64EAE" w16cex:dateUtc="2023-02-26T15:33:00Z"/>
  <w16cex:commentExtensible w16cex:durableId="27A64F29" w16cex:dateUtc="2023-02-26T15:35:00Z"/>
  <w16cex:commentExtensible w16cex:durableId="27A65082" w16cex:dateUtc="2023-02-26T15:41:00Z"/>
  <w16cex:commentExtensible w16cex:durableId="27A659D4" w16cex:dateUtc="2023-02-26T1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8B2FC1" w16cid:durableId="27A5D395"/>
  <w16cid:commentId w16cid:paraId="356B9FC8" w16cid:durableId="27A5D810"/>
  <w16cid:commentId w16cid:paraId="3CE8DCF1" w16cid:durableId="27A5D84D"/>
  <w16cid:commentId w16cid:paraId="2D2CBEC6" w16cid:durableId="27A5D8B8"/>
  <w16cid:commentId w16cid:paraId="6523F115" w16cid:durableId="27A5D92F"/>
  <w16cid:commentId w16cid:paraId="4E89E012" w16cid:durableId="27A5DB94"/>
  <w16cid:commentId w16cid:paraId="4B80A970" w16cid:durableId="27A5DCBC"/>
  <w16cid:commentId w16cid:paraId="1C2998E1" w16cid:durableId="27A5F8E8"/>
  <w16cid:commentId w16cid:paraId="62855F4C" w16cid:durableId="27A5E368"/>
  <w16cid:commentId w16cid:paraId="07BAE510" w16cid:durableId="27A5E7F5"/>
  <w16cid:commentId w16cid:paraId="66771D5B" w16cid:durableId="27A5FA01"/>
  <w16cid:commentId w16cid:paraId="0B8CEFDA" w16cid:durableId="27A5FA67"/>
  <w16cid:commentId w16cid:paraId="1CCC5CC6" w16cid:durableId="27A5FBBF"/>
  <w16cid:commentId w16cid:paraId="725F666E" w16cid:durableId="27A607D5"/>
  <w16cid:commentId w16cid:paraId="39E96CD9" w16cid:durableId="27A5CDE2"/>
  <w16cid:commentId w16cid:paraId="36EB9E52" w16cid:durableId="27A60DD5"/>
  <w16cid:commentId w16cid:paraId="2BC03E0D" w16cid:durableId="27A60EED"/>
  <w16cid:commentId w16cid:paraId="75407A31" w16cid:durableId="27A615BC"/>
  <w16cid:commentId w16cid:paraId="4599E566" w16cid:durableId="27A61768"/>
  <w16cid:commentId w16cid:paraId="6F44C7BE" w16cid:durableId="27A61E1A"/>
  <w16cid:commentId w16cid:paraId="0B962F9F" w16cid:durableId="27A6214E"/>
  <w16cid:commentId w16cid:paraId="1D4925EA" w16cid:durableId="27A62171"/>
  <w16cid:commentId w16cid:paraId="6F42B40B" w16cid:durableId="27A6657C"/>
  <w16cid:commentId w16cid:paraId="02617E59" w16cid:durableId="27A63209"/>
  <w16cid:commentId w16cid:paraId="1611A8A5" w16cid:durableId="27A63215"/>
  <w16cid:commentId w16cid:paraId="41C66E25" w16cid:durableId="27A6413A"/>
  <w16cid:commentId w16cid:paraId="2FFDCB11" w16cid:durableId="27A64859"/>
  <w16cid:commentId w16cid:paraId="007D3B90" w16cid:durableId="27A64EAE"/>
  <w16cid:commentId w16cid:paraId="79ED30D8" w16cid:durableId="27A64F29"/>
  <w16cid:commentId w16cid:paraId="2A5B2059" w16cid:durableId="27A65082"/>
  <w16cid:commentId w16cid:paraId="501A786A" w16cid:durableId="27A659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7EAF9" w14:textId="77777777" w:rsidR="00A26916" w:rsidRDefault="00A26916" w:rsidP="00861A9E">
      <w:pPr>
        <w:spacing w:after="0" w:line="240" w:lineRule="auto"/>
      </w:pPr>
      <w:r>
        <w:separator/>
      </w:r>
    </w:p>
  </w:endnote>
  <w:endnote w:type="continuationSeparator" w:id="0">
    <w:p w14:paraId="41D0D2F6" w14:textId="77777777" w:rsidR="00A26916" w:rsidRDefault="00A26916" w:rsidP="00861A9E">
      <w:pPr>
        <w:spacing w:after="0" w:line="240" w:lineRule="auto"/>
      </w:pPr>
      <w:r>
        <w:continuationSeparator/>
      </w:r>
    </w:p>
  </w:endnote>
  <w:endnote w:type="continuationNotice" w:id="1">
    <w:p w14:paraId="65836672" w14:textId="77777777" w:rsidR="00A26916" w:rsidRDefault="00A269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Neue">
    <w:altName w:val="Corbel"/>
    <w:charset w:val="00"/>
    <w:family w:val="auto"/>
    <w:pitch w:val="variable"/>
    <w:sig w:usb0="E50002FF" w:usb1="500079DB" w:usb2="00000010" w:usb3="00000000" w:csb0="00000001" w:csb1="00000000"/>
  </w:font>
  <w:font w:name="Arial Narrow">
    <w:panose1 w:val="020B0606020202030204"/>
    <w:charset w:val="CC"/>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Plain"/>
      <w:tblpPr w:leftFromText="181" w:rightFromText="181" w:vertAnchor="page" w:horzAnchor="page" w:tblpX="646" w:tblpY="15140"/>
      <w:tblOverlap w:val="never"/>
      <w:tblW w:w="15642" w:type="dxa"/>
      <w:tblLook w:val="04A0" w:firstRow="1" w:lastRow="0" w:firstColumn="1" w:lastColumn="0" w:noHBand="0" w:noVBand="1"/>
    </w:tblPr>
    <w:tblGrid>
      <w:gridCol w:w="15642"/>
    </w:tblGrid>
    <w:tr w:rsidR="00A26916" w:rsidRPr="008E461F" w14:paraId="351AF428" w14:textId="77777777" w:rsidTr="00A0183A">
      <w:trPr>
        <w:trHeight w:val="652"/>
      </w:trPr>
      <w:tc>
        <w:tcPr>
          <w:tcW w:w="15642" w:type="dxa"/>
        </w:tcPr>
        <w:p w14:paraId="3D2DEA60" w14:textId="77777777" w:rsidR="00A26916" w:rsidRDefault="00A26916" w:rsidP="00A0183A">
          <w:pPr>
            <w:pStyle w:val="afa"/>
            <w:rPr>
              <w:noProof/>
            </w:rPr>
          </w:pPr>
          <w:r>
            <w:rPr>
              <w:noProof/>
              <w:lang w:val="ru-RU" w:eastAsia="ru-RU"/>
            </w:rPr>
            <w:drawing>
              <wp:inline distT="0" distB="0" distL="0" distR="0" wp14:anchorId="1878EEED" wp14:editId="7272BE22">
                <wp:extent cx="1620259" cy="15228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65346555" name="Picture 4"/>
                        <pic:cNvPicPr/>
                      </pic:nvPicPr>
                      <pic:blipFill>
                        <a:blip r:embed="rId1"/>
                        <a:srcRect/>
                        <a:stretch/>
                      </pic:blipFill>
                      <pic:spPr>
                        <a:xfrm>
                          <a:off x="0" y="0"/>
                          <a:ext cx="1620259" cy="152280"/>
                        </a:xfrm>
                        <a:prstGeom prst="rect">
                          <a:avLst/>
                        </a:prstGeom>
                      </pic:spPr>
                    </pic:pic>
                  </a:graphicData>
                </a:graphic>
              </wp:inline>
            </w:drawing>
          </w:r>
        </w:p>
        <w:p w14:paraId="25852D55" w14:textId="77777777" w:rsidR="00A26916" w:rsidRDefault="00A26916" w:rsidP="00A0183A">
          <w:pPr>
            <w:pStyle w:val="afa"/>
          </w:pPr>
        </w:p>
        <w:p w14:paraId="04EDE29A" w14:textId="160570AD" w:rsidR="00A26916" w:rsidRPr="00933056" w:rsidRDefault="00A26916" w:rsidP="00A0183A">
          <w:pPr>
            <w:pStyle w:val="afa"/>
            <w:rPr>
              <w:noProof/>
              <w:lang w:val="ru-RU"/>
            </w:rPr>
          </w:pPr>
          <w:r>
            <w:fldChar w:fldCharType="begin"/>
          </w:r>
          <w:r>
            <w:instrText>STYLEREF</w:instrText>
          </w:r>
          <w:r w:rsidRPr="00F66794">
            <w:rPr>
              <w:lang w:val="ru-RU"/>
            </w:rPr>
            <w:instrText xml:space="preserve">  </w:instrText>
          </w:r>
          <w:r>
            <w:instrText>Title</w:instrText>
          </w:r>
          <w:r w:rsidRPr="00F66794">
            <w:rPr>
              <w:lang w:val="ru-RU"/>
            </w:rPr>
            <w:instrText xml:space="preserve">  \* </w:instrText>
          </w:r>
          <w:r>
            <w:instrText>MERGEFORMAT</w:instrText>
          </w:r>
          <w:r>
            <w:fldChar w:fldCharType="separate"/>
          </w:r>
          <w:r>
            <w:rPr>
              <w:b/>
              <w:bCs/>
              <w:noProof/>
              <w:lang w:val="ru-RU"/>
            </w:rPr>
            <w:t>Ошибка! Используйте вкладку "Главная" для применения Title к тексту, который должен здесь отображаться.</w:t>
          </w:r>
          <w:r>
            <w:rPr>
              <w:noProof/>
            </w:rPr>
            <w:fldChar w:fldCharType="end"/>
          </w:r>
          <w:r w:rsidRPr="00E341B6">
            <w:rPr>
              <w:noProof/>
              <w:lang w:val="ru-RU"/>
            </w:rPr>
            <w:t xml:space="preserve"> </w:t>
          </w:r>
          <w:r w:rsidRPr="00933056">
            <w:rPr>
              <w:noProof/>
              <w:lang w:val="ru-RU"/>
            </w:rPr>
            <w:t xml:space="preserve">– </w:t>
          </w:r>
          <w:r>
            <w:rPr>
              <w:noProof/>
            </w:rPr>
            <w:t>Tailored</w:t>
          </w:r>
          <w:r w:rsidRPr="00933056">
            <w:rPr>
              <w:noProof/>
              <w:lang w:val="ru-RU"/>
            </w:rPr>
            <w:t xml:space="preserve"> </w:t>
          </w:r>
          <w:r>
            <w:rPr>
              <w:noProof/>
            </w:rPr>
            <w:t>for</w:t>
          </w:r>
          <w:r w:rsidRPr="00933056">
            <w:rPr>
              <w:noProof/>
              <w:lang w:val="ru-RU"/>
            </w:rPr>
            <w:t xml:space="preserve"> </w:t>
          </w:r>
          <w:r>
            <w:rPr>
              <w:noProof/>
            </w:rPr>
            <w:t>Focused</w:t>
          </w:r>
          <w:r w:rsidRPr="00933056">
            <w:rPr>
              <w:noProof/>
              <w:lang w:val="ru-RU"/>
            </w:rPr>
            <w:t xml:space="preserve"> </w:t>
          </w:r>
          <w:r>
            <w:rPr>
              <w:noProof/>
            </w:rPr>
            <w:t>Portfolios</w:t>
          </w:r>
        </w:p>
      </w:tc>
    </w:tr>
  </w:tbl>
  <w:p w14:paraId="6DBA35C2" w14:textId="77777777" w:rsidR="00A26916" w:rsidRPr="00933056" w:rsidRDefault="00A26916">
    <w:pPr>
      <w:pStyle w:val="afa"/>
      <w:rPr>
        <w:lang w:val="ru-RU"/>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Plain"/>
      <w:tblpPr w:leftFromText="181" w:rightFromText="181" w:vertAnchor="page" w:tblpY="15140"/>
      <w:tblOverlap w:val="never"/>
      <w:tblW w:w="10204" w:type="dxa"/>
      <w:tblLook w:val="04A0" w:firstRow="1" w:lastRow="0" w:firstColumn="1" w:lastColumn="0" w:noHBand="0" w:noVBand="1"/>
    </w:tblPr>
    <w:tblGrid>
      <w:gridCol w:w="5102"/>
      <w:gridCol w:w="5102"/>
    </w:tblGrid>
    <w:tr w:rsidR="00A26916" w14:paraId="549010BC" w14:textId="77777777" w:rsidTr="00F83EB1">
      <w:tc>
        <w:tcPr>
          <w:tcW w:w="5102" w:type="dxa"/>
          <w:tcBorders>
            <w:top w:val="single" w:sz="4" w:space="0" w:color="auto"/>
          </w:tcBorders>
        </w:tcPr>
        <w:p w14:paraId="78088178" w14:textId="5DF22CF0" w:rsidR="00A26916" w:rsidRDefault="00A26916" w:rsidP="005266C8">
          <w:pPr>
            <w:pStyle w:val="afa"/>
          </w:pPr>
        </w:p>
      </w:tc>
      <w:tc>
        <w:tcPr>
          <w:tcW w:w="5102" w:type="dxa"/>
          <w:tcBorders>
            <w:top w:val="single" w:sz="4" w:space="0" w:color="auto"/>
          </w:tcBorders>
        </w:tcPr>
        <w:p w14:paraId="795BDF3D" w14:textId="77777777" w:rsidR="00A26916" w:rsidRDefault="00A26916" w:rsidP="005266C8">
          <w:pPr>
            <w:pStyle w:val="PageNo"/>
          </w:pPr>
        </w:p>
      </w:tc>
    </w:tr>
    <w:tr w:rsidR="00A26916" w14:paraId="73A57512" w14:textId="77777777" w:rsidTr="00F83EB1">
      <w:sdt>
        <w:sdtPr>
          <w:alias w:val="Form.DocLang.Logo_horizontal"/>
          <w:tag w:val="{&quot;templafy&quot;:{&quot;id&quot;:&quot;aa521240-03a2-4021-b98d-f2768856db37&quot;}}"/>
          <w:id w:val="549195250"/>
          <w:picture/>
        </w:sdtPr>
        <w:sdtContent>
          <w:tc>
            <w:tcPr>
              <w:tcW w:w="5102" w:type="dxa"/>
              <w:vAlign w:val="bottom"/>
            </w:tcPr>
            <w:p w14:paraId="35DED397" w14:textId="77777777" w:rsidR="00A26916" w:rsidRDefault="00A26916" w:rsidP="005266C8">
              <w:pPr>
                <w:pStyle w:val="afa"/>
              </w:pPr>
              <w:r>
                <w:rPr>
                  <w:noProof/>
                  <w:lang w:val="ru-RU" w:eastAsia="ru-RU"/>
                </w:rPr>
                <w:drawing>
                  <wp:inline distT="0" distB="0" distL="0" distR="0" wp14:anchorId="36A15C7D" wp14:editId="6765FF13">
                    <wp:extent cx="1620259" cy="15228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765346555" name="Picture 4"/>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406812C9" w14:textId="77777777" w:rsidR="00A26916" w:rsidRDefault="00A26916" w:rsidP="005266C8">
          <w:pPr>
            <w:pStyle w:val="PageNo"/>
          </w:pPr>
          <w:r>
            <w:t xml:space="preserve">Page </w:t>
          </w:r>
          <w:r>
            <w:fldChar w:fldCharType="begin"/>
          </w:r>
          <w:r>
            <w:instrText xml:space="preserve"> PAGE  \* Arabic  \* MERGEFORMAT </w:instrText>
          </w:r>
          <w:r>
            <w:fldChar w:fldCharType="separate"/>
          </w:r>
          <w:r>
            <w:t>10</w:t>
          </w:r>
          <w:r>
            <w:fldChar w:fldCharType="end"/>
          </w:r>
          <w:r>
            <w:t xml:space="preserve"> of </w:t>
          </w:r>
          <w:r>
            <w:rPr>
              <w:noProof/>
            </w:rPr>
            <w:fldChar w:fldCharType="begin"/>
          </w:r>
          <w:r>
            <w:rPr>
              <w:noProof/>
            </w:rPr>
            <w:instrText>NUMPAGES  \* Arabic  \* MERGEFORMAT</w:instrText>
          </w:r>
          <w:r>
            <w:rPr>
              <w:noProof/>
            </w:rPr>
            <w:fldChar w:fldCharType="separate"/>
          </w:r>
          <w:r>
            <w:rPr>
              <w:noProof/>
            </w:rPr>
            <w:t>8</w:t>
          </w:r>
          <w:r>
            <w:rPr>
              <w:noProof/>
            </w:rPr>
            <w:fldChar w:fldCharType="end"/>
          </w:r>
        </w:p>
      </w:tc>
    </w:tr>
    <w:tr w:rsidR="00A26916" w:rsidRPr="00A26916" w14:paraId="3324C455" w14:textId="77777777" w:rsidTr="009A015B">
      <w:trPr>
        <w:trHeight w:val="454"/>
      </w:trPr>
      <w:tc>
        <w:tcPr>
          <w:tcW w:w="5102" w:type="dxa"/>
          <w:vAlign w:val="center"/>
        </w:tcPr>
        <w:p w14:paraId="2D891B64" w14:textId="657821D2" w:rsidR="00A26916" w:rsidRPr="00933056" w:rsidRDefault="00A26916" w:rsidP="009A015B">
          <w:pPr>
            <w:pStyle w:val="afa"/>
            <w:rPr>
              <w:lang w:val="ru-RU"/>
            </w:rPr>
          </w:pPr>
          <w:r>
            <w:fldChar w:fldCharType="begin"/>
          </w:r>
          <w:r>
            <w:instrText>STYLEREF</w:instrText>
          </w:r>
          <w:r w:rsidRPr="004E5CD1">
            <w:rPr>
              <w:lang w:val="ru-RU"/>
            </w:rPr>
            <w:instrText xml:space="preserve">  </w:instrText>
          </w:r>
          <w:r>
            <w:instrText>Title</w:instrText>
          </w:r>
          <w:r w:rsidRPr="004E5CD1">
            <w:rPr>
              <w:lang w:val="ru-RU"/>
            </w:rPr>
            <w:instrText xml:space="preserve">  \* </w:instrText>
          </w:r>
          <w:r>
            <w:instrText>MERGEFORMAT</w:instrText>
          </w:r>
          <w:r>
            <w:fldChar w:fldCharType="separate"/>
          </w:r>
          <w:r w:rsidRPr="00283814">
            <w:rPr>
              <w:b/>
              <w:bCs/>
              <w:noProof/>
              <w:lang w:val="ru-RU"/>
            </w:rPr>
            <w:t>Форма заявки на финансирование</w:t>
          </w:r>
          <w:r>
            <w:rPr>
              <w:noProof/>
            </w:rPr>
            <w:fldChar w:fldCharType="end"/>
          </w:r>
          <w:r w:rsidRPr="004E5CD1">
            <w:rPr>
              <w:noProof/>
              <w:lang w:val="ru-RU"/>
            </w:rPr>
            <w:t xml:space="preserve"> </w:t>
          </w:r>
          <w:r w:rsidRPr="00933056">
            <w:rPr>
              <w:noProof/>
              <w:lang w:val="ru-RU"/>
            </w:rPr>
            <w:t xml:space="preserve">– </w:t>
          </w:r>
          <w:r>
            <w:rPr>
              <w:noProof/>
            </w:rPr>
            <w:t>Tailored</w:t>
          </w:r>
          <w:r w:rsidRPr="00933056">
            <w:rPr>
              <w:noProof/>
              <w:lang w:val="ru-RU"/>
            </w:rPr>
            <w:t xml:space="preserve"> </w:t>
          </w:r>
          <w:r>
            <w:rPr>
              <w:noProof/>
            </w:rPr>
            <w:t>for</w:t>
          </w:r>
          <w:r w:rsidRPr="00933056">
            <w:rPr>
              <w:noProof/>
              <w:lang w:val="ru-RU"/>
            </w:rPr>
            <w:t xml:space="preserve"> </w:t>
          </w:r>
          <w:r>
            <w:rPr>
              <w:noProof/>
            </w:rPr>
            <w:t>Focused</w:t>
          </w:r>
          <w:r w:rsidRPr="00933056">
            <w:rPr>
              <w:noProof/>
              <w:lang w:val="ru-RU"/>
            </w:rPr>
            <w:t xml:space="preserve"> </w:t>
          </w:r>
          <w:r>
            <w:rPr>
              <w:noProof/>
            </w:rPr>
            <w:t>Portfolios</w:t>
          </w:r>
        </w:p>
      </w:tc>
      <w:tc>
        <w:tcPr>
          <w:tcW w:w="5102" w:type="dxa"/>
          <w:vAlign w:val="bottom"/>
        </w:tcPr>
        <w:p w14:paraId="7FEC9BDF" w14:textId="77777777" w:rsidR="00A26916" w:rsidRPr="00933056" w:rsidRDefault="00A26916" w:rsidP="005266C8">
          <w:pPr>
            <w:pStyle w:val="PageNo"/>
            <w:rPr>
              <w:lang w:val="ru-RU"/>
            </w:rPr>
          </w:pPr>
        </w:p>
      </w:tc>
    </w:tr>
  </w:tbl>
  <w:p w14:paraId="248CB058" w14:textId="77777777" w:rsidR="00A26916" w:rsidRPr="00933056" w:rsidRDefault="00A26916" w:rsidP="003A71E7">
    <w:pPr>
      <w:pStyle w:val="TableSpaceAfter"/>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Plain"/>
      <w:tblpPr w:leftFromText="181" w:rightFromText="181" w:vertAnchor="page" w:horzAnchor="page" w:tblpX="876" w:tblpY="15140"/>
      <w:tblOverlap w:val="never"/>
      <w:tblW w:w="10170" w:type="dxa"/>
      <w:tblLook w:val="04A0" w:firstRow="1" w:lastRow="0" w:firstColumn="1" w:lastColumn="0" w:noHBand="0" w:noVBand="1"/>
    </w:tblPr>
    <w:tblGrid>
      <w:gridCol w:w="3200"/>
      <w:gridCol w:w="3067"/>
      <w:gridCol w:w="3903"/>
    </w:tblGrid>
    <w:tr w:rsidR="00A26916" w14:paraId="59C1AEB9" w14:textId="77777777" w:rsidTr="00E90762">
      <w:trPr>
        <w:trHeight w:val="325"/>
      </w:trPr>
      <w:tc>
        <w:tcPr>
          <w:tcW w:w="3200" w:type="dxa"/>
          <w:tcBorders>
            <w:top w:val="single" w:sz="4" w:space="0" w:color="auto"/>
          </w:tcBorders>
        </w:tcPr>
        <w:p w14:paraId="6A1C6DA9" w14:textId="77777777" w:rsidR="00A26916" w:rsidRDefault="00A26916" w:rsidP="006153F0">
          <w:pPr>
            <w:pStyle w:val="afa"/>
            <w:ind w:left="-284"/>
          </w:pPr>
        </w:p>
      </w:tc>
      <w:tc>
        <w:tcPr>
          <w:tcW w:w="3067" w:type="dxa"/>
          <w:tcBorders>
            <w:top w:val="single" w:sz="4" w:space="0" w:color="auto"/>
          </w:tcBorders>
        </w:tcPr>
        <w:p w14:paraId="5FA7EED8" w14:textId="77777777" w:rsidR="00A26916" w:rsidRDefault="00A26916" w:rsidP="006153F0">
          <w:pPr>
            <w:pStyle w:val="PageNo"/>
          </w:pPr>
        </w:p>
      </w:tc>
      <w:tc>
        <w:tcPr>
          <w:tcW w:w="3903" w:type="dxa"/>
          <w:tcBorders>
            <w:top w:val="single" w:sz="4" w:space="0" w:color="auto"/>
          </w:tcBorders>
          <w:vAlign w:val="bottom"/>
        </w:tcPr>
        <w:p w14:paraId="4882B760" w14:textId="77777777" w:rsidR="00A26916" w:rsidRDefault="00A26916" w:rsidP="006153F0">
          <w:pPr>
            <w:pStyle w:val="PageNo"/>
          </w:pPr>
        </w:p>
      </w:tc>
    </w:tr>
    <w:tr w:rsidR="00A26916" w14:paraId="0C567A8B" w14:textId="77777777" w:rsidTr="00E90762">
      <w:trPr>
        <w:trHeight w:val="325"/>
      </w:trPr>
      <w:tc>
        <w:tcPr>
          <w:tcW w:w="3200" w:type="dxa"/>
          <w:vAlign w:val="bottom"/>
        </w:tcPr>
        <w:p w14:paraId="7658C8AB" w14:textId="77777777" w:rsidR="00A26916" w:rsidRDefault="00A26916" w:rsidP="006153F0">
          <w:pPr>
            <w:pStyle w:val="afa"/>
          </w:pPr>
        </w:p>
        <w:p w14:paraId="471743AE" w14:textId="77777777" w:rsidR="00A26916" w:rsidRDefault="00A26916" w:rsidP="006153F0">
          <w:pPr>
            <w:pStyle w:val="afa"/>
          </w:pPr>
          <w:r>
            <w:rPr>
              <w:noProof/>
              <w:lang w:val="ru-RU" w:eastAsia="ru-RU"/>
            </w:rPr>
            <w:drawing>
              <wp:inline distT="0" distB="0" distL="0" distR="0" wp14:anchorId="45FB3E5A" wp14:editId="5293D198">
                <wp:extent cx="1620259" cy="152280"/>
                <wp:effectExtent l="0" t="0" r="0" b="0"/>
                <wp:docPr id="8" name="Picture 4"/>
                <wp:cNvGraphicFramePr/>
                <a:graphic xmlns:a="http://schemas.openxmlformats.org/drawingml/2006/main">
                  <a:graphicData uri="http://schemas.openxmlformats.org/drawingml/2006/picture">
                    <pic:pic xmlns:pic="http://schemas.openxmlformats.org/drawingml/2006/picture">
                      <pic:nvPicPr>
                        <pic:cNvPr id="1711164979" name="Picture 4"/>
                        <pic:cNvPicPr/>
                      </pic:nvPicPr>
                      <pic:blipFill>
                        <a:blip r:embed="rId1"/>
                        <a:srcRect/>
                        <a:stretch/>
                      </pic:blipFill>
                      <pic:spPr>
                        <a:xfrm>
                          <a:off x="0" y="0"/>
                          <a:ext cx="1620259" cy="152280"/>
                        </a:xfrm>
                        <a:prstGeom prst="rect">
                          <a:avLst/>
                        </a:prstGeom>
                      </pic:spPr>
                    </pic:pic>
                  </a:graphicData>
                </a:graphic>
              </wp:inline>
            </w:drawing>
          </w:r>
        </w:p>
      </w:tc>
      <w:tc>
        <w:tcPr>
          <w:tcW w:w="3067" w:type="dxa"/>
          <w:vAlign w:val="bottom"/>
        </w:tcPr>
        <w:p w14:paraId="628C31EA" w14:textId="77777777" w:rsidR="00A26916" w:rsidRDefault="00A26916" w:rsidP="006153F0">
          <w:pPr>
            <w:pStyle w:val="PageNo"/>
          </w:pPr>
        </w:p>
      </w:tc>
      <w:tc>
        <w:tcPr>
          <w:tcW w:w="3903" w:type="dxa"/>
          <w:vAlign w:val="bottom"/>
        </w:tcPr>
        <w:p w14:paraId="3763D7B1" w14:textId="230F3060" w:rsidR="00A26916" w:rsidRDefault="00A26916" w:rsidP="006153F0">
          <w:pPr>
            <w:pStyle w:val="PageNo"/>
          </w:pPr>
          <w:r>
            <w:rPr>
              <w:lang w:val="ru-RU"/>
            </w:rPr>
            <w:t>Страница</w:t>
          </w:r>
          <w:r>
            <w:t xml:space="preserve"> </w:t>
          </w:r>
          <w:r>
            <w:fldChar w:fldCharType="begin"/>
          </w:r>
          <w:r>
            <w:instrText xml:space="preserve"> PAGE  \* Arabic  \* MERGEFORMAT </w:instrText>
          </w:r>
          <w:r>
            <w:fldChar w:fldCharType="separate"/>
          </w:r>
          <w:r w:rsidR="00AF22CF">
            <w:rPr>
              <w:noProof/>
            </w:rPr>
            <w:t>1</w:t>
          </w:r>
          <w:r>
            <w:fldChar w:fldCharType="end"/>
          </w:r>
          <w:r>
            <w:t xml:space="preserve"> </w:t>
          </w:r>
          <w:r>
            <w:rPr>
              <w:lang w:val="ru-RU"/>
            </w:rPr>
            <w:t>из</w:t>
          </w:r>
          <w:r>
            <w:t xml:space="preserve"> </w:t>
          </w:r>
          <w:r>
            <w:rPr>
              <w:noProof/>
            </w:rPr>
            <w:fldChar w:fldCharType="begin"/>
          </w:r>
          <w:r>
            <w:rPr>
              <w:noProof/>
            </w:rPr>
            <w:instrText>NUMPAGES  \* Arabic  \* MERGEFORMAT</w:instrText>
          </w:r>
          <w:r>
            <w:rPr>
              <w:noProof/>
            </w:rPr>
            <w:fldChar w:fldCharType="separate"/>
          </w:r>
          <w:r w:rsidR="00AF22CF">
            <w:rPr>
              <w:noProof/>
            </w:rPr>
            <w:t>75</w:t>
          </w:r>
          <w:r>
            <w:rPr>
              <w:noProof/>
            </w:rPr>
            <w:fldChar w:fldCharType="end"/>
          </w:r>
        </w:p>
      </w:tc>
    </w:tr>
    <w:tr w:rsidR="00A26916" w:rsidRPr="00A26916" w14:paraId="7AD484E5" w14:textId="77777777" w:rsidTr="00E90762">
      <w:trPr>
        <w:trHeight w:val="589"/>
      </w:trPr>
      <w:tc>
        <w:tcPr>
          <w:tcW w:w="3200" w:type="dxa"/>
        </w:tcPr>
        <w:p w14:paraId="6CA7E6C8" w14:textId="77777777" w:rsidR="00A26916" w:rsidRPr="004E5CD1" w:rsidRDefault="00A26916" w:rsidP="006153F0">
          <w:pPr>
            <w:pStyle w:val="afa"/>
            <w:rPr>
              <w:lang w:val="ru-RU"/>
            </w:rPr>
          </w:pPr>
        </w:p>
        <w:p w14:paraId="004D8105" w14:textId="2C234702" w:rsidR="00A26916" w:rsidRPr="00F30AE3" w:rsidRDefault="00A26916" w:rsidP="006153F0">
          <w:pPr>
            <w:pStyle w:val="afa"/>
            <w:rPr>
              <w:noProof/>
              <w:lang w:val="ru-RU"/>
            </w:rPr>
          </w:pPr>
          <w:r>
            <w:rPr>
              <w:lang w:val="ru-RU"/>
            </w:rPr>
            <w:t>Форма</w:t>
          </w:r>
          <w:r w:rsidRPr="00F30AE3">
            <w:rPr>
              <w:lang w:val="ru-RU"/>
            </w:rPr>
            <w:t xml:space="preserve"> </w:t>
          </w:r>
          <w:r>
            <w:rPr>
              <w:lang w:val="ru-RU"/>
            </w:rPr>
            <w:t>заявки</w:t>
          </w:r>
          <w:r w:rsidRPr="00F30AE3">
            <w:rPr>
              <w:lang w:val="ru-RU"/>
            </w:rPr>
            <w:t xml:space="preserve"> </w:t>
          </w:r>
          <w:r>
            <w:rPr>
              <w:lang w:val="ru-RU"/>
            </w:rPr>
            <w:t>для</w:t>
          </w:r>
          <w:r w:rsidRPr="00F30AE3">
            <w:rPr>
              <w:lang w:val="ru-RU"/>
            </w:rPr>
            <w:t xml:space="preserve"> </w:t>
          </w:r>
          <w:r>
            <w:rPr>
              <w:lang w:val="ru-RU"/>
            </w:rPr>
            <w:t>целевых</w:t>
          </w:r>
          <w:r w:rsidRPr="00F30AE3">
            <w:rPr>
              <w:lang w:val="ru-RU"/>
            </w:rPr>
            <w:t xml:space="preserve"> </w:t>
          </w:r>
          <w:r>
            <w:rPr>
              <w:lang w:val="ru-RU"/>
            </w:rPr>
            <w:t>портфелей</w:t>
          </w:r>
          <w:r w:rsidRPr="00F30AE3">
            <w:rPr>
              <w:lang w:val="ru-RU"/>
            </w:rPr>
            <w:t xml:space="preserve"> </w:t>
          </w:r>
          <w:r>
            <w:t>Form</w:t>
          </w:r>
          <w:r w:rsidRPr="00F30AE3">
            <w:rPr>
              <w:lang w:val="ru-RU"/>
            </w:rPr>
            <w:br/>
          </w:r>
          <w:r>
            <w:rPr>
              <w:lang w:val="ru-RU"/>
            </w:rPr>
            <w:t>Выпущена в</w:t>
          </w:r>
          <w:r w:rsidRPr="00F30AE3">
            <w:rPr>
              <w:lang w:val="ru-RU"/>
            </w:rPr>
            <w:t xml:space="preserve"> </w:t>
          </w:r>
          <w:r>
            <w:rPr>
              <w:lang w:val="ru-RU"/>
            </w:rPr>
            <w:t>ноябре 2022 года</w:t>
          </w:r>
        </w:p>
        <w:p w14:paraId="385B41C2" w14:textId="77777777" w:rsidR="00A26916" w:rsidRPr="00F30AE3" w:rsidRDefault="00A26916" w:rsidP="006153F0">
          <w:pPr>
            <w:pStyle w:val="afa"/>
            <w:rPr>
              <w:lang w:val="ru-RU"/>
            </w:rPr>
          </w:pPr>
        </w:p>
      </w:tc>
      <w:tc>
        <w:tcPr>
          <w:tcW w:w="3067" w:type="dxa"/>
          <w:vAlign w:val="bottom"/>
        </w:tcPr>
        <w:p w14:paraId="1FF67803" w14:textId="77777777" w:rsidR="00A26916" w:rsidRPr="00F30AE3" w:rsidRDefault="00A26916" w:rsidP="006153F0">
          <w:pPr>
            <w:pStyle w:val="PageNo"/>
            <w:rPr>
              <w:lang w:val="ru-RU"/>
            </w:rPr>
          </w:pPr>
        </w:p>
      </w:tc>
      <w:tc>
        <w:tcPr>
          <w:tcW w:w="3903" w:type="dxa"/>
          <w:vAlign w:val="bottom"/>
        </w:tcPr>
        <w:p w14:paraId="4D66C65C" w14:textId="77777777" w:rsidR="00A26916" w:rsidRPr="00F30AE3" w:rsidRDefault="00A26916" w:rsidP="006153F0">
          <w:pPr>
            <w:pStyle w:val="PageNo"/>
            <w:rPr>
              <w:lang w:val="ru-RU"/>
            </w:rPr>
          </w:pPr>
        </w:p>
      </w:tc>
    </w:tr>
  </w:tbl>
  <w:p w14:paraId="32247D67" w14:textId="77777777" w:rsidR="00A26916" w:rsidRPr="00F30AE3" w:rsidRDefault="00A26916">
    <w:pPr>
      <w:pStyle w:val="afa"/>
      <w:rPr>
        <w:lang w:val="ru-RU"/>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Plain"/>
      <w:tblpPr w:leftFromText="181" w:rightFromText="181" w:vertAnchor="page" w:tblpY="15140"/>
      <w:tblOverlap w:val="never"/>
      <w:tblW w:w="10204" w:type="dxa"/>
      <w:tblLook w:val="04A0" w:firstRow="1" w:lastRow="0" w:firstColumn="1" w:lastColumn="0" w:noHBand="0" w:noVBand="1"/>
    </w:tblPr>
    <w:tblGrid>
      <w:gridCol w:w="5102"/>
      <w:gridCol w:w="5102"/>
    </w:tblGrid>
    <w:tr w:rsidR="00A26916" w14:paraId="6E1B43E8" w14:textId="77777777" w:rsidTr="00F83EB1">
      <w:tc>
        <w:tcPr>
          <w:tcW w:w="5102" w:type="dxa"/>
          <w:tcBorders>
            <w:top w:val="single" w:sz="4" w:space="0" w:color="auto"/>
          </w:tcBorders>
        </w:tcPr>
        <w:p w14:paraId="31F7157C" w14:textId="40F93832" w:rsidR="00A26916" w:rsidRDefault="00A26916" w:rsidP="005266C8">
          <w:pPr>
            <w:pStyle w:val="afa"/>
          </w:pPr>
        </w:p>
      </w:tc>
      <w:tc>
        <w:tcPr>
          <w:tcW w:w="5102" w:type="dxa"/>
          <w:tcBorders>
            <w:top w:val="single" w:sz="4" w:space="0" w:color="auto"/>
          </w:tcBorders>
        </w:tcPr>
        <w:p w14:paraId="6F000060" w14:textId="77777777" w:rsidR="00A26916" w:rsidRDefault="00A26916" w:rsidP="005266C8">
          <w:pPr>
            <w:pStyle w:val="PageNo"/>
          </w:pPr>
        </w:p>
      </w:tc>
    </w:tr>
    <w:tr w:rsidR="00A26916" w14:paraId="0DE0C068" w14:textId="77777777" w:rsidTr="00F83EB1">
      <w:sdt>
        <w:sdtPr>
          <w:alias w:val="Form.DocLang.Logo_horizontal"/>
          <w:tag w:val="{&quot;templafy&quot;:{&quot;id&quot;:&quot;aa521240-03a2-4021-b98d-f2768856db37&quot;}}"/>
          <w:id w:val="1050741473"/>
          <w:picture/>
        </w:sdtPr>
        <w:sdtContent>
          <w:tc>
            <w:tcPr>
              <w:tcW w:w="5102" w:type="dxa"/>
              <w:vAlign w:val="bottom"/>
            </w:tcPr>
            <w:p w14:paraId="2708FDD0" w14:textId="77777777" w:rsidR="00A26916" w:rsidRDefault="00A26916" w:rsidP="005266C8">
              <w:pPr>
                <w:pStyle w:val="afa"/>
              </w:pPr>
              <w:r>
                <w:rPr>
                  <w:noProof/>
                  <w:lang w:val="ru-RU" w:eastAsia="ru-RU"/>
                </w:rPr>
                <w:drawing>
                  <wp:inline distT="0" distB="0" distL="0" distR="0" wp14:anchorId="24906449" wp14:editId="52641631">
                    <wp:extent cx="1620259" cy="15228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765346555" name="Picture 4"/>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1EFDE902" w14:textId="1E769DA7" w:rsidR="00A26916" w:rsidRDefault="00A26916" w:rsidP="005266C8">
          <w:pPr>
            <w:pStyle w:val="PageNo"/>
          </w:pPr>
          <w:r>
            <w:t xml:space="preserve">Page </w:t>
          </w:r>
          <w:r>
            <w:fldChar w:fldCharType="begin"/>
          </w:r>
          <w:r>
            <w:instrText xml:space="preserve"> PAGE  \* Arabic  \* MERGEFORMAT </w:instrText>
          </w:r>
          <w:r>
            <w:fldChar w:fldCharType="separate"/>
          </w:r>
          <w:r w:rsidR="00AF22CF">
            <w:rPr>
              <w:noProof/>
            </w:rPr>
            <w:t>39</w:t>
          </w:r>
          <w:r>
            <w:fldChar w:fldCharType="end"/>
          </w:r>
          <w:r>
            <w:t xml:space="preserve"> of </w:t>
          </w:r>
          <w:r>
            <w:rPr>
              <w:noProof/>
            </w:rPr>
            <w:fldChar w:fldCharType="begin"/>
          </w:r>
          <w:r>
            <w:rPr>
              <w:noProof/>
            </w:rPr>
            <w:instrText>NUMPAGES  \* Arabic  \* MERGEFORMAT</w:instrText>
          </w:r>
          <w:r>
            <w:rPr>
              <w:noProof/>
            </w:rPr>
            <w:fldChar w:fldCharType="separate"/>
          </w:r>
          <w:r w:rsidR="00AF22CF">
            <w:rPr>
              <w:noProof/>
            </w:rPr>
            <w:t>75</w:t>
          </w:r>
          <w:r>
            <w:rPr>
              <w:noProof/>
            </w:rPr>
            <w:fldChar w:fldCharType="end"/>
          </w:r>
        </w:p>
      </w:tc>
    </w:tr>
    <w:tr w:rsidR="00A26916" w:rsidRPr="00283814" w14:paraId="63B2CF38" w14:textId="77777777" w:rsidTr="009A015B">
      <w:trPr>
        <w:trHeight w:val="454"/>
      </w:trPr>
      <w:tc>
        <w:tcPr>
          <w:tcW w:w="5102" w:type="dxa"/>
          <w:vAlign w:val="center"/>
        </w:tcPr>
        <w:p w14:paraId="0241FE9F" w14:textId="34E7B53D" w:rsidR="00A26916" w:rsidRPr="00933056" w:rsidRDefault="00A26916" w:rsidP="009A015B">
          <w:pPr>
            <w:pStyle w:val="afa"/>
            <w:rPr>
              <w:lang w:val="ru-RU"/>
            </w:rPr>
          </w:pPr>
          <w:r>
            <w:fldChar w:fldCharType="begin"/>
          </w:r>
          <w:r>
            <w:instrText>STYLEREF</w:instrText>
          </w:r>
          <w:r w:rsidRPr="001D7801">
            <w:rPr>
              <w:lang w:val="ru-RU"/>
            </w:rPr>
            <w:instrText xml:space="preserve">  </w:instrText>
          </w:r>
          <w:r>
            <w:instrText>Title</w:instrText>
          </w:r>
          <w:r w:rsidRPr="001D7801">
            <w:rPr>
              <w:lang w:val="ru-RU"/>
            </w:rPr>
            <w:instrText xml:space="preserve">  \* </w:instrText>
          </w:r>
          <w:r>
            <w:instrText>MERGEFORMAT</w:instrText>
          </w:r>
          <w:r>
            <w:fldChar w:fldCharType="separate"/>
          </w:r>
          <w:r w:rsidR="00AF22CF">
            <w:rPr>
              <w:b/>
              <w:bCs/>
              <w:noProof/>
              <w:lang w:val="ru-RU"/>
            </w:rPr>
            <w:t>Ошибка! Используйте вкладку "Главная" для применения Title к тексту, который должен здесь отображаться.</w:t>
          </w:r>
          <w:r>
            <w:rPr>
              <w:noProof/>
            </w:rPr>
            <w:fldChar w:fldCharType="end"/>
          </w:r>
          <w:r w:rsidRPr="00E341B6">
            <w:rPr>
              <w:noProof/>
              <w:lang w:val="ru-RU"/>
            </w:rPr>
            <w:t xml:space="preserve"> </w:t>
          </w:r>
          <w:r w:rsidRPr="00933056">
            <w:rPr>
              <w:noProof/>
              <w:lang w:val="ru-RU"/>
            </w:rPr>
            <w:t xml:space="preserve">– </w:t>
          </w:r>
          <w:r>
            <w:rPr>
              <w:noProof/>
            </w:rPr>
            <w:t>Tailored</w:t>
          </w:r>
          <w:r w:rsidRPr="00933056">
            <w:rPr>
              <w:noProof/>
              <w:lang w:val="ru-RU"/>
            </w:rPr>
            <w:t xml:space="preserve"> </w:t>
          </w:r>
          <w:r>
            <w:rPr>
              <w:noProof/>
            </w:rPr>
            <w:t>for</w:t>
          </w:r>
          <w:r w:rsidRPr="00933056">
            <w:rPr>
              <w:noProof/>
              <w:lang w:val="ru-RU"/>
            </w:rPr>
            <w:t xml:space="preserve"> </w:t>
          </w:r>
          <w:r>
            <w:rPr>
              <w:noProof/>
            </w:rPr>
            <w:t>Focused</w:t>
          </w:r>
          <w:r w:rsidRPr="00933056">
            <w:rPr>
              <w:noProof/>
              <w:lang w:val="ru-RU"/>
            </w:rPr>
            <w:t xml:space="preserve"> </w:t>
          </w:r>
          <w:r>
            <w:rPr>
              <w:noProof/>
            </w:rPr>
            <w:t>Portfolios</w:t>
          </w:r>
        </w:p>
      </w:tc>
      <w:tc>
        <w:tcPr>
          <w:tcW w:w="5102" w:type="dxa"/>
          <w:vAlign w:val="bottom"/>
        </w:tcPr>
        <w:p w14:paraId="38D1CD03" w14:textId="77777777" w:rsidR="00A26916" w:rsidRPr="00933056" w:rsidRDefault="00A26916" w:rsidP="005266C8">
          <w:pPr>
            <w:pStyle w:val="PageNo"/>
            <w:rPr>
              <w:lang w:val="ru-RU"/>
            </w:rPr>
          </w:pPr>
        </w:p>
      </w:tc>
    </w:tr>
  </w:tbl>
  <w:p w14:paraId="58DE74E3" w14:textId="77777777" w:rsidR="00A26916" w:rsidRPr="00933056" w:rsidRDefault="00A26916" w:rsidP="003A71E7">
    <w:pPr>
      <w:pStyle w:val="TableSpaceAfter"/>
      <w:rPr>
        <w:lang w:val="ru-RU"/>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Plain"/>
      <w:tblpPr w:leftFromText="181" w:rightFromText="181" w:vertAnchor="page" w:tblpY="15140"/>
      <w:tblOverlap w:val="never"/>
      <w:tblW w:w="10204" w:type="dxa"/>
      <w:tblLook w:val="04A0" w:firstRow="1" w:lastRow="0" w:firstColumn="1" w:lastColumn="0" w:noHBand="0" w:noVBand="1"/>
    </w:tblPr>
    <w:tblGrid>
      <w:gridCol w:w="5102"/>
      <w:gridCol w:w="5102"/>
    </w:tblGrid>
    <w:tr w:rsidR="00A26916" w14:paraId="6FFD4589" w14:textId="77777777" w:rsidTr="00F83EB1">
      <w:tc>
        <w:tcPr>
          <w:tcW w:w="5102" w:type="dxa"/>
          <w:tcBorders>
            <w:top w:val="single" w:sz="4" w:space="0" w:color="auto"/>
          </w:tcBorders>
        </w:tcPr>
        <w:p w14:paraId="4079ABE2" w14:textId="77777777" w:rsidR="00A26916" w:rsidRDefault="00A26916" w:rsidP="005D11A0">
          <w:pPr>
            <w:pStyle w:val="afa"/>
          </w:pPr>
        </w:p>
      </w:tc>
      <w:tc>
        <w:tcPr>
          <w:tcW w:w="5102" w:type="dxa"/>
          <w:tcBorders>
            <w:top w:val="single" w:sz="4" w:space="0" w:color="auto"/>
          </w:tcBorders>
        </w:tcPr>
        <w:p w14:paraId="16C3C8DB" w14:textId="77777777" w:rsidR="00A26916" w:rsidRDefault="00A26916" w:rsidP="005D11A0">
          <w:pPr>
            <w:pStyle w:val="PageNo"/>
          </w:pPr>
        </w:p>
      </w:tc>
    </w:tr>
    <w:tr w:rsidR="00A26916" w14:paraId="4E7E3599" w14:textId="77777777" w:rsidTr="00001F81">
      <w:trPr>
        <w:trHeight w:val="708"/>
      </w:trPr>
      <w:tc>
        <w:tcPr>
          <w:tcW w:w="5102" w:type="dxa"/>
        </w:tcPr>
        <w:p w14:paraId="626179A6" w14:textId="389C27A2" w:rsidR="00A26916" w:rsidRPr="00F66794" w:rsidRDefault="00A26916" w:rsidP="00920AB2">
          <w:pPr>
            <w:pStyle w:val="afa"/>
            <w:rPr>
              <w:noProof/>
              <w:lang w:val="ru-RU"/>
            </w:rPr>
          </w:pPr>
          <w:r>
            <w:fldChar w:fldCharType="begin"/>
          </w:r>
          <w:r>
            <w:instrText>STYLEREF</w:instrText>
          </w:r>
          <w:r w:rsidRPr="00F66794">
            <w:rPr>
              <w:lang w:val="ru-RU"/>
            </w:rPr>
            <w:instrText xml:space="preserve">  </w:instrText>
          </w:r>
          <w:r>
            <w:instrText>Title</w:instrText>
          </w:r>
          <w:r w:rsidRPr="00F66794">
            <w:rPr>
              <w:lang w:val="ru-RU"/>
            </w:rPr>
            <w:instrText xml:space="preserve">  \* </w:instrText>
          </w:r>
          <w:r>
            <w:instrText>MERGEFORMAT</w:instrText>
          </w:r>
          <w:r>
            <w:fldChar w:fldCharType="separate"/>
          </w:r>
          <w:r>
            <w:rPr>
              <w:b/>
              <w:bCs/>
              <w:noProof/>
              <w:lang w:val="ru-RU"/>
            </w:rPr>
            <w:t>Ошибка! Используйте вкладку "Главная" для применения Title к тексту, который должен здесь отображаться.</w:t>
          </w:r>
          <w:r>
            <w:rPr>
              <w:noProof/>
            </w:rPr>
            <w:fldChar w:fldCharType="end"/>
          </w:r>
        </w:p>
        <w:p w14:paraId="5084D043" w14:textId="786833BB" w:rsidR="00A26916" w:rsidRDefault="00A26916" w:rsidP="00920AB2">
          <w:pPr>
            <w:pStyle w:val="afa"/>
            <w:rPr>
              <w:noProof/>
            </w:rPr>
          </w:pPr>
          <w:r>
            <w:rPr>
              <w:noProof/>
            </w:rPr>
            <w:t xml:space="preserve">Issue Date: </w:t>
          </w:r>
          <w:r>
            <w:rPr>
              <w:noProof/>
            </w:rPr>
            <w:fldChar w:fldCharType="begin"/>
          </w:r>
          <w:r>
            <w:rPr>
              <w:noProof/>
            </w:rPr>
            <w:instrText xml:space="preserve"> DATE  \@ "MMMM yy"  \* MERGEFORMAT </w:instrText>
          </w:r>
          <w:r>
            <w:rPr>
              <w:noProof/>
            </w:rPr>
            <w:fldChar w:fldCharType="separate"/>
          </w:r>
          <w:r>
            <w:rPr>
              <w:noProof/>
            </w:rPr>
            <w:t>March 23</w:t>
          </w:r>
          <w:r>
            <w:rPr>
              <w:noProof/>
            </w:rPr>
            <w:fldChar w:fldCharType="end"/>
          </w:r>
        </w:p>
      </w:tc>
      <w:tc>
        <w:tcPr>
          <w:tcW w:w="5102" w:type="dxa"/>
        </w:tcPr>
        <w:p w14:paraId="123676F4" w14:textId="77777777" w:rsidR="00A26916" w:rsidRDefault="00A26916" w:rsidP="00001F81">
          <w:pPr>
            <w:pStyle w:val="PageNo"/>
          </w:pPr>
          <w:r>
            <w:t xml:space="preserve">Page </w:t>
          </w:r>
          <w:r>
            <w:fldChar w:fldCharType="begin"/>
          </w:r>
          <w:r>
            <w:instrText xml:space="preserve"> PAGE  \* Arabic  \* MERGEFORMAT </w:instrText>
          </w:r>
          <w:r>
            <w:fldChar w:fldCharType="separate"/>
          </w:r>
          <w:r>
            <w:t>10</w:t>
          </w:r>
          <w:r>
            <w:fldChar w:fldCharType="end"/>
          </w:r>
          <w:r>
            <w:t xml:space="preserve"> of </w:t>
          </w:r>
          <w:r>
            <w:rPr>
              <w:noProof/>
            </w:rPr>
            <w:fldChar w:fldCharType="begin"/>
          </w:r>
          <w:r>
            <w:rPr>
              <w:noProof/>
            </w:rPr>
            <w:instrText>NUMPAGES  \* Arabic  \* MERGEFORMAT</w:instrText>
          </w:r>
          <w:r>
            <w:rPr>
              <w:noProof/>
            </w:rPr>
            <w:fldChar w:fldCharType="separate"/>
          </w:r>
          <w:r>
            <w:rPr>
              <w:noProof/>
            </w:rPr>
            <w:t>8</w:t>
          </w:r>
          <w:r>
            <w:rPr>
              <w:noProof/>
            </w:rPr>
            <w:fldChar w:fldCharType="end"/>
          </w:r>
        </w:p>
      </w:tc>
    </w:tr>
  </w:tbl>
  <w:p w14:paraId="4578B600" w14:textId="77777777" w:rsidR="00A26916" w:rsidRDefault="00A26916">
    <w:pPr>
      <w:pStyle w:val="af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Plain"/>
      <w:tblpPr w:leftFromText="187" w:rightFromText="187" w:vertAnchor="page" w:horzAnchor="page" w:tblpX="852" w:tblpY="10587"/>
      <w:tblOverlap w:val="never"/>
      <w:tblW w:w="15139" w:type="dxa"/>
      <w:tblLook w:val="04A0" w:firstRow="1" w:lastRow="0" w:firstColumn="1" w:lastColumn="0" w:noHBand="0" w:noVBand="1"/>
    </w:tblPr>
    <w:tblGrid>
      <w:gridCol w:w="5069"/>
      <w:gridCol w:w="5037"/>
      <w:gridCol w:w="5033"/>
    </w:tblGrid>
    <w:tr w:rsidR="00A26916" w14:paraId="6E6B6DBA" w14:textId="77777777" w:rsidTr="00F766D9">
      <w:tc>
        <w:tcPr>
          <w:tcW w:w="5130" w:type="dxa"/>
          <w:tcBorders>
            <w:top w:val="single" w:sz="4" w:space="0" w:color="auto"/>
          </w:tcBorders>
        </w:tcPr>
        <w:p w14:paraId="3CF468D3" w14:textId="77777777" w:rsidR="00A26916" w:rsidRDefault="00A26916" w:rsidP="00F766D9">
          <w:pPr>
            <w:pStyle w:val="afa"/>
          </w:pPr>
        </w:p>
      </w:tc>
      <w:tc>
        <w:tcPr>
          <w:tcW w:w="5130" w:type="dxa"/>
          <w:tcBorders>
            <w:top w:val="single" w:sz="4" w:space="0" w:color="auto"/>
          </w:tcBorders>
        </w:tcPr>
        <w:p w14:paraId="07662A9E" w14:textId="77777777" w:rsidR="00A26916" w:rsidRDefault="00A26916" w:rsidP="00F766D9">
          <w:pPr>
            <w:pStyle w:val="PageNo"/>
          </w:pPr>
        </w:p>
      </w:tc>
      <w:tc>
        <w:tcPr>
          <w:tcW w:w="5130" w:type="dxa"/>
          <w:tcBorders>
            <w:top w:val="single" w:sz="4" w:space="0" w:color="auto"/>
          </w:tcBorders>
          <w:vAlign w:val="bottom"/>
        </w:tcPr>
        <w:p w14:paraId="757D9935" w14:textId="77777777" w:rsidR="00A26916" w:rsidRDefault="00A26916" w:rsidP="00F766D9">
          <w:pPr>
            <w:pStyle w:val="PageNo"/>
          </w:pPr>
        </w:p>
      </w:tc>
    </w:tr>
    <w:tr w:rsidR="00A26916" w14:paraId="7093418A" w14:textId="77777777" w:rsidTr="00F766D9">
      <w:sdt>
        <w:sdtPr>
          <w:alias w:val="Form.DocLang.Logo_horizontal"/>
          <w:tag w:val="{&quot;templafy&quot;:{&quot;id&quot;:&quot;56f27077-8255-46cb-8038-a9ca3d51227a&quot;}}"/>
          <w:id w:val="-1220824970"/>
          <w:picture/>
        </w:sdtPr>
        <w:sdtContent>
          <w:tc>
            <w:tcPr>
              <w:tcW w:w="5130" w:type="dxa"/>
              <w:vAlign w:val="bottom"/>
            </w:tcPr>
            <w:p w14:paraId="2A5D72EE" w14:textId="77777777" w:rsidR="00A26916" w:rsidRDefault="00A26916" w:rsidP="00F766D9">
              <w:pPr>
                <w:pStyle w:val="afa"/>
              </w:pPr>
              <w:r>
                <w:rPr>
                  <w:noProof/>
                  <w:lang w:val="ru-RU" w:eastAsia="ru-RU"/>
                </w:rPr>
                <w:drawing>
                  <wp:inline distT="0" distB="0" distL="0" distR="0" wp14:anchorId="503F9949" wp14:editId="32E87038">
                    <wp:extent cx="1620259" cy="15228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1711164979" name="Picture 4"/>
                            <pic:cNvPicPr/>
                          </pic:nvPicPr>
                          <pic:blipFill>
                            <a:blip r:embed="rId1"/>
                            <a:srcRect/>
                            <a:stretch/>
                          </pic:blipFill>
                          <pic:spPr>
                            <a:xfrm>
                              <a:off x="0" y="0"/>
                              <a:ext cx="1620259" cy="152280"/>
                            </a:xfrm>
                            <a:prstGeom prst="rect">
                              <a:avLst/>
                            </a:prstGeom>
                          </pic:spPr>
                        </pic:pic>
                      </a:graphicData>
                    </a:graphic>
                  </wp:inline>
                </w:drawing>
              </w:r>
            </w:p>
          </w:tc>
        </w:sdtContent>
      </w:sdt>
      <w:tc>
        <w:tcPr>
          <w:tcW w:w="5130" w:type="dxa"/>
          <w:vAlign w:val="center"/>
        </w:tcPr>
        <w:p w14:paraId="5E0EDFC3" w14:textId="2930647C" w:rsidR="00A26916" w:rsidRPr="00743DE9" w:rsidRDefault="00A26916" w:rsidP="00F766D9">
          <w:pPr>
            <w:pStyle w:val="PageNo"/>
            <w:jc w:val="center"/>
            <w:rPr>
              <w:lang w:val="ru-RU"/>
            </w:rPr>
          </w:pPr>
          <w:r>
            <w:rPr>
              <w:lang w:val="ru-RU"/>
            </w:rPr>
            <w:t>Форма</w:t>
          </w:r>
          <w:r w:rsidRPr="00743DE9">
            <w:rPr>
              <w:lang w:val="ru-RU"/>
            </w:rPr>
            <w:t xml:space="preserve"> </w:t>
          </w:r>
          <w:r>
            <w:rPr>
              <w:lang w:val="ru-RU"/>
            </w:rPr>
            <w:t>заявки</w:t>
          </w:r>
          <w:r w:rsidRPr="00743DE9">
            <w:rPr>
              <w:lang w:val="ru-RU"/>
            </w:rPr>
            <w:t xml:space="preserve"> </w:t>
          </w:r>
          <w:r>
            <w:rPr>
              <w:lang w:val="ru-RU"/>
            </w:rPr>
            <w:t>для</w:t>
          </w:r>
          <w:r w:rsidRPr="00743DE9">
            <w:rPr>
              <w:lang w:val="ru-RU"/>
            </w:rPr>
            <w:t xml:space="preserve"> </w:t>
          </w:r>
          <w:r>
            <w:rPr>
              <w:lang w:val="ru-RU"/>
            </w:rPr>
            <w:t>целевых</w:t>
          </w:r>
          <w:r w:rsidRPr="00743DE9">
            <w:rPr>
              <w:lang w:val="ru-RU"/>
            </w:rPr>
            <w:t xml:space="preserve"> </w:t>
          </w:r>
          <w:r>
            <w:rPr>
              <w:lang w:val="ru-RU"/>
            </w:rPr>
            <w:t>портфелей</w:t>
          </w:r>
        </w:p>
      </w:tc>
      <w:tc>
        <w:tcPr>
          <w:tcW w:w="5130" w:type="dxa"/>
          <w:vAlign w:val="bottom"/>
        </w:tcPr>
        <w:p w14:paraId="7BAB2ABB" w14:textId="0DA8605D" w:rsidR="00A26916" w:rsidRDefault="00A26916" w:rsidP="00F766D9">
          <w:pPr>
            <w:pStyle w:val="PageNo"/>
          </w:pPr>
          <w:r>
            <w:rPr>
              <w:lang w:val="ru-RU"/>
            </w:rPr>
            <w:t>Страница</w:t>
          </w:r>
          <w:r>
            <w:t xml:space="preserve"> </w:t>
          </w:r>
          <w:r>
            <w:fldChar w:fldCharType="begin"/>
          </w:r>
          <w:r>
            <w:instrText xml:space="preserve"> PAGE  \* Arabic  \* MERGEFORMAT </w:instrText>
          </w:r>
          <w:r>
            <w:fldChar w:fldCharType="separate"/>
          </w:r>
          <w:r w:rsidR="00AF22CF">
            <w:rPr>
              <w:noProof/>
            </w:rPr>
            <w:t>54</w:t>
          </w:r>
          <w:r>
            <w:fldChar w:fldCharType="end"/>
          </w:r>
          <w:r>
            <w:t xml:space="preserve"> </w:t>
          </w:r>
          <w:r>
            <w:rPr>
              <w:lang w:val="ru-RU"/>
            </w:rPr>
            <w:t>из</w:t>
          </w:r>
          <w:r>
            <w:t xml:space="preserve"> </w:t>
          </w:r>
          <w:r>
            <w:rPr>
              <w:noProof/>
            </w:rPr>
            <w:fldChar w:fldCharType="begin"/>
          </w:r>
          <w:r>
            <w:rPr>
              <w:noProof/>
            </w:rPr>
            <w:instrText>NUMPAGES  \* Arabic  \* MERGEFORMAT</w:instrText>
          </w:r>
          <w:r>
            <w:rPr>
              <w:noProof/>
            </w:rPr>
            <w:fldChar w:fldCharType="separate"/>
          </w:r>
          <w:r w:rsidR="00AF22CF">
            <w:rPr>
              <w:noProof/>
            </w:rPr>
            <w:t>75</w:t>
          </w:r>
          <w:r>
            <w:rPr>
              <w:noProof/>
            </w:rPr>
            <w:fldChar w:fldCharType="end"/>
          </w:r>
        </w:p>
      </w:tc>
    </w:tr>
    <w:tr w:rsidR="00A26916" w14:paraId="52C0F9E5" w14:textId="77777777" w:rsidTr="00F766D9">
      <w:trPr>
        <w:trHeight w:val="454"/>
      </w:trPr>
      <w:tc>
        <w:tcPr>
          <w:tcW w:w="5130" w:type="dxa"/>
          <w:vAlign w:val="bottom"/>
        </w:tcPr>
        <w:p w14:paraId="5C4643D7" w14:textId="77777777" w:rsidR="00A26916" w:rsidRDefault="00A26916" w:rsidP="00F766D9">
          <w:pPr>
            <w:pStyle w:val="afa"/>
          </w:pPr>
        </w:p>
      </w:tc>
      <w:tc>
        <w:tcPr>
          <w:tcW w:w="5130" w:type="dxa"/>
          <w:vAlign w:val="bottom"/>
        </w:tcPr>
        <w:p w14:paraId="0EA580ED" w14:textId="77777777" w:rsidR="00A26916" w:rsidRDefault="00A26916" w:rsidP="00F766D9">
          <w:pPr>
            <w:pStyle w:val="PageNo"/>
          </w:pPr>
        </w:p>
      </w:tc>
      <w:tc>
        <w:tcPr>
          <w:tcW w:w="5130" w:type="dxa"/>
          <w:vAlign w:val="bottom"/>
        </w:tcPr>
        <w:p w14:paraId="7E4FB433" w14:textId="77777777" w:rsidR="00A26916" w:rsidRDefault="00A26916" w:rsidP="00F766D9">
          <w:pPr>
            <w:pStyle w:val="PageNo"/>
          </w:pPr>
        </w:p>
      </w:tc>
    </w:tr>
  </w:tbl>
  <w:p w14:paraId="6AED5F24" w14:textId="77777777" w:rsidR="00A26916" w:rsidRDefault="00A26916">
    <w:pPr>
      <w:pStyle w:val="af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Plain"/>
      <w:tblpPr w:leftFromText="181" w:rightFromText="181" w:vertAnchor="page" w:horzAnchor="page" w:tblpX="876" w:tblpY="15140"/>
      <w:tblOverlap w:val="never"/>
      <w:tblW w:w="10170" w:type="dxa"/>
      <w:tblLook w:val="04A0" w:firstRow="1" w:lastRow="0" w:firstColumn="1" w:lastColumn="0" w:noHBand="0" w:noVBand="1"/>
    </w:tblPr>
    <w:tblGrid>
      <w:gridCol w:w="3200"/>
      <w:gridCol w:w="3067"/>
      <w:gridCol w:w="3903"/>
    </w:tblGrid>
    <w:tr w:rsidR="00A26916" w14:paraId="69F8817C" w14:textId="77777777" w:rsidTr="00E90762">
      <w:trPr>
        <w:trHeight w:val="325"/>
      </w:trPr>
      <w:tc>
        <w:tcPr>
          <w:tcW w:w="3200" w:type="dxa"/>
          <w:tcBorders>
            <w:top w:val="single" w:sz="4" w:space="0" w:color="auto"/>
          </w:tcBorders>
        </w:tcPr>
        <w:p w14:paraId="0A46124D" w14:textId="77777777" w:rsidR="00A26916" w:rsidRDefault="00A26916" w:rsidP="00C95F76">
          <w:pPr>
            <w:pStyle w:val="afa"/>
            <w:ind w:left="-284"/>
          </w:pPr>
        </w:p>
      </w:tc>
      <w:tc>
        <w:tcPr>
          <w:tcW w:w="3067" w:type="dxa"/>
          <w:tcBorders>
            <w:top w:val="single" w:sz="4" w:space="0" w:color="auto"/>
          </w:tcBorders>
        </w:tcPr>
        <w:p w14:paraId="3D38D4F0" w14:textId="77777777" w:rsidR="00A26916" w:rsidRDefault="00A26916" w:rsidP="00C95F76">
          <w:pPr>
            <w:pStyle w:val="PageNo"/>
          </w:pPr>
        </w:p>
      </w:tc>
      <w:tc>
        <w:tcPr>
          <w:tcW w:w="3903" w:type="dxa"/>
          <w:tcBorders>
            <w:top w:val="single" w:sz="4" w:space="0" w:color="auto"/>
          </w:tcBorders>
          <w:vAlign w:val="bottom"/>
        </w:tcPr>
        <w:p w14:paraId="484DC12C" w14:textId="77777777" w:rsidR="00A26916" w:rsidRDefault="00A26916" w:rsidP="00C95F76">
          <w:pPr>
            <w:pStyle w:val="PageNo"/>
          </w:pPr>
        </w:p>
      </w:tc>
    </w:tr>
    <w:tr w:rsidR="00A26916" w14:paraId="3EF106E4" w14:textId="77777777" w:rsidTr="00E90762">
      <w:trPr>
        <w:trHeight w:val="325"/>
      </w:trPr>
      <w:tc>
        <w:tcPr>
          <w:tcW w:w="3200" w:type="dxa"/>
          <w:vAlign w:val="bottom"/>
        </w:tcPr>
        <w:p w14:paraId="7D8C5D57" w14:textId="77777777" w:rsidR="00A26916" w:rsidRDefault="00A26916" w:rsidP="00C95F76">
          <w:pPr>
            <w:pStyle w:val="afa"/>
          </w:pPr>
        </w:p>
        <w:p w14:paraId="0CE5D702" w14:textId="77777777" w:rsidR="00A26916" w:rsidRDefault="00A26916" w:rsidP="00C95F76">
          <w:pPr>
            <w:pStyle w:val="afa"/>
          </w:pPr>
          <w:r>
            <w:rPr>
              <w:noProof/>
              <w:lang w:val="ru-RU" w:eastAsia="ru-RU"/>
            </w:rPr>
            <w:drawing>
              <wp:inline distT="0" distB="0" distL="0" distR="0" wp14:anchorId="290083A3" wp14:editId="13C6BAEA">
                <wp:extent cx="1620259" cy="152280"/>
                <wp:effectExtent l="0" t="0" r="0" b="0"/>
                <wp:docPr id="5" name="Picture 4"/>
                <wp:cNvGraphicFramePr/>
                <a:graphic xmlns:a="http://schemas.openxmlformats.org/drawingml/2006/main">
                  <a:graphicData uri="http://schemas.openxmlformats.org/drawingml/2006/picture">
                    <pic:pic xmlns:pic="http://schemas.openxmlformats.org/drawingml/2006/picture">
                      <pic:nvPicPr>
                        <pic:cNvPr id="1711164979" name="Picture 4"/>
                        <pic:cNvPicPr/>
                      </pic:nvPicPr>
                      <pic:blipFill>
                        <a:blip r:embed="rId1"/>
                        <a:srcRect/>
                        <a:stretch/>
                      </pic:blipFill>
                      <pic:spPr>
                        <a:xfrm>
                          <a:off x="0" y="0"/>
                          <a:ext cx="1620259" cy="152280"/>
                        </a:xfrm>
                        <a:prstGeom prst="rect">
                          <a:avLst/>
                        </a:prstGeom>
                      </pic:spPr>
                    </pic:pic>
                  </a:graphicData>
                </a:graphic>
              </wp:inline>
            </w:drawing>
          </w:r>
        </w:p>
      </w:tc>
      <w:tc>
        <w:tcPr>
          <w:tcW w:w="3067" w:type="dxa"/>
          <w:vAlign w:val="bottom"/>
        </w:tcPr>
        <w:p w14:paraId="687619B4" w14:textId="77777777" w:rsidR="00A26916" w:rsidRDefault="00A26916" w:rsidP="00C95F76">
          <w:pPr>
            <w:pStyle w:val="PageNo"/>
          </w:pPr>
        </w:p>
      </w:tc>
      <w:tc>
        <w:tcPr>
          <w:tcW w:w="3903" w:type="dxa"/>
          <w:vAlign w:val="bottom"/>
        </w:tcPr>
        <w:p w14:paraId="15C4EE27" w14:textId="3BD2AA22" w:rsidR="00A26916" w:rsidRDefault="00A26916" w:rsidP="00C95F76">
          <w:pPr>
            <w:pStyle w:val="PageNo"/>
          </w:pPr>
          <w:r>
            <w:rPr>
              <w:lang w:val="ru-RU"/>
            </w:rPr>
            <w:t xml:space="preserve">Страница </w:t>
          </w:r>
          <w:r>
            <w:fldChar w:fldCharType="begin"/>
          </w:r>
          <w:r>
            <w:instrText xml:space="preserve"> PAGE  \* Arabic  \* MERGEFORMAT </w:instrText>
          </w:r>
          <w:r>
            <w:fldChar w:fldCharType="separate"/>
          </w:r>
          <w:r w:rsidR="00AF22CF">
            <w:rPr>
              <w:noProof/>
            </w:rPr>
            <w:t>75</w:t>
          </w:r>
          <w:r>
            <w:fldChar w:fldCharType="end"/>
          </w:r>
          <w:r>
            <w:t xml:space="preserve"> </w:t>
          </w:r>
          <w:r>
            <w:rPr>
              <w:lang w:val="ru-RU"/>
            </w:rPr>
            <w:t>из</w:t>
          </w:r>
          <w:r>
            <w:t xml:space="preserve"> </w:t>
          </w:r>
          <w:r>
            <w:rPr>
              <w:noProof/>
            </w:rPr>
            <w:fldChar w:fldCharType="begin"/>
          </w:r>
          <w:r>
            <w:rPr>
              <w:noProof/>
            </w:rPr>
            <w:instrText>NUMPAGES  \* Arabic  \* MERGEFORMAT</w:instrText>
          </w:r>
          <w:r>
            <w:rPr>
              <w:noProof/>
            </w:rPr>
            <w:fldChar w:fldCharType="separate"/>
          </w:r>
          <w:r w:rsidR="00AF22CF">
            <w:rPr>
              <w:noProof/>
            </w:rPr>
            <w:t>75</w:t>
          </w:r>
          <w:r>
            <w:rPr>
              <w:noProof/>
            </w:rPr>
            <w:fldChar w:fldCharType="end"/>
          </w:r>
        </w:p>
      </w:tc>
    </w:tr>
    <w:tr w:rsidR="00A26916" w14:paraId="2117CC2C" w14:textId="77777777" w:rsidTr="00E90762">
      <w:trPr>
        <w:trHeight w:val="589"/>
      </w:trPr>
      <w:tc>
        <w:tcPr>
          <w:tcW w:w="3200" w:type="dxa"/>
        </w:tcPr>
        <w:p w14:paraId="3FA21F90" w14:textId="77777777" w:rsidR="00A26916" w:rsidRDefault="00A26916" w:rsidP="00C95F76">
          <w:pPr>
            <w:pStyle w:val="afa"/>
          </w:pPr>
        </w:p>
        <w:p w14:paraId="49A19CC5" w14:textId="56F0B147" w:rsidR="00A26916" w:rsidRDefault="00A26916" w:rsidP="00C95F76">
          <w:pPr>
            <w:pStyle w:val="afa"/>
            <w:rPr>
              <w:noProof/>
            </w:rPr>
          </w:pPr>
          <w:r>
            <w:rPr>
              <w:lang w:val="ru-RU"/>
            </w:rPr>
            <w:t>Форма</w:t>
          </w:r>
          <w:r w:rsidRPr="00D85458">
            <w:t xml:space="preserve"> </w:t>
          </w:r>
          <w:r>
            <w:rPr>
              <w:lang w:val="ru-RU"/>
            </w:rPr>
            <w:t>заявки</w:t>
          </w:r>
          <w:r w:rsidRPr="00D85458">
            <w:t xml:space="preserve"> </w:t>
          </w:r>
          <w:r>
            <w:rPr>
              <w:lang w:val="ru-RU"/>
            </w:rPr>
            <w:t>для</w:t>
          </w:r>
          <w:r w:rsidRPr="00D85458">
            <w:t xml:space="preserve"> </w:t>
          </w:r>
          <w:r>
            <w:rPr>
              <w:lang w:val="ru-RU"/>
            </w:rPr>
            <w:t>целевых</w:t>
          </w:r>
          <w:r w:rsidRPr="00D85458">
            <w:t xml:space="preserve"> </w:t>
          </w:r>
          <w:r>
            <w:rPr>
              <w:lang w:val="ru-RU"/>
            </w:rPr>
            <w:t>портфелей</w:t>
          </w:r>
        </w:p>
        <w:p w14:paraId="58081A04" w14:textId="77777777" w:rsidR="00A26916" w:rsidRDefault="00A26916" w:rsidP="00C95F76">
          <w:pPr>
            <w:pStyle w:val="afa"/>
          </w:pPr>
        </w:p>
      </w:tc>
      <w:tc>
        <w:tcPr>
          <w:tcW w:w="3067" w:type="dxa"/>
          <w:vAlign w:val="bottom"/>
        </w:tcPr>
        <w:p w14:paraId="49DAED3C" w14:textId="77777777" w:rsidR="00A26916" w:rsidRDefault="00A26916" w:rsidP="00C95F76">
          <w:pPr>
            <w:pStyle w:val="PageNo"/>
          </w:pPr>
        </w:p>
      </w:tc>
      <w:tc>
        <w:tcPr>
          <w:tcW w:w="3903" w:type="dxa"/>
          <w:vAlign w:val="bottom"/>
        </w:tcPr>
        <w:p w14:paraId="6ECBF235" w14:textId="77777777" w:rsidR="00A26916" w:rsidRDefault="00A26916" w:rsidP="00C95F76">
          <w:pPr>
            <w:pStyle w:val="PageNo"/>
          </w:pPr>
        </w:p>
      </w:tc>
    </w:tr>
  </w:tbl>
  <w:p w14:paraId="16B547A4" w14:textId="77777777" w:rsidR="00A26916" w:rsidRDefault="00A26916" w:rsidP="00C95F76">
    <w:pPr>
      <w:pStyle w:val="af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C6BAB" w14:textId="77777777" w:rsidR="00A26916" w:rsidRDefault="00A26916" w:rsidP="00861A9E">
      <w:pPr>
        <w:spacing w:after="0" w:line="240" w:lineRule="auto"/>
      </w:pPr>
      <w:r>
        <w:separator/>
      </w:r>
    </w:p>
  </w:footnote>
  <w:footnote w:type="continuationSeparator" w:id="0">
    <w:p w14:paraId="2FEC2CAD" w14:textId="77777777" w:rsidR="00A26916" w:rsidRDefault="00A26916" w:rsidP="00861A9E">
      <w:pPr>
        <w:spacing w:after="0" w:line="240" w:lineRule="auto"/>
      </w:pPr>
      <w:r>
        <w:continuationSeparator/>
      </w:r>
    </w:p>
  </w:footnote>
  <w:footnote w:type="continuationNotice" w:id="1">
    <w:p w14:paraId="0638FD67" w14:textId="77777777" w:rsidR="00A26916" w:rsidRDefault="00A26916">
      <w:pPr>
        <w:spacing w:after="0" w:line="240" w:lineRule="auto"/>
      </w:pPr>
    </w:p>
  </w:footnote>
  <w:footnote w:id="2">
    <w:p w14:paraId="02E2FE4B" w14:textId="5A9C3B81" w:rsidR="00A26916" w:rsidRPr="00E175EC" w:rsidRDefault="00A26916">
      <w:pPr>
        <w:pStyle w:val="aff"/>
        <w:rPr>
          <w:lang w:val="ru-RU"/>
        </w:rPr>
      </w:pPr>
      <w:r>
        <w:rPr>
          <w:rStyle w:val="aff1"/>
        </w:rPr>
        <w:footnoteRef/>
      </w:r>
      <w:r w:rsidRPr="00A26916">
        <w:rPr>
          <w:lang w:val="ru-RU"/>
        </w:rPr>
        <w:t xml:space="preserve"> </w:t>
      </w:r>
    </w:p>
  </w:footnote>
  <w:footnote w:id="3">
    <w:p w14:paraId="28B96B58" w14:textId="02E18681" w:rsidR="00A26916" w:rsidRPr="00E175EC" w:rsidRDefault="00A26916">
      <w:pPr>
        <w:pStyle w:val="aff"/>
        <w:rPr>
          <w:lang w:val="ru-RU"/>
        </w:rPr>
      </w:pPr>
      <w:r>
        <w:rPr>
          <w:rStyle w:val="aff1"/>
        </w:rPr>
        <w:footnoteRef/>
      </w:r>
      <w:r w:rsidRPr="00A26916">
        <w:rPr>
          <w:lang w:val="ru-RU"/>
        </w:rPr>
        <w:t xml:space="preserve"> </w:t>
      </w:r>
    </w:p>
  </w:footnote>
  <w:footnote w:id="4">
    <w:p w14:paraId="5AC1CF3E" w14:textId="0761FB18" w:rsidR="00A26916" w:rsidRPr="00E175EC" w:rsidRDefault="00A26916">
      <w:pPr>
        <w:pStyle w:val="aff"/>
        <w:rPr>
          <w:lang w:val="ru-RU"/>
        </w:rPr>
      </w:pPr>
      <w:r>
        <w:rPr>
          <w:rStyle w:val="aff1"/>
        </w:rPr>
        <w:footnoteRef/>
      </w:r>
      <w:r w:rsidRPr="00A26916">
        <w:rPr>
          <w:lang w:val="ru-RU"/>
        </w:rPr>
        <w:t xml:space="preserve"> </w:t>
      </w:r>
    </w:p>
  </w:footnote>
  <w:footnote w:id="5">
    <w:p w14:paraId="37BF23D8" w14:textId="2DFF0F8C" w:rsidR="00A26916" w:rsidRPr="00E175EC" w:rsidRDefault="00A26916">
      <w:pPr>
        <w:pStyle w:val="aff"/>
        <w:rPr>
          <w:lang w:val="ru-RU"/>
        </w:rPr>
      </w:pPr>
      <w:r>
        <w:rPr>
          <w:rStyle w:val="aff1"/>
        </w:rPr>
        <w:footnoteRef/>
      </w:r>
      <w:r w:rsidRPr="00A26916">
        <w:rPr>
          <w:lang w:val="ru-RU"/>
        </w:rPr>
        <w:t xml:space="preserve"> </w:t>
      </w:r>
    </w:p>
  </w:footnote>
  <w:footnote w:id="6">
    <w:p w14:paraId="3C1609C6" w14:textId="7218FB90" w:rsidR="00A26916" w:rsidRPr="00E175EC" w:rsidRDefault="00A26916">
      <w:pPr>
        <w:pStyle w:val="aff"/>
        <w:rPr>
          <w:lang w:val="ru-RU"/>
        </w:rPr>
      </w:pPr>
      <w:r>
        <w:rPr>
          <w:rStyle w:val="aff1"/>
        </w:rPr>
        <w:footnoteRef/>
      </w:r>
      <w:r w:rsidRPr="00A26916">
        <w:rPr>
          <w:lang w:val="ru-RU"/>
        </w:rPr>
        <w:t xml:space="preserve"> </w:t>
      </w:r>
    </w:p>
  </w:footnote>
  <w:footnote w:id="7">
    <w:p w14:paraId="3CEACA97" w14:textId="19DE4A27" w:rsidR="00A26916" w:rsidRPr="00E175EC" w:rsidRDefault="00A26916">
      <w:pPr>
        <w:pStyle w:val="aff"/>
        <w:rPr>
          <w:lang w:val="ru-RU"/>
        </w:rPr>
      </w:pPr>
      <w:r>
        <w:rPr>
          <w:rStyle w:val="aff1"/>
        </w:rPr>
        <w:footnoteRef/>
      </w:r>
      <w:r w:rsidRPr="00A26916">
        <w:rPr>
          <w:lang w:val="ru-RU"/>
        </w:rPr>
        <w:t xml:space="preserve"> </w:t>
      </w:r>
    </w:p>
  </w:footnote>
  <w:footnote w:id="8">
    <w:p w14:paraId="4BB8A244" w14:textId="7F9339E8" w:rsidR="00A26916" w:rsidRPr="00E175EC" w:rsidRDefault="00A26916">
      <w:pPr>
        <w:pStyle w:val="aff"/>
        <w:rPr>
          <w:lang w:val="ru-RU"/>
        </w:rPr>
      </w:pPr>
      <w:r>
        <w:rPr>
          <w:rStyle w:val="aff1"/>
        </w:rPr>
        <w:footnoteRef/>
      </w:r>
      <w:r w:rsidRPr="00A26916">
        <w:rPr>
          <w:lang w:val="ru-RU"/>
        </w:rPr>
        <w:t xml:space="preserve"> </w:t>
      </w:r>
    </w:p>
  </w:footnote>
  <w:footnote w:id="9">
    <w:p w14:paraId="5B1F0A2E" w14:textId="4F92A13C" w:rsidR="00A26916" w:rsidRPr="00E175EC" w:rsidRDefault="00A26916">
      <w:pPr>
        <w:pStyle w:val="aff"/>
        <w:rPr>
          <w:lang w:val="ru-RU"/>
        </w:rPr>
      </w:pPr>
      <w:r>
        <w:rPr>
          <w:rStyle w:val="aff1"/>
        </w:rPr>
        <w:footnoteRef/>
      </w:r>
      <w:r w:rsidRPr="00A26916">
        <w:rPr>
          <w:lang w:val="ru-RU"/>
        </w:rPr>
        <w:t xml:space="preserve"> </w:t>
      </w:r>
    </w:p>
  </w:footnote>
  <w:footnote w:id="10">
    <w:p w14:paraId="61D06AC5" w14:textId="0882564A" w:rsidR="00A26916" w:rsidRPr="00E175EC" w:rsidRDefault="00A26916">
      <w:pPr>
        <w:pStyle w:val="aff"/>
        <w:rPr>
          <w:lang w:val="ru-RU"/>
        </w:rPr>
      </w:pPr>
      <w:r>
        <w:rPr>
          <w:rStyle w:val="aff1"/>
        </w:rPr>
        <w:footnoteRef/>
      </w:r>
      <w:r w:rsidRPr="00A26916">
        <w:rPr>
          <w:lang w:val="ru-RU"/>
        </w:rPr>
        <w:t xml:space="preserve"> </w:t>
      </w:r>
    </w:p>
  </w:footnote>
  <w:footnote w:id="11">
    <w:p w14:paraId="298FD59D" w14:textId="184DD427" w:rsidR="00A26916" w:rsidRPr="00E175EC" w:rsidRDefault="00A26916">
      <w:pPr>
        <w:pStyle w:val="aff"/>
        <w:rPr>
          <w:lang w:val="ru-RU"/>
        </w:rPr>
      </w:pPr>
      <w:r>
        <w:rPr>
          <w:rStyle w:val="aff1"/>
        </w:rPr>
        <w:footnoteRef/>
      </w:r>
      <w:r w:rsidRPr="00A26916">
        <w:rPr>
          <w:lang w:val="ru-RU"/>
        </w:rPr>
        <w:t xml:space="preserve"> </w:t>
      </w:r>
    </w:p>
  </w:footnote>
  <w:footnote w:id="12">
    <w:p w14:paraId="5A7B4F5F" w14:textId="7FE321A5" w:rsidR="00A26916" w:rsidRPr="00E175EC" w:rsidRDefault="00A26916">
      <w:pPr>
        <w:pStyle w:val="aff"/>
        <w:rPr>
          <w:lang w:val="ru-RU"/>
        </w:rPr>
      </w:pPr>
      <w:r>
        <w:rPr>
          <w:rStyle w:val="aff1"/>
        </w:rPr>
        <w:footnoteRef/>
      </w:r>
      <w:r w:rsidRPr="00A26916">
        <w:rPr>
          <w:lang w:val="ru-RU"/>
        </w:rPr>
        <w:t xml:space="preserve"> </w:t>
      </w:r>
    </w:p>
  </w:footnote>
  <w:footnote w:id="13">
    <w:p w14:paraId="2BB42B83" w14:textId="2C8CB73F" w:rsidR="00A26916" w:rsidRPr="00E175EC" w:rsidRDefault="00A26916">
      <w:pPr>
        <w:pStyle w:val="aff"/>
        <w:rPr>
          <w:lang w:val="ru-RU"/>
        </w:rPr>
      </w:pPr>
      <w:r>
        <w:rPr>
          <w:rStyle w:val="aff1"/>
        </w:rPr>
        <w:footnoteRef/>
      </w:r>
      <w:r w:rsidRPr="00A26916">
        <w:rPr>
          <w:lang w:val="ru-RU"/>
        </w:rPr>
        <w:t xml:space="preserve"> </w:t>
      </w:r>
    </w:p>
  </w:footnote>
  <w:footnote w:id="14">
    <w:p w14:paraId="5B088908" w14:textId="02128781" w:rsidR="00A26916" w:rsidRPr="00E175EC" w:rsidRDefault="00A26916">
      <w:pPr>
        <w:pStyle w:val="aff"/>
        <w:rPr>
          <w:lang w:val="ru-RU"/>
        </w:rPr>
      </w:pPr>
      <w:r>
        <w:rPr>
          <w:rStyle w:val="aff1"/>
        </w:rPr>
        <w:footnoteRef/>
      </w:r>
      <w:r w:rsidRPr="00A26916">
        <w:rPr>
          <w:lang w:val="ru-RU"/>
        </w:rPr>
        <w:t xml:space="preserve"> </w:t>
      </w:r>
    </w:p>
  </w:footnote>
  <w:footnote w:id="15">
    <w:p w14:paraId="2B5C17F1" w14:textId="6E96FD80" w:rsidR="00A26916" w:rsidRPr="00E175EC" w:rsidRDefault="00A26916">
      <w:pPr>
        <w:pStyle w:val="aff"/>
        <w:rPr>
          <w:lang w:val="ru-RU"/>
        </w:rPr>
      </w:pPr>
      <w:r>
        <w:rPr>
          <w:rStyle w:val="aff1"/>
        </w:rPr>
        <w:footnoteRef/>
      </w:r>
      <w:r w:rsidRPr="00A26916">
        <w:rPr>
          <w:lang w:val="ru-RU"/>
        </w:rPr>
        <w:t xml:space="preserve"> </w:t>
      </w:r>
    </w:p>
  </w:footnote>
  <w:footnote w:id="16">
    <w:p w14:paraId="24E2B459" w14:textId="76F09549" w:rsidR="00A26916" w:rsidRPr="00E175EC" w:rsidRDefault="00A26916">
      <w:pPr>
        <w:pStyle w:val="aff"/>
        <w:rPr>
          <w:lang w:val="ru-RU"/>
        </w:rPr>
      </w:pPr>
      <w:r>
        <w:rPr>
          <w:rStyle w:val="aff1"/>
        </w:rPr>
        <w:footnoteRef/>
      </w:r>
      <w:r w:rsidRPr="00A26916">
        <w:rPr>
          <w:lang w:val="ru-RU"/>
        </w:rPr>
        <w:t xml:space="preserve"> </w:t>
      </w:r>
    </w:p>
  </w:footnote>
  <w:footnote w:id="17">
    <w:p w14:paraId="3A29A956" w14:textId="47B05FC9" w:rsidR="00A26916" w:rsidRPr="00A26916" w:rsidRDefault="00A26916">
      <w:pPr>
        <w:pStyle w:val="aff"/>
        <w:rPr>
          <w:lang w:val="ru-RU"/>
        </w:rPr>
      </w:pPr>
      <w:r>
        <w:rPr>
          <w:rStyle w:val="aff1"/>
        </w:rPr>
        <w:footnoteRef/>
      </w:r>
      <w:r w:rsidRPr="00A26916">
        <w:rPr>
          <w:lang w:val="ru-RU"/>
        </w:rPr>
        <w:t xml:space="preserve"> </w:t>
      </w:r>
    </w:p>
  </w:footnote>
  <w:footnote w:id="18">
    <w:p w14:paraId="7090F581" w14:textId="7257705A" w:rsidR="00A26916" w:rsidRPr="00A26916" w:rsidRDefault="00A26916">
      <w:pPr>
        <w:pStyle w:val="aff"/>
        <w:rPr>
          <w:lang w:val="ru-RU"/>
        </w:rPr>
      </w:pPr>
      <w:r>
        <w:rPr>
          <w:rStyle w:val="aff1"/>
        </w:rPr>
        <w:footnoteRef/>
      </w:r>
      <w:r>
        <w:t xml:space="preserve"> </w:t>
      </w:r>
    </w:p>
  </w:footnote>
  <w:footnote w:id="19">
    <w:p w14:paraId="2879DE03" w14:textId="4672F937" w:rsidR="00A26916" w:rsidRPr="00C40D24" w:rsidRDefault="00A26916">
      <w:pPr>
        <w:pStyle w:val="aff"/>
        <w:rPr>
          <w:lang w:val="ru-RU"/>
        </w:rPr>
      </w:pPr>
      <w:r>
        <w:rPr>
          <w:rStyle w:val="aff1"/>
        </w:rPr>
        <w:footnoteRef/>
      </w:r>
      <w:r w:rsidRPr="00A26916">
        <w:rPr>
          <w:lang w:val="ru-RU"/>
        </w:rPr>
        <w:t xml:space="preserve"> </w:t>
      </w:r>
    </w:p>
  </w:footnote>
  <w:footnote w:id="20">
    <w:p w14:paraId="020F1D89" w14:textId="501D0072" w:rsidR="00A26916" w:rsidRPr="00E175EC" w:rsidRDefault="00A26916">
      <w:pPr>
        <w:pStyle w:val="aff"/>
        <w:rPr>
          <w:lang w:val="ru-RU"/>
        </w:rPr>
      </w:pPr>
      <w:r>
        <w:rPr>
          <w:rStyle w:val="aff1"/>
        </w:rPr>
        <w:footnoteRef/>
      </w:r>
      <w:r w:rsidRPr="00E175EC">
        <w:rPr>
          <w:lang w:val="ru-RU"/>
        </w:rPr>
        <w:t xml:space="preserve"> </w:t>
      </w:r>
    </w:p>
  </w:footnote>
  <w:footnote w:id="21">
    <w:p w14:paraId="03728045" w14:textId="1C00E10F" w:rsidR="00A26916" w:rsidRPr="00E175EC" w:rsidRDefault="00A26916">
      <w:pPr>
        <w:pStyle w:val="aff"/>
        <w:rPr>
          <w:lang w:val="ru-RU"/>
        </w:rPr>
      </w:pPr>
      <w:r>
        <w:rPr>
          <w:rStyle w:val="aff1"/>
        </w:rPr>
        <w:footnoteRef/>
      </w:r>
      <w:r w:rsidRPr="00E175EC">
        <w:rPr>
          <w:lang w:val="ru-RU"/>
        </w:rPr>
        <w:t xml:space="preserve"> </w:t>
      </w:r>
    </w:p>
  </w:footnote>
  <w:footnote w:id="22">
    <w:p w14:paraId="2FC9A7F0" w14:textId="37D99C73" w:rsidR="00A26916" w:rsidRPr="009D6BD9" w:rsidRDefault="00A26916">
      <w:pPr>
        <w:pStyle w:val="aff"/>
        <w:rPr>
          <w:lang w:val="ru-RU"/>
        </w:rPr>
      </w:pPr>
      <w:r>
        <w:rPr>
          <w:rStyle w:val="aff1"/>
        </w:rPr>
        <w:footnoteRef/>
      </w:r>
      <w:r w:rsidRPr="009D6BD9">
        <w:rPr>
          <w:lang w:val="ru-RU"/>
        </w:rPr>
        <w:t xml:space="preserve"> </w:t>
      </w:r>
    </w:p>
  </w:footnote>
  <w:footnote w:id="23">
    <w:p w14:paraId="4569353B" w14:textId="5FD7E629" w:rsidR="00A26916" w:rsidRPr="00A26916" w:rsidRDefault="00A26916">
      <w:pPr>
        <w:pStyle w:val="aff"/>
        <w:rPr>
          <w:lang w:val="ru-RU"/>
        </w:rPr>
      </w:pPr>
      <w:r>
        <w:rPr>
          <w:rStyle w:val="aff1"/>
        </w:rPr>
        <w:footnoteRef/>
      </w:r>
      <w:r w:rsidRPr="00A26916">
        <w:rPr>
          <w:lang w:val="ru-RU"/>
        </w:rPr>
        <w:t xml:space="preserve"> </w:t>
      </w:r>
    </w:p>
  </w:footnote>
  <w:footnote w:id="24">
    <w:p w14:paraId="6F7BD1FE" w14:textId="6FA7590D" w:rsidR="00A26916" w:rsidRPr="00A26916" w:rsidRDefault="00A26916">
      <w:pPr>
        <w:pStyle w:val="aff"/>
        <w:rPr>
          <w:lang w:val="ru-RU"/>
        </w:rPr>
      </w:pPr>
      <w:r>
        <w:rPr>
          <w:rStyle w:val="aff1"/>
        </w:rPr>
        <w:footnoteRef/>
      </w:r>
      <w:r w:rsidRPr="00A26916">
        <w:rPr>
          <w:lang w:val="ru-RU"/>
        </w:rPr>
        <w:t xml:space="preserve"> </w:t>
      </w:r>
    </w:p>
  </w:footnote>
  <w:footnote w:id="25">
    <w:p w14:paraId="6207D0E8" w14:textId="1880A21A" w:rsidR="00A26916" w:rsidRPr="007E6536" w:rsidRDefault="00A26916">
      <w:pPr>
        <w:pStyle w:val="aff"/>
        <w:rPr>
          <w:lang w:val="ru-RU"/>
        </w:rPr>
      </w:pPr>
      <w:r>
        <w:rPr>
          <w:rStyle w:val="aff1"/>
        </w:rPr>
        <w:footnoteRef/>
      </w:r>
      <w:r w:rsidRPr="007E6536">
        <w:rPr>
          <w:lang w:val="ru-RU"/>
        </w:rPr>
        <w:t xml:space="preserve"> </w:t>
      </w:r>
      <w:r>
        <w:t>FHI</w:t>
      </w:r>
      <w:r w:rsidRPr="007E6536">
        <w:rPr>
          <w:lang w:val="ru-RU"/>
        </w:rPr>
        <w:t xml:space="preserve">360 </w:t>
      </w:r>
      <w:r>
        <w:rPr>
          <w:lang w:val="ru-RU"/>
        </w:rPr>
        <w:t xml:space="preserve">в рамках проекта </w:t>
      </w:r>
      <w:r>
        <w:t>EpiC</w:t>
      </w:r>
      <w:r w:rsidRPr="007E6536">
        <w:rPr>
          <w:lang w:val="ru-RU"/>
        </w:rPr>
        <w:t xml:space="preserve"> </w:t>
      </w:r>
      <w:r>
        <w:rPr>
          <w:lang w:val="ru-RU"/>
        </w:rPr>
        <w:t>в настоящее время пилотирует проект по распространению самотестов через 2 тестомата (тип «почтовый ящик») в социальной аптеке в г.</w:t>
      </w:r>
      <w:r w:rsidRPr="007E6536">
        <w:rPr>
          <w:lang w:val="ru-RU"/>
        </w:rPr>
        <w:t xml:space="preserve"> </w:t>
      </w:r>
      <w:r>
        <w:rPr>
          <w:lang w:val="ru-RU"/>
        </w:rPr>
        <w:t>Ош и в Азия-Молл в г. Бишкек</w:t>
      </w:r>
    </w:p>
  </w:footnote>
  <w:footnote w:id="26">
    <w:p w14:paraId="3C2E6398" w14:textId="1D46CAAD" w:rsidR="00A26916" w:rsidRPr="00A26916" w:rsidRDefault="00A26916">
      <w:pPr>
        <w:pStyle w:val="aff"/>
        <w:rPr>
          <w:lang w:val="ru-RU"/>
        </w:rPr>
      </w:pPr>
      <w:r>
        <w:rPr>
          <w:rStyle w:val="aff1"/>
        </w:rPr>
        <w:footnoteRef/>
      </w:r>
      <w:r w:rsidRPr="00A26916">
        <w:rPr>
          <w:lang w:val="ru-RU"/>
        </w:rPr>
        <w:t xml:space="preserve"> </w:t>
      </w:r>
    </w:p>
  </w:footnote>
  <w:footnote w:id="27">
    <w:p w14:paraId="2EF71BE0" w14:textId="524007BB" w:rsidR="000B6FE9" w:rsidRPr="000B6FE9" w:rsidRDefault="000B6FE9">
      <w:pPr>
        <w:pStyle w:val="aff"/>
        <w:rPr>
          <w:lang w:val="ru-RU"/>
        </w:rPr>
      </w:pPr>
      <w:r>
        <w:rPr>
          <w:rStyle w:val="aff1"/>
        </w:rPr>
        <w:footnoteRef/>
      </w:r>
      <w:r w:rsidRPr="000B6FE9">
        <w:rPr>
          <w:lang w:val="ru-RU"/>
        </w:rPr>
        <w:t xml:space="preserve"> </w:t>
      </w:r>
    </w:p>
  </w:footnote>
  <w:footnote w:id="28">
    <w:p w14:paraId="73DB6869" w14:textId="376132E3" w:rsidR="00A26916" w:rsidRPr="000A3168" w:rsidRDefault="00A26916">
      <w:pPr>
        <w:pStyle w:val="aff"/>
        <w:rPr>
          <w:lang w:val="ru-RU"/>
        </w:rPr>
      </w:pPr>
      <w:r>
        <w:rPr>
          <w:rStyle w:val="aff1"/>
        </w:rPr>
        <w:footnoteRef/>
      </w:r>
      <w:r w:rsidRPr="000A3168">
        <w:rPr>
          <w:lang w:val="ru-RU"/>
        </w:rPr>
        <w:t xml:space="preserve"> </w:t>
      </w:r>
      <w:r w:rsidRPr="005E40D8">
        <w:rPr>
          <w:lang w:val="ru-RU"/>
        </w:rPr>
        <w:t>Антинаркотическая программа Кабинета Министров КР, утверждена постановлением Кабинета Министров КР от 10.08.2022, № 445 «Об утверждении Антинаркотической Программы Кабинета Министров КР и Плана мероприятий по ее реализации на 2022-2026», стр. 2, п. 1.3.1.</w:t>
      </w:r>
    </w:p>
  </w:footnote>
  <w:footnote w:id="29">
    <w:p w14:paraId="17300ED1" w14:textId="77777777" w:rsidR="00A26916" w:rsidRPr="005E1A24" w:rsidRDefault="00A26916" w:rsidP="00DD29A9">
      <w:pPr>
        <w:pStyle w:val="aff"/>
        <w:rPr>
          <w:lang w:val="ru-RU"/>
        </w:rPr>
      </w:pPr>
      <w:r>
        <w:rPr>
          <w:rStyle w:val="aff1"/>
        </w:rPr>
        <w:footnoteRef/>
      </w:r>
      <w:r w:rsidRPr="005E1A24">
        <w:rPr>
          <w:lang w:val="ru-RU"/>
        </w:rPr>
        <w:t xml:space="preserve"> </w:t>
      </w:r>
    </w:p>
  </w:footnote>
  <w:footnote w:id="30">
    <w:p w14:paraId="33C27F65" w14:textId="15A8930D" w:rsidR="00A26916" w:rsidRPr="0023526B" w:rsidRDefault="00A26916">
      <w:pPr>
        <w:pStyle w:val="aff"/>
        <w:rPr>
          <w:lang w:val="ru-RU"/>
        </w:rPr>
      </w:pPr>
      <w:r>
        <w:rPr>
          <w:rStyle w:val="aff1"/>
        </w:rPr>
        <w:footnoteRef/>
      </w:r>
      <w:r w:rsidRPr="00A26916">
        <w:rPr>
          <w:lang w:val="ru-RU"/>
        </w:rPr>
        <w:t xml:space="preserve"> </w:t>
      </w:r>
    </w:p>
  </w:footnote>
  <w:footnote w:id="31">
    <w:p w14:paraId="29B515DC" w14:textId="77777777" w:rsidR="00A26916" w:rsidRPr="000F5B4B" w:rsidRDefault="00A26916" w:rsidP="00DD29A9">
      <w:pPr>
        <w:pStyle w:val="aff"/>
        <w:rPr>
          <w:lang w:val="ru-RU"/>
        </w:rPr>
      </w:pPr>
      <w:r>
        <w:rPr>
          <w:rStyle w:val="aff1"/>
        </w:rPr>
        <w:footnoteRef/>
      </w:r>
      <w:r w:rsidRPr="000F5B4B">
        <w:rPr>
          <w:lang w:val="ru-RU"/>
        </w:rPr>
        <w:t xml:space="preserve"> </w:t>
      </w:r>
    </w:p>
  </w:footnote>
  <w:footnote w:id="32">
    <w:p w14:paraId="7D3E7275" w14:textId="77777777" w:rsidR="00A26916" w:rsidRPr="005A0779" w:rsidRDefault="00A26916" w:rsidP="005A67CC">
      <w:pPr>
        <w:pStyle w:val="aff"/>
        <w:rPr>
          <w:lang w:val="ru-RU"/>
        </w:rPr>
      </w:pPr>
      <w:r>
        <w:rPr>
          <w:rStyle w:val="aff1"/>
        </w:rPr>
        <w:footnoteRef/>
      </w:r>
      <w:r w:rsidRPr="005A0779">
        <w:rPr>
          <w:lang w:val="ru-RU"/>
        </w:rPr>
        <w:t xml:space="preserve"> </w:t>
      </w:r>
      <w:r>
        <w:rPr>
          <w:lang w:val="ru-RU"/>
        </w:rPr>
        <w:t>Межведомственный план мероприятий по преодолению правовых барьеров к услугам по ВИЧ и ТБ в КР на 2022-2025 годы. Утвержден совместным приказом МЗ от 14.03.2022 № 311; МВД от 14.03.22 № 219; МЮ от 14.03.2022 № 34.</w:t>
      </w:r>
    </w:p>
  </w:footnote>
  <w:footnote w:id="33">
    <w:p w14:paraId="2BAF02E1" w14:textId="77777777" w:rsidR="00A26916" w:rsidRPr="00283814" w:rsidRDefault="00A26916" w:rsidP="000A67C7">
      <w:pPr>
        <w:pStyle w:val="aff"/>
      </w:pPr>
      <w:r>
        <w:rPr>
          <w:rStyle w:val="aff1"/>
        </w:rPr>
        <w:footnoteRef/>
      </w:r>
      <w:r w:rsidRPr="00867670">
        <w:rPr>
          <w:lang w:val="ru-RU"/>
        </w:rPr>
        <w:t xml:space="preserve"> </w:t>
      </w:r>
      <w:r>
        <w:rPr>
          <w:lang w:val="ru-RU"/>
        </w:rPr>
        <w:t>Анализ пути пациента, Кыргызстан</w:t>
      </w:r>
      <w:r w:rsidRPr="00867670">
        <w:rPr>
          <w:lang w:val="ru-RU"/>
        </w:rPr>
        <w:t>.</w:t>
      </w:r>
      <w:r>
        <w:rPr>
          <w:lang w:val="ru-RU"/>
        </w:rPr>
        <w:t xml:space="preserve"> </w:t>
      </w:r>
      <w:r>
        <w:t>TB</w:t>
      </w:r>
      <w:r w:rsidRPr="00283814">
        <w:t>-</w:t>
      </w:r>
      <w:r>
        <w:t>REP</w:t>
      </w:r>
      <w:r w:rsidRPr="00283814">
        <w:t xml:space="preserve">2.0; 2021. </w:t>
      </w:r>
    </w:p>
  </w:footnote>
  <w:footnote w:id="34">
    <w:p w14:paraId="6D01EC00" w14:textId="77777777" w:rsidR="00A26916" w:rsidRPr="00F53123" w:rsidRDefault="00A26916" w:rsidP="000169CB">
      <w:pPr>
        <w:pStyle w:val="aff"/>
        <w:rPr>
          <w:szCs w:val="16"/>
        </w:rPr>
      </w:pPr>
      <w:r>
        <w:rPr>
          <w:rStyle w:val="aff1"/>
        </w:rPr>
        <w:footnoteRef/>
      </w:r>
      <w:r>
        <w:t xml:space="preserve"> </w:t>
      </w:r>
      <w:r w:rsidRPr="00F53123">
        <w:rPr>
          <w:szCs w:val="16"/>
        </w:rPr>
        <w:t>Данные ЮНЭЙДС, 2022</w:t>
      </w:r>
    </w:p>
  </w:footnote>
  <w:footnote w:id="35">
    <w:p w14:paraId="7DC7AC50" w14:textId="77777777" w:rsidR="00A26916" w:rsidRPr="00F53123" w:rsidRDefault="00A26916" w:rsidP="000169CB">
      <w:pPr>
        <w:pStyle w:val="aff"/>
        <w:rPr>
          <w:szCs w:val="16"/>
        </w:rPr>
      </w:pPr>
      <w:r w:rsidRPr="00F53123">
        <w:rPr>
          <w:rStyle w:val="aff1"/>
          <w:szCs w:val="16"/>
        </w:rPr>
        <w:footnoteRef/>
      </w:r>
      <w:r w:rsidRPr="00F53123">
        <w:rPr>
          <w:szCs w:val="16"/>
        </w:rPr>
        <w:t xml:space="preserve"> UNAIDS Data 2022</w:t>
      </w:r>
    </w:p>
  </w:footnote>
  <w:footnote w:id="36">
    <w:p w14:paraId="702A840D" w14:textId="77777777" w:rsidR="00A26916" w:rsidRPr="00283814" w:rsidRDefault="00A26916" w:rsidP="000169CB">
      <w:pPr>
        <w:pStyle w:val="aff"/>
      </w:pPr>
      <w:r>
        <w:rPr>
          <w:rStyle w:val="aff1"/>
        </w:rPr>
        <w:footnoteRef/>
      </w:r>
      <w:r w:rsidRPr="00283814">
        <w:t xml:space="preserve"> </w:t>
      </w:r>
      <w:r w:rsidRPr="00C115DB">
        <w:rPr>
          <w:sz w:val="14"/>
          <w:szCs w:val="14"/>
        </w:rPr>
        <w:t>https</w:t>
      </w:r>
      <w:r w:rsidRPr="00283814">
        <w:rPr>
          <w:sz w:val="14"/>
          <w:szCs w:val="14"/>
        </w:rPr>
        <w:t>://</w:t>
      </w:r>
      <w:r w:rsidRPr="00C115DB">
        <w:rPr>
          <w:sz w:val="14"/>
          <w:szCs w:val="14"/>
        </w:rPr>
        <w:t>aidscenter</w:t>
      </w:r>
      <w:r w:rsidRPr="00283814">
        <w:rPr>
          <w:sz w:val="14"/>
          <w:szCs w:val="14"/>
        </w:rPr>
        <w:t>.</w:t>
      </w:r>
      <w:r w:rsidRPr="00C115DB">
        <w:rPr>
          <w:sz w:val="14"/>
          <w:szCs w:val="14"/>
        </w:rPr>
        <w:t>kg</w:t>
      </w:r>
      <w:r w:rsidRPr="00283814">
        <w:rPr>
          <w:sz w:val="14"/>
          <w:szCs w:val="14"/>
        </w:rPr>
        <w:t>/?</w:t>
      </w:r>
      <w:r w:rsidRPr="00C115DB">
        <w:rPr>
          <w:sz w:val="14"/>
          <w:szCs w:val="14"/>
        </w:rPr>
        <w:t>lang</w:t>
      </w:r>
      <w:r w:rsidRPr="00283814">
        <w:rPr>
          <w:sz w:val="14"/>
          <w:szCs w:val="14"/>
        </w:rPr>
        <w:t>=</w:t>
      </w:r>
      <w:r w:rsidRPr="00C115DB">
        <w:rPr>
          <w:sz w:val="14"/>
          <w:szCs w:val="14"/>
        </w:rPr>
        <w:t>ru</w:t>
      </w:r>
    </w:p>
  </w:footnote>
  <w:footnote w:id="37">
    <w:p w14:paraId="2A18E4D4" w14:textId="77777777" w:rsidR="00A26916" w:rsidRPr="00283814" w:rsidRDefault="00A26916" w:rsidP="000169CB">
      <w:pPr>
        <w:pStyle w:val="aff"/>
      </w:pPr>
      <w:r>
        <w:rPr>
          <w:rStyle w:val="aff1"/>
        </w:rPr>
        <w:footnoteRef/>
      </w:r>
      <w:r w:rsidRPr="00283814">
        <w:t xml:space="preserve"> </w:t>
      </w:r>
      <w:r w:rsidRPr="00036165">
        <w:rPr>
          <w:sz w:val="14"/>
          <w:szCs w:val="14"/>
        </w:rPr>
        <w:t>https</w:t>
      </w:r>
      <w:r w:rsidRPr="00283814">
        <w:rPr>
          <w:sz w:val="14"/>
          <w:szCs w:val="14"/>
        </w:rPr>
        <w:t>://</w:t>
      </w:r>
      <w:r w:rsidRPr="00036165">
        <w:rPr>
          <w:sz w:val="14"/>
          <w:szCs w:val="14"/>
        </w:rPr>
        <w:t>aidscenter</w:t>
      </w:r>
      <w:r w:rsidRPr="00283814">
        <w:rPr>
          <w:sz w:val="14"/>
          <w:szCs w:val="14"/>
        </w:rPr>
        <w:t>.</w:t>
      </w:r>
      <w:r w:rsidRPr="00036165">
        <w:rPr>
          <w:sz w:val="14"/>
          <w:szCs w:val="14"/>
        </w:rPr>
        <w:t>kg</w:t>
      </w:r>
      <w:r w:rsidRPr="00283814">
        <w:rPr>
          <w:sz w:val="14"/>
          <w:szCs w:val="14"/>
        </w:rPr>
        <w:t>/</w:t>
      </w:r>
      <w:r w:rsidRPr="00036165">
        <w:rPr>
          <w:sz w:val="14"/>
          <w:szCs w:val="14"/>
        </w:rPr>
        <w:t>statistika</w:t>
      </w:r>
      <w:r w:rsidRPr="00283814">
        <w:rPr>
          <w:sz w:val="14"/>
          <w:szCs w:val="14"/>
        </w:rPr>
        <w:t>/?</w:t>
      </w:r>
      <w:r w:rsidRPr="00036165">
        <w:rPr>
          <w:sz w:val="14"/>
          <w:szCs w:val="14"/>
        </w:rPr>
        <w:t>lang</w:t>
      </w:r>
      <w:r w:rsidRPr="00283814">
        <w:rPr>
          <w:sz w:val="14"/>
          <w:szCs w:val="14"/>
        </w:rPr>
        <w:t>=</w:t>
      </w:r>
      <w:r w:rsidRPr="00036165">
        <w:rPr>
          <w:sz w:val="14"/>
          <w:szCs w:val="14"/>
        </w:rPr>
        <w:t>ru</w:t>
      </w:r>
    </w:p>
  </w:footnote>
  <w:footnote w:id="38">
    <w:p w14:paraId="180F6778" w14:textId="77777777" w:rsidR="00A26916" w:rsidRPr="00283814" w:rsidRDefault="00A26916" w:rsidP="000169CB">
      <w:pPr>
        <w:pStyle w:val="aff"/>
        <w:rPr>
          <w:sz w:val="14"/>
          <w:szCs w:val="14"/>
        </w:rPr>
      </w:pPr>
      <w:r>
        <w:rPr>
          <w:rStyle w:val="aff1"/>
        </w:rPr>
        <w:footnoteRef/>
      </w:r>
      <w:r w:rsidRPr="00283814">
        <w:t xml:space="preserve"> </w:t>
      </w:r>
      <w:r w:rsidRPr="00C115DB">
        <w:rPr>
          <w:sz w:val="14"/>
          <w:szCs w:val="14"/>
        </w:rPr>
        <w:t>https</w:t>
      </w:r>
      <w:r w:rsidRPr="00283814">
        <w:rPr>
          <w:sz w:val="14"/>
          <w:szCs w:val="14"/>
        </w:rPr>
        <w:t>://</w:t>
      </w:r>
      <w:r w:rsidRPr="00C115DB">
        <w:rPr>
          <w:sz w:val="14"/>
          <w:szCs w:val="14"/>
        </w:rPr>
        <w:t>aidsinfo</w:t>
      </w:r>
      <w:r w:rsidRPr="00283814">
        <w:rPr>
          <w:sz w:val="14"/>
          <w:szCs w:val="14"/>
        </w:rPr>
        <w:t>.</w:t>
      </w:r>
      <w:r w:rsidRPr="00C115DB">
        <w:rPr>
          <w:sz w:val="14"/>
          <w:szCs w:val="14"/>
        </w:rPr>
        <w:t>unaids</w:t>
      </w:r>
      <w:r w:rsidRPr="00283814">
        <w:rPr>
          <w:sz w:val="14"/>
          <w:szCs w:val="14"/>
        </w:rPr>
        <w:t>.</w:t>
      </w:r>
      <w:r w:rsidRPr="00C115DB">
        <w:rPr>
          <w:sz w:val="14"/>
          <w:szCs w:val="14"/>
        </w:rPr>
        <w:t>org</w:t>
      </w:r>
      <w:r w:rsidRPr="00283814">
        <w:rPr>
          <w:sz w:val="14"/>
          <w:szCs w:val="14"/>
        </w:rPr>
        <w:t>/</w:t>
      </w:r>
    </w:p>
  </w:footnote>
  <w:footnote w:id="39">
    <w:p w14:paraId="220120E4" w14:textId="77777777" w:rsidR="00A26916" w:rsidRPr="00283814" w:rsidRDefault="00A26916" w:rsidP="000169CB">
      <w:pPr>
        <w:pStyle w:val="aff"/>
      </w:pPr>
      <w:r>
        <w:rPr>
          <w:rStyle w:val="aff1"/>
        </w:rPr>
        <w:footnoteRef/>
      </w:r>
      <w:r w:rsidRPr="00283814">
        <w:t xml:space="preserve"> </w:t>
      </w:r>
      <w:r w:rsidRPr="00C115DB">
        <w:rPr>
          <w:sz w:val="14"/>
          <w:szCs w:val="14"/>
        </w:rPr>
        <w:t>https</w:t>
      </w:r>
      <w:r w:rsidRPr="00283814">
        <w:rPr>
          <w:sz w:val="14"/>
          <w:szCs w:val="14"/>
        </w:rPr>
        <w:t>://</w:t>
      </w:r>
      <w:r w:rsidRPr="00C115DB">
        <w:rPr>
          <w:sz w:val="14"/>
          <w:szCs w:val="14"/>
        </w:rPr>
        <w:t>aidscenter</w:t>
      </w:r>
      <w:r w:rsidRPr="00283814">
        <w:rPr>
          <w:sz w:val="14"/>
          <w:szCs w:val="14"/>
        </w:rPr>
        <w:t>.</w:t>
      </w:r>
      <w:r w:rsidRPr="00C115DB">
        <w:rPr>
          <w:sz w:val="14"/>
          <w:szCs w:val="14"/>
        </w:rPr>
        <w:t>kg</w:t>
      </w:r>
      <w:r w:rsidRPr="00283814">
        <w:rPr>
          <w:sz w:val="14"/>
          <w:szCs w:val="14"/>
        </w:rPr>
        <w:t>/?</w:t>
      </w:r>
      <w:r w:rsidRPr="00C115DB">
        <w:rPr>
          <w:sz w:val="14"/>
          <w:szCs w:val="14"/>
        </w:rPr>
        <w:t>lang</w:t>
      </w:r>
      <w:r w:rsidRPr="00283814">
        <w:rPr>
          <w:sz w:val="14"/>
          <w:szCs w:val="14"/>
        </w:rPr>
        <w:t>=</w:t>
      </w:r>
      <w:r w:rsidRPr="00C115DB">
        <w:rPr>
          <w:sz w:val="14"/>
          <w:szCs w:val="14"/>
        </w:rPr>
        <w:t>ru</w:t>
      </w:r>
    </w:p>
  </w:footnote>
  <w:footnote w:id="40">
    <w:p w14:paraId="5966F30E" w14:textId="77777777" w:rsidR="00A26916" w:rsidRPr="00283814" w:rsidRDefault="00A26916" w:rsidP="000169CB">
      <w:pPr>
        <w:pStyle w:val="aff"/>
      </w:pPr>
      <w:r>
        <w:rPr>
          <w:rStyle w:val="aff1"/>
        </w:rPr>
        <w:footnoteRef/>
      </w:r>
      <w:r w:rsidRPr="00283814">
        <w:t xml:space="preserve"> </w:t>
      </w:r>
      <w:r w:rsidRPr="00AB7182">
        <w:rPr>
          <w:sz w:val="14"/>
          <w:szCs w:val="14"/>
        </w:rPr>
        <w:t>https</w:t>
      </w:r>
      <w:r w:rsidRPr="00283814">
        <w:rPr>
          <w:sz w:val="14"/>
          <w:szCs w:val="14"/>
        </w:rPr>
        <w:t>://</w:t>
      </w:r>
      <w:r w:rsidRPr="00AB7182">
        <w:rPr>
          <w:sz w:val="14"/>
          <w:szCs w:val="14"/>
        </w:rPr>
        <w:t>aidscenter</w:t>
      </w:r>
      <w:r w:rsidRPr="00283814">
        <w:rPr>
          <w:sz w:val="14"/>
          <w:szCs w:val="14"/>
        </w:rPr>
        <w:t>.</w:t>
      </w:r>
      <w:r w:rsidRPr="00AB7182">
        <w:rPr>
          <w:sz w:val="14"/>
          <w:szCs w:val="14"/>
        </w:rPr>
        <w:t>kg</w:t>
      </w:r>
      <w:r w:rsidRPr="00283814">
        <w:rPr>
          <w:sz w:val="14"/>
          <w:szCs w:val="14"/>
        </w:rPr>
        <w:t>/</w:t>
      </w:r>
      <w:r w:rsidRPr="00AB7182">
        <w:rPr>
          <w:sz w:val="14"/>
          <w:szCs w:val="14"/>
        </w:rPr>
        <w:t>statistika</w:t>
      </w:r>
      <w:r w:rsidRPr="00283814">
        <w:rPr>
          <w:sz w:val="14"/>
          <w:szCs w:val="14"/>
        </w:rPr>
        <w:t>/?</w:t>
      </w:r>
      <w:r w:rsidRPr="00AB7182">
        <w:rPr>
          <w:sz w:val="14"/>
          <w:szCs w:val="14"/>
        </w:rPr>
        <w:t>lang</w:t>
      </w:r>
      <w:r w:rsidRPr="00283814">
        <w:rPr>
          <w:sz w:val="14"/>
          <w:szCs w:val="14"/>
        </w:rPr>
        <w:t>=</w:t>
      </w:r>
      <w:r w:rsidRPr="00AB7182">
        <w:rPr>
          <w:sz w:val="14"/>
          <w:szCs w:val="14"/>
        </w:rPr>
        <w:t>ru</w:t>
      </w:r>
    </w:p>
  </w:footnote>
  <w:footnote w:id="41">
    <w:p w14:paraId="5D875067" w14:textId="77777777" w:rsidR="00A26916" w:rsidRPr="009D38A4" w:rsidRDefault="00A26916" w:rsidP="000169CB">
      <w:pPr>
        <w:pStyle w:val="aff"/>
        <w:rPr>
          <w:szCs w:val="16"/>
          <w:lang w:val="ru-RU"/>
        </w:rPr>
      </w:pPr>
      <w:r w:rsidRPr="00F53123">
        <w:rPr>
          <w:rStyle w:val="aff1"/>
          <w:szCs w:val="16"/>
        </w:rPr>
        <w:footnoteRef/>
      </w:r>
      <w:r w:rsidRPr="009D38A4">
        <w:rPr>
          <w:szCs w:val="16"/>
          <w:lang w:val="ru-RU"/>
        </w:rPr>
        <w:t xml:space="preserve"> Республиканский центр СПИДа Кыргызской Республики. Био-поведенческое исследование. 2021</w:t>
      </w:r>
    </w:p>
  </w:footnote>
  <w:footnote w:id="42">
    <w:p w14:paraId="2B2463F9" w14:textId="77777777" w:rsidR="00A26916" w:rsidRPr="00F53123" w:rsidRDefault="00A26916" w:rsidP="000169CB">
      <w:pPr>
        <w:pStyle w:val="aff"/>
        <w:rPr>
          <w:szCs w:val="16"/>
        </w:rPr>
      </w:pPr>
      <w:r w:rsidRPr="00F53123">
        <w:rPr>
          <w:rStyle w:val="aff1"/>
          <w:szCs w:val="16"/>
        </w:rPr>
        <w:footnoteRef/>
      </w:r>
      <w:r w:rsidRPr="009D38A4">
        <w:rPr>
          <w:szCs w:val="16"/>
          <w:lang w:val="ru-RU"/>
        </w:rPr>
        <w:t xml:space="preserve"> Республиканский центр СПИДа Кыргызской Республики. </w:t>
      </w:r>
      <w:r w:rsidRPr="00F53123">
        <w:rPr>
          <w:szCs w:val="16"/>
        </w:rPr>
        <w:t>Био-поведенческое исследование. 2021</w:t>
      </w:r>
    </w:p>
  </w:footnote>
  <w:footnote w:id="43">
    <w:p w14:paraId="2E1C1828" w14:textId="77777777" w:rsidR="00A26916" w:rsidRPr="00F53123" w:rsidRDefault="00A26916" w:rsidP="000169CB">
      <w:pPr>
        <w:pStyle w:val="aff"/>
        <w:rPr>
          <w:szCs w:val="16"/>
        </w:rPr>
      </w:pPr>
      <w:r w:rsidRPr="00F53123">
        <w:rPr>
          <w:rStyle w:val="aff1"/>
          <w:szCs w:val="16"/>
        </w:rPr>
        <w:footnoteRef/>
      </w:r>
      <w:r w:rsidRPr="00F53123">
        <w:rPr>
          <w:szCs w:val="16"/>
        </w:rPr>
        <w:t xml:space="preserve"> </w:t>
      </w:r>
      <w:r w:rsidRPr="00F53123">
        <w:rPr>
          <w:rFonts w:eastAsiaTheme="minorEastAsia"/>
          <w:szCs w:val="16"/>
          <w:lang w:eastAsia="zh-CN"/>
        </w:rPr>
        <w:t>UNODC. Central Asia Synthetic Drug Situation Assessment 2017. Available online at: https://www.unodc.org/unodc/en/scientists/Central-Asia-synthetic-drugs-situation-assessment.html</w:t>
      </w:r>
    </w:p>
  </w:footnote>
  <w:footnote w:id="44">
    <w:p w14:paraId="06D78210" w14:textId="77777777" w:rsidR="00A26916" w:rsidRPr="00283814" w:rsidRDefault="00A26916" w:rsidP="000169CB">
      <w:pPr>
        <w:pStyle w:val="aff"/>
      </w:pPr>
      <w:r>
        <w:rPr>
          <w:rStyle w:val="aff1"/>
        </w:rPr>
        <w:footnoteRef/>
      </w:r>
      <w:r w:rsidRPr="00283814">
        <w:t xml:space="preserve"> </w:t>
      </w:r>
      <w:r w:rsidRPr="00AB7182">
        <w:rPr>
          <w:sz w:val="14"/>
          <w:szCs w:val="14"/>
        </w:rPr>
        <w:t>https</w:t>
      </w:r>
      <w:r w:rsidRPr="00283814">
        <w:rPr>
          <w:sz w:val="14"/>
          <w:szCs w:val="14"/>
        </w:rPr>
        <w:t>://</w:t>
      </w:r>
      <w:r w:rsidRPr="00AB7182">
        <w:rPr>
          <w:sz w:val="14"/>
          <w:szCs w:val="14"/>
        </w:rPr>
        <w:t>www</w:t>
      </w:r>
      <w:r w:rsidRPr="00283814">
        <w:rPr>
          <w:sz w:val="14"/>
          <w:szCs w:val="14"/>
        </w:rPr>
        <w:t>.</w:t>
      </w:r>
      <w:r w:rsidRPr="00AB7182">
        <w:rPr>
          <w:sz w:val="14"/>
          <w:szCs w:val="14"/>
        </w:rPr>
        <w:t>stigmaindex</w:t>
      </w:r>
      <w:r w:rsidRPr="00283814">
        <w:rPr>
          <w:sz w:val="14"/>
          <w:szCs w:val="14"/>
        </w:rPr>
        <w:t>.</w:t>
      </w:r>
      <w:r w:rsidRPr="00AB7182">
        <w:rPr>
          <w:sz w:val="14"/>
          <w:szCs w:val="14"/>
        </w:rPr>
        <w:t>org</w:t>
      </w:r>
      <w:r w:rsidRPr="00283814">
        <w:rPr>
          <w:sz w:val="14"/>
          <w:szCs w:val="14"/>
        </w:rPr>
        <w:t>/</w:t>
      </w:r>
      <w:r w:rsidRPr="00AB7182">
        <w:rPr>
          <w:sz w:val="14"/>
          <w:szCs w:val="14"/>
        </w:rPr>
        <w:t>country</w:t>
      </w:r>
      <w:r w:rsidRPr="00283814">
        <w:rPr>
          <w:sz w:val="14"/>
          <w:szCs w:val="14"/>
        </w:rPr>
        <w:t>-</w:t>
      </w:r>
      <w:r w:rsidRPr="00AB7182">
        <w:rPr>
          <w:sz w:val="14"/>
          <w:szCs w:val="14"/>
        </w:rPr>
        <w:t>reports</w:t>
      </w:r>
      <w:r w:rsidRPr="00283814">
        <w:rPr>
          <w:sz w:val="14"/>
          <w:szCs w:val="14"/>
        </w:rPr>
        <w:t>/#/</w:t>
      </w:r>
      <w:r w:rsidRPr="00AB7182">
        <w:rPr>
          <w:sz w:val="14"/>
          <w:szCs w:val="14"/>
        </w:rPr>
        <w:t>m</w:t>
      </w:r>
      <w:r w:rsidRPr="00283814">
        <w:rPr>
          <w:sz w:val="14"/>
          <w:szCs w:val="14"/>
        </w:rPr>
        <w:t>/</w:t>
      </w:r>
      <w:r w:rsidRPr="00AB7182">
        <w:rPr>
          <w:sz w:val="14"/>
          <w:szCs w:val="14"/>
        </w:rPr>
        <w:t>KG</w:t>
      </w:r>
    </w:p>
  </w:footnote>
  <w:footnote w:id="45">
    <w:p w14:paraId="26030959" w14:textId="77777777" w:rsidR="00A26916" w:rsidRPr="0030100B" w:rsidRDefault="00A26916" w:rsidP="000169CB">
      <w:pPr>
        <w:pStyle w:val="aff"/>
        <w:rPr>
          <w:sz w:val="14"/>
          <w:szCs w:val="14"/>
          <w:lang w:val="ru-RU"/>
        </w:rPr>
      </w:pPr>
      <w:r w:rsidRPr="00A33CDB">
        <w:rPr>
          <w:rStyle w:val="aff1"/>
          <w:sz w:val="14"/>
          <w:szCs w:val="14"/>
        </w:rPr>
        <w:footnoteRef/>
      </w:r>
      <w:r w:rsidRPr="0030100B">
        <w:rPr>
          <w:sz w:val="14"/>
          <w:szCs w:val="14"/>
          <w:lang w:val="ru-RU"/>
        </w:rPr>
        <w:t xml:space="preserve"> Отчет по оценке численности ключевых групп (ЛУИН, СР), 2013 год</w:t>
      </w:r>
    </w:p>
  </w:footnote>
  <w:footnote w:id="46">
    <w:p w14:paraId="22C6B5C8" w14:textId="77777777" w:rsidR="00A26916" w:rsidRPr="0030100B" w:rsidRDefault="00A26916" w:rsidP="000169CB">
      <w:pPr>
        <w:pStyle w:val="aff"/>
        <w:rPr>
          <w:lang w:val="ru-RU"/>
        </w:rPr>
      </w:pPr>
      <w:r w:rsidRPr="00A33CDB">
        <w:rPr>
          <w:rStyle w:val="aff1"/>
          <w:sz w:val="14"/>
          <w:szCs w:val="14"/>
        </w:rPr>
        <w:footnoteRef/>
      </w:r>
      <w:r w:rsidRPr="0030100B">
        <w:rPr>
          <w:sz w:val="14"/>
          <w:szCs w:val="14"/>
          <w:lang w:val="ru-RU"/>
        </w:rPr>
        <w:t xml:space="preserve"> Программа Правительства Кыргызской Республики по преодолению ВИЧ-инфекции в Кыргызской Республике на 2017-2021 годы </w:t>
      </w:r>
      <w:r w:rsidRPr="00A33CDB">
        <w:rPr>
          <w:sz w:val="14"/>
          <w:szCs w:val="14"/>
        </w:rPr>
        <w:t>http</w:t>
      </w:r>
      <w:r w:rsidRPr="0030100B">
        <w:rPr>
          <w:sz w:val="14"/>
          <w:szCs w:val="14"/>
          <w:lang w:val="ru-RU"/>
        </w:rPr>
        <w:t>://</w:t>
      </w:r>
      <w:r w:rsidRPr="00A33CDB">
        <w:rPr>
          <w:sz w:val="14"/>
          <w:szCs w:val="14"/>
        </w:rPr>
        <w:t>cbd</w:t>
      </w:r>
      <w:r w:rsidRPr="0030100B">
        <w:rPr>
          <w:sz w:val="14"/>
          <w:szCs w:val="14"/>
          <w:lang w:val="ru-RU"/>
        </w:rPr>
        <w:t>.</w:t>
      </w:r>
      <w:r w:rsidRPr="00A33CDB">
        <w:rPr>
          <w:sz w:val="14"/>
          <w:szCs w:val="14"/>
        </w:rPr>
        <w:t>minjust</w:t>
      </w:r>
      <w:r w:rsidRPr="0030100B">
        <w:rPr>
          <w:sz w:val="14"/>
          <w:szCs w:val="14"/>
          <w:lang w:val="ru-RU"/>
        </w:rPr>
        <w:t>.</w:t>
      </w:r>
      <w:r w:rsidRPr="00A33CDB">
        <w:rPr>
          <w:sz w:val="14"/>
          <w:szCs w:val="14"/>
        </w:rPr>
        <w:t>gov</w:t>
      </w:r>
      <w:r w:rsidRPr="0030100B">
        <w:rPr>
          <w:sz w:val="14"/>
          <w:szCs w:val="14"/>
          <w:lang w:val="ru-RU"/>
        </w:rPr>
        <w:t>.</w:t>
      </w:r>
      <w:r w:rsidRPr="00A33CDB">
        <w:rPr>
          <w:sz w:val="14"/>
          <w:szCs w:val="14"/>
        </w:rPr>
        <w:t>kg</w:t>
      </w:r>
      <w:r w:rsidRPr="0030100B">
        <w:rPr>
          <w:sz w:val="14"/>
          <w:szCs w:val="14"/>
          <w:lang w:val="ru-RU"/>
        </w:rPr>
        <w:t>/</w:t>
      </w:r>
      <w:r w:rsidRPr="00A33CDB">
        <w:rPr>
          <w:sz w:val="14"/>
          <w:szCs w:val="14"/>
        </w:rPr>
        <w:t>act</w:t>
      </w:r>
      <w:r w:rsidRPr="0030100B">
        <w:rPr>
          <w:sz w:val="14"/>
          <w:szCs w:val="14"/>
          <w:lang w:val="ru-RU"/>
        </w:rPr>
        <w:t>/</w:t>
      </w:r>
      <w:r w:rsidRPr="00A33CDB">
        <w:rPr>
          <w:sz w:val="14"/>
          <w:szCs w:val="14"/>
        </w:rPr>
        <w:t>view</w:t>
      </w:r>
      <w:r w:rsidRPr="0030100B">
        <w:rPr>
          <w:sz w:val="14"/>
          <w:szCs w:val="14"/>
          <w:lang w:val="ru-RU"/>
        </w:rPr>
        <w:t>/</w:t>
      </w:r>
      <w:r w:rsidRPr="00A33CDB">
        <w:rPr>
          <w:sz w:val="14"/>
          <w:szCs w:val="14"/>
        </w:rPr>
        <w:t>ru</w:t>
      </w:r>
      <w:r w:rsidRPr="0030100B">
        <w:rPr>
          <w:sz w:val="14"/>
          <w:szCs w:val="14"/>
          <w:lang w:val="ru-RU"/>
        </w:rPr>
        <w:t>-</w:t>
      </w:r>
      <w:r w:rsidRPr="00A33CDB">
        <w:rPr>
          <w:sz w:val="14"/>
          <w:szCs w:val="14"/>
        </w:rPr>
        <w:t>ru</w:t>
      </w:r>
      <w:r w:rsidRPr="0030100B">
        <w:rPr>
          <w:sz w:val="14"/>
          <w:szCs w:val="14"/>
          <w:lang w:val="ru-RU"/>
        </w:rPr>
        <w:t>/11589</w:t>
      </w:r>
    </w:p>
  </w:footnote>
  <w:footnote w:id="47">
    <w:p w14:paraId="3C3875D3" w14:textId="77777777" w:rsidR="00A26916" w:rsidRPr="0030100B" w:rsidRDefault="00A26916" w:rsidP="000169CB">
      <w:pPr>
        <w:pStyle w:val="aff"/>
        <w:rPr>
          <w:lang w:val="ru-RU"/>
        </w:rPr>
      </w:pPr>
      <w:r>
        <w:rPr>
          <w:rStyle w:val="aff1"/>
        </w:rPr>
        <w:footnoteRef/>
      </w:r>
      <w:r w:rsidRPr="0030100B">
        <w:rPr>
          <w:lang w:val="ru-RU"/>
        </w:rPr>
        <w:t xml:space="preserve"> </w:t>
      </w:r>
      <w:r w:rsidRPr="0090273F">
        <w:rPr>
          <w:sz w:val="14"/>
          <w:szCs w:val="14"/>
        </w:rPr>
        <w:t>http</w:t>
      </w:r>
      <w:r w:rsidRPr="0030100B">
        <w:rPr>
          <w:sz w:val="14"/>
          <w:szCs w:val="14"/>
          <w:lang w:val="ru-RU"/>
        </w:rPr>
        <w:t>://</w:t>
      </w:r>
      <w:r w:rsidRPr="0090273F">
        <w:rPr>
          <w:sz w:val="14"/>
          <w:szCs w:val="14"/>
        </w:rPr>
        <w:t>cbd</w:t>
      </w:r>
      <w:r w:rsidRPr="0030100B">
        <w:rPr>
          <w:sz w:val="14"/>
          <w:szCs w:val="14"/>
          <w:lang w:val="ru-RU"/>
        </w:rPr>
        <w:t>.</w:t>
      </w:r>
      <w:r w:rsidRPr="0090273F">
        <w:rPr>
          <w:sz w:val="14"/>
          <w:szCs w:val="14"/>
        </w:rPr>
        <w:t>minjust</w:t>
      </w:r>
      <w:r w:rsidRPr="0030100B">
        <w:rPr>
          <w:sz w:val="14"/>
          <w:szCs w:val="14"/>
          <w:lang w:val="ru-RU"/>
        </w:rPr>
        <w:t>.</w:t>
      </w:r>
      <w:r w:rsidRPr="0090273F">
        <w:rPr>
          <w:sz w:val="14"/>
          <w:szCs w:val="14"/>
        </w:rPr>
        <w:t>gov</w:t>
      </w:r>
      <w:r w:rsidRPr="0030100B">
        <w:rPr>
          <w:sz w:val="14"/>
          <w:szCs w:val="14"/>
          <w:lang w:val="ru-RU"/>
        </w:rPr>
        <w:t>.</w:t>
      </w:r>
      <w:r w:rsidRPr="0090273F">
        <w:rPr>
          <w:sz w:val="14"/>
          <w:szCs w:val="14"/>
        </w:rPr>
        <w:t>kg</w:t>
      </w:r>
      <w:r w:rsidRPr="0030100B">
        <w:rPr>
          <w:sz w:val="14"/>
          <w:szCs w:val="14"/>
          <w:lang w:val="ru-RU"/>
        </w:rPr>
        <w:t>/</w:t>
      </w:r>
      <w:r w:rsidRPr="0090273F">
        <w:rPr>
          <w:sz w:val="14"/>
          <w:szCs w:val="14"/>
        </w:rPr>
        <w:t>act</w:t>
      </w:r>
      <w:r w:rsidRPr="0030100B">
        <w:rPr>
          <w:sz w:val="14"/>
          <w:szCs w:val="14"/>
          <w:lang w:val="ru-RU"/>
        </w:rPr>
        <w:t>/</w:t>
      </w:r>
      <w:r w:rsidRPr="0090273F">
        <w:rPr>
          <w:sz w:val="14"/>
          <w:szCs w:val="14"/>
        </w:rPr>
        <w:t>view</w:t>
      </w:r>
      <w:r w:rsidRPr="0030100B">
        <w:rPr>
          <w:sz w:val="14"/>
          <w:szCs w:val="14"/>
          <w:lang w:val="ru-RU"/>
        </w:rPr>
        <w:t>/</w:t>
      </w:r>
      <w:r w:rsidRPr="0090273F">
        <w:rPr>
          <w:sz w:val="14"/>
          <w:szCs w:val="14"/>
        </w:rPr>
        <w:t>ru</w:t>
      </w:r>
      <w:r w:rsidRPr="0030100B">
        <w:rPr>
          <w:sz w:val="14"/>
          <w:szCs w:val="14"/>
          <w:lang w:val="ru-RU"/>
        </w:rPr>
        <w:t>-</w:t>
      </w:r>
      <w:r w:rsidRPr="0090273F">
        <w:rPr>
          <w:sz w:val="14"/>
          <w:szCs w:val="14"/>
        </w:rPr>
        <w:t>ru</w:t>
      </w:r>
      <w:r w:rsidRPr="0030100B">
        <w:rPr>
          <w:sz w:val="14"/>
          <w:szCs w:val="14"/>
          <w:lang w:val="ru-RU"/>
        </w:rPr>
        <w:t>/12976</w:t>
      </w:r>
    </w:p>
  </w:footnote>
  <w:footnote w:id="48">
    <w:p w14:paraId="00EBCC32" w14:textId="77777777" w:rsidR="00A26916" w:rsidRPr="007C2DE2" w:rsidRDefault="00A26916" w:rsidP="00086663">
      <w:pPr>
        <w:pStyle w:val="aff"/>
      </w:pPr>
      <w:r>
        <w:rPr>
          <w:rStyle w:val="aff1"/>
          <w:lang w:val="ru"/>
        </w:rPr>
        <w:footnoteRef/>
      </w:r>
      <w:r w:rsidRPr="007C2DE2">
        <w:t xml:space="preserve"> Corbett C et al., 2020.</w:t>
      </w:r>
    </w:p>
  </w:footnote>
  <w:footnote w:id="49">
    <w:p w14:paraId="7B01D2D8" w14:textId="3AB0917D" w:rsidR="00A26916" w:rsidRPr="00D52B7D" w:rsidRDefault="00A26916">
      <w:pPr>
        <w:pStyle w:val="aff"/>
      </w:pPr>
      <w:r>
        <w:rPr>
          <w:rStyle w:val="aff1"/>
        </w:rPr>
        <w:footnoteRef/>
      </w:r>
      <w:r>
        <w:t xml:space="preserve"> The Program of the Kyrgyz Republic Government on Public Health Protection and Health Care System Development for 2019-2030 “Healthy Person – Prosperous Country”. Bishkek: Kyrgyz Republic Government; 2018 (http://zdrav2030.med. kg/index.php/en/2-uncategorised/23-the-program-of-thekyrgyz-republic-government-on-public-health-protectionand-health-care-system-development-for-2019-2030- healthy-person-prosperous-country).</w:t>
      </w:r>
    </w:p>
  </w:footnote>
  <w:footnote w:id="50">
    <w:p w14:paraId="45185252" w14:textId="5021FA39" w:rsidR="00A26916" w:rsidRPr="00D52B7D" w:rsidRDefault="00A26916">
      <w:pPr>
        <w:pStyle w:val="aff"/>
      </w:pPr>
      <w:r>
        <w:rPr>
          <w:rStyle w:val="aff1"/>
        </w:rPr>
        <w:footnoteRef/>
      </w:r>
      <w:r w:rsidRPr="00D52B7D">
        <w:t xml:space="preserve"> </w:t>
      </w:r>
      <w:r>
        <w:t>Compendium of the Roadmap for Health and Well-being in Central Asia (2022–2025). Copenhagen: WHO Regional Office for Europe; 2022. Licence: CC BY-NC-SA 3.0 IGO.</w:t>
      </w:r>
      <w:r w:rsidRPr="00037F8E">
        <w:t xml:space="preserve">, </w:t>
      </w:r>
      <w:r>
        <w:t>pp. 25-42 (</w:t>
      </w:r>
      <w:r w:rsidRPr="00D52B7D">
        <w:t>https://apps.who.int/iris/bitstream/handle/10665/364327/WHO-EURO-2022-5904-45669-65599-eng.pdf?sequence=1&amp;isAllowed=y</w:t>
      </w:r>
      <w:r>
        <w:t>)</w:t>
      </w:r>
    </w:p>
  </w:footnote>
  <w:footnote w:id="51">
    <w:p w14:paraId="2BCA6513" w14:textId="10D52674" w:rsidR="00A26916" w:rsidRPr="00A26916" w:rsidRDefault="00A26916">
      <w:pPr>
        <w:pStyle w:val="aff"/>
      </w:pPr>
      <w:r>
        <w:rPr>
          <w:rStyle w:val="aff1"/>
        </w:rPr>
        <w:footnoteRef/>
      </w:r>
      <w:r w:rsidRPr="00D52B7D">
        <w:t xml:space="preserve"> </w:t>
      </w:r>
      <w:r>
        <w:t>Biennial Collaborative Agreement between the Ministry of Health of the Kyrgyz Republic and the Regional Office for Europe of the World Health Organization 2022/2023 [DRAFT]. Copenhagen</w:t>
      </w:r>
      <w:r w:rsidRPr="00A26916">
        <w:t xml:space="preserve">: </w:t>
      </w:r>
      <w:r>
        <w:t>WHO</w:t>
      </w:r>
      <w:r w:rsidRPr="00A26916">
        <w:t xml:space="preserve"> </w:t>
      </w:r>
      <w:r>
        <w:t>Regional</w:t>
      </w:r>
      <w:r w:rsidRPr="00A26916">
        <w:t xml:space="preserve"> </w:t>
      </w:r>
      <w:r>
        <w:t>Office</w:t>
      </w:r>
      <w:r w:rsidRPr="00A26916">
        <w:t xml:space="preserve"> </w:t>
      </w:r>
      <w:r>
        <w:t>for</w:t>
      </w:r>
      <w:r w:rsidRPr="00A26916">
        <w:t xml:space="preserve"> </w:t>
      </w:r>
      <w:r>
        <w:t>Europe</w:t>
      </w:r>
      <w:r w:rsidRPr="00A26916">
        <w:t>; 2022.</w:t>
      </w:r>
    </w:p>
  </w:footnote>
  <w:footnote w:id="52">
    <w:p w14:paraId="0A5166D2" w14:textId="53010914" w:rsidR="00A26916" w:rsidRPr="00A26916" w:rsidRDefault="00A26916">
      <w:pPr>
        <w:pStyle w:val="aff"/>
      </w:pPr>
      <w:r>
        <w:rPr>
          <w:rStyle w:val="aff1"/>
        </w:rPr>
        <w:footnoteRef/>
      </w:r>
      <w:r w:rsidRPr="00A26916">
        <w:t xml:space="preserve"> </w:t>
      </w:r>
      <w:r w:rsidRPr="00DD2CBF">
        <w:t>http</w:t>
      </w:r>
      <w:r w:rsidRPr="00A26916">
        <w:t>://</w:t>
      </w:r>
      <w:r w:rsidRPr="00DD2CBF">
        <w:t>cbd</w:t>
      </w:r>
      <w:r w:rsidRPr="00A26916">
        <w:t>.</w:t>
      </w:r>
      <w:r w:rsidRPr="00DD2CBF">
        <w:t>minjust</w:t>
      </w:r>
      <w:r w:rsidRPr="00A26916">
        <w:t>.</w:t>
      </w:r>
      <w:r w:rsidRPr="00DD2CBF">
        <w:t>gov</w:t>
      </w:r>
      <w:r w:rsidRPr="00A26916">
        <w:t>.</w:t>
      </w:r>
      <w:r w:rsidRPr="00DD2CBF">
        <w:t>kg</w:t>
      </w:r>
      <w:r w:rsidRPr="00A26916">
        <w:t>/</w:t>
      </w:r>
      <w:r w:rsidRPr="00DD2CBF">
        <w:t>act</w:t>
      </w:r>
      <w:r w:rsidRPr="00A26916">
        <w:t>/</w:t>
      </w:r>
      <w:r w:rsidRPr="00DD2CBF">
        <w:t>view</w:t>
      </w:r>
      <w:r w:rsidRPr="00A26916">
        <w:t>/</w:t>
      </w:r>
      <w:r w:rsidRPr="00DD2CBF">
        <w:t>ru</w:t>
      </w:r>
      <w:r w:rsidRPr="00A26916">
        <w:t>-</w:t>
      </w:r>
      <w:r w:rsidRPr="00DD2CBF">
        <w:t>ru</w:t>
      </w:r>
      <w:r w:rsidRPr="00A26916">
        <w:t>/215621</w:t>
      </w:r>
    </w:p>
  </w:footnote>
  <w:footnote w:id="53">
    <w:p w14:paraId="2CB4AD86" w14:textId="77777777" w:rsidR="00A26916" w:rsidRPr="00041C8E" w:rsidRDefault="00A26916" w:rsidP="00AD24FF">
      <w:pPr>
        <w:pStyle w:val="aff"/>
        <w:rPr>
          <w:lang w:val="ru-RU"/>
        </w:rPr>
      </w:pPr>
      <w:r>
        <w:rPr>
          <w:rStyle w:val="aff1"/>
        </w:rPr>
        <w:footnoteRef/>
      </w:r>
      <w:r w:rsidRPr="00D737F0">
        <w:rPr>
          <w:lang w:val="ru-RU"/>
        </w:rPr>
        <w:t xml:space="preserve"> </w:t>
      </w:r>
    </w:p>
  </w:footnote>
  <w:footnote w:id="54">
    <w:p w14:paraId="2A71BAC8" w14:textId="77777777" w:rsidR="00A26916" w:rsidRPr="00041C8E" w:rsidRDefault="00A26916" w:rsidP="00AD24FF">
      <w:pPr>
        <w:pStyle w:val="aff"/>
        <w:rPr>
          <w:lang w:val="ru-RU"/>
        </w:rPr>
      </w:pPr>
      <w:r>
        <w:rPr>
          <w:rStyle w:val="aff1"/>
        </w:rPr>
        <w:footnoteRef/>
      </w:r>
      <w:r w:rsidRPr="00041C8E">
        <w:rPr>
          <w:lang w:val="ru-RU"/>
        </w:rPr>
        <w:t xml:space="preserve"> </w:t>
      </w:r>
    </w:p>
  </w:footnote>
  <w:footnote w:id="55">
    <w:p w14:paraId="5384E9ED" w14:textId="5321F768" w:rsidR="00A26916" w:rsidRPr="00D91969" w:rsidRDefault="00A26916">
      <w:pPr>
        <w:pStyle w:val="aff"/>
        <w:rPr>
          <w:lang w:val="ru-RU"/>
        </w:rPr>
      </w:pPr>
      <w:r>
        <w:rPr>
          <w:rStyle w:val="aff1"/>
        </w:rPr>
        <w:footnoteRef/>
      </w:r>
      <w:r w:rsidRPr="00D91969">
        <w:rPr>
          <w:lang w:val="ru-RU"/>
        </w:rPr>
        <w:t xml:space="preserve"> </w:t>
      </w:r>
      <w:r>
        <w:rPr>
          <w:lang w:val="ru-RU"/>
        </w:rPr>
        <w:t>Руководство</w:t>
      </w:r>
      <w:r w:rsidRPr="00D91969">
        <w:rPr>
          <w:lang w:val="ru-RU"/>
        </w:rPr>
        <w:t xml:space="preserve"> </w:t>
      </w:r>
      <w:r>
        <w:rPr>
          <w:lang w:val="ru-RU"/>
        </w:rPr>
        <w:t>по</w:t>
      </w:r>
      <w:r w:rsidRPr="00D91969">
        <w:rPr>
          <w:lang w:val="ru-RU"/>
        </w:rPr>
        <w:t xml:space="preserve"> </w:t>
      </w:r>
      <w:r>
        <w:rPr>
          <w:lang w:val="ru-RU"/>
        </w:rPr>
        <w:t>устойчивости</w:t>
      </w:r>
      <w:r w:rsidRPr="00D91969">
        <w:rPr>
          <w:lang w:val="ru-RU"/>
        </w:rPr>
        <w:t xml:space="preserve">, </w:t>
      </w:r>
      <w:r>
        <w:rPr>
          <w:lang w:val="ru-RU"/>
        </w:rPr>
        <w:t>переходу</w:t>
      </w:r>
      <w:r w:rsidRPr="00D91969">
        <w:rPr>
          <w:lang w:val="ru-RU"/>
        </w:rPr>
        <w:t xml:space="preserve"> </w:t>
      </w:r>
      <w:r>
        <w:rPr>
          <w:lang w:val="ru-RU"/>
        </w:rPr>
        <w:t>и</w:t>
      </w:r>
      <w:r w:rsidRPr="00D91969">
        <w:rPr>
          <w:lang w:val="ru-RU"/>
        </w:rPr>
        <w:t xml:space="preserve"> </w:t>
      </w:r>
      <w:r>
        <w:rPr>
          <w:lang w:val="ru-RU"/>
        </w:rPr>
        <w:t>софинансированию</w:t>
      </w:r>
      <w:r w:rsidRPr="00D91969">
        <w:rPr>
          <w:lang w:val="ru-RU"/>
        </w:rPr>
        <w:t xml:space="preserve"> - </w:t>
      </w:r>
      <w:hyperlink r:id="rId1" w:history="1">
        <w:r w:rsidRPr="00746BF3">
          <w:rPr>
            <w:rStyle w:val="afe"/>
          </w:rPr>
          <w:t>https</w:t>
        </w:r>
        <w:r w:rsidRPr="00D91969">
          <w:rPr>
            <w:rStyle w:val="afe"/>
            <w:lang w:val="ru-RU"/>
          </w:rPr>
          <w:t>://</w:t>
        </w:r>
        <w:r w:rsidRPr="00746BF3">
          <w:rPr>
            <w:rStyle w:val="afe"/>
          </w:rPr>
          <w:t>www</w:t>
        </w:r>
        <w:r w:rsidRPr="00D91969">
          <w:rPr>
            <w:rStyle w:val="afe"/>
            <w:lang w:val="ru-RU"/>
          </w:rPr>
          <w:t>.</w:t>
        </w:r>
        <w:r w:rsidRPr="00746BF3">
          <w:rPr>
            <w:rStyle w:val="afe"/>
          </w:rPr>
          <w:t>theglobalfund</w:t>
        </w:r>
        <w:r w:rsidRPr="00D91969">
          <w:rPr>
            <w:rStyle w:val="afe"/>
            <w:lang w:val="ru-RU"/>
          </w:rPr>
          <w:t>.</w:t>
        </w:r>
        <w:r w:rsidRPr="00746BF3">
          <w:rPr>
            <w:rStyle w:val="afe"/>
          </w:rPr>
          <w:t>org</w:t>
        </w:r>
        <w:r w:rsidRPr="00D91969">
          <w:rPr>
            <w:rStyle w:val="afe"/>
            <w:lang w:val="ru-RU"/>
          </w:rPr>
          <w:t>/</w:t>
        </w:r>
        <w:r w:rsidRPr="00746BF3">
          <w:rPr>
            <w:rStyle w:val="afe"/>
          </w:rPr>
          <w:t>media</w:t>
        </w:r>
        <w:r w:rsidRPr="00D91969">
          <w:rPr>
            <w:rStyle w:val="afe"/>
            <w:lang w:val="ru-RU"/>
          </w:rPr>
          <w:t>/5648/</w:t>
        </w:r>
        <w:r w:rsidRPr="00746BF3">
          <w:rPr>
            <w:rStyle w:val="afe"/>
          </w:rPr>
          <w:t>core</w:t>
        </w:r>
        <w:r w:rsidRPr="00D91969">
          <w:rPr>
            <w:rStyle w:val="afe"/>
            <w:lang w:val="ru-RU"/>
          </w:rPr>
          <w:t>_</w:t>
        </w:r>
        <w:r w:rsidRPr="00746BF3">
          <w:rPr>
            <w:rStyle w:val="afe"/>
          </w:rPr>
          <w:t>sustainabilityandtransition</w:t>
        </w:r>
        <w:r w:rsidRPr="00D91969">
          <w:rPr>
            <w:rStyle w:val="afe"/>
            <w:lang w:val="ru-RU"/>
          </w:rPr>
          <w:t>_</w:t>
        </w:r>
        <w:r w:rsidRPr="00746BF3">
          <w:rPr>
            <w:rStyle w:val="afe"/>
          </w:rPr>
          <w:t>guidancenote</w:t>
        </w:r>
        <w:r w:rsidRPr="00D91969">
          <w:rPr>
            <w:rStyle w:val="afe"/>
            <w:lang w:val="ru-RU"/>
          </w:rPr>
          <w:t>_</w:t>
        </w:r>
        <w:r w:rsidRPr="00746BF3">
          <w:rPr>
            <w:rStyle w:val="afe"/>
          </w:rPr>
          <w:t>en</w:t>
        </w:r>
        <w:r w:rsidRPr="00D91969">
          <w:rPr>
            <w:rStyle w:val="afe"/>
            <w:lang w:val="ru-RU"/>
          </w:rPr>
          <w:t>.</w:t>
        </w:r>
        <w:r w:rsidRPr="00746BF3">
          <w:rPr>
            <w:rStyle w:val="afe"/>
          </w:rPr>
          <w:t>pdf</w:t>
        </w:r>
      </w:hyperlink>
      <w:r w:rsidRPr="00D91969">
        <w:rPr>
          <w:lang w:val="ru-RU"/>
        </w:rPr>
        <w:t xml:space="preserve"> </w:t>
      </w:r>
    </w:p>
  </w:footnote>
  <w:footnote w:id="56">
    <w:p w14:paraId="79091B43" w14:textId="0B8DC10A" w:rsidR="00A26916" w:rsidRPr="002C3544" w:rsidRDefault="00A26916">
      <w:pPr>
        <w:pStyle w:val="aff"/>
        <w:rPr>
          <w:lang w:val="ru-RU"/>
        </w:rPr>
      </w:pPr>
      <w:r>
        <w:rPr>
          <w:rStyle w:val="aff1"/>
        </w:rPr>
        <w:footnoteRef/>
      </w:r>
      <w:r w:rsidRPr="002C3544">
        <w:rPr>
          <w:lang w:val="ru-RU"/>
        </w:rPr>
        <w:t xml:space="preserve"> </w:t>
      </w:r>
      <w:r>
        <w:rPr>
          <w:lang w:val="ru-RU"/>
        </w:rPr>
        <w:t>Инструкции</w:t>
      </w:r>
      <w:r w:rsidRPr="002C3544">
        <w:rPr>
          <w:lang w:val="ru-RU"/>
        </w:rPr>
        <w:t xml:space="preserve"> </w:t>
      </w:r>
      <w:r>
        <w:rPr>
          <w:lang w:val="ru-RU"/>
        </w:rPr>
        <w:t>по</w:t>
      </w:r>
      <w:r w:rsidRPr="002C3544">
        <w:rPr>
          <w:lang w:val="ru-RU"/>
        </w:rPr>
        <w:t xml:space="preserve"> </w:t>
      </w:r>
      <w:r>
        <w:rPr>
          <w:lang w:val="ru-RU"/>
        </w:rPr>
        <w:t>заявке</w:t>
      </w:r>
      <w:r w:rsidRPr="002C3544">
        <w:rPr>
          <w:lang w:val="ru-RU"/>
        </w:rPr>
        <w:t xml:space="preserve"> </w:t>
      </w:r>
      <w:r>
        <w:rPr>
          <w:lang w:val="ru-RU"/>
        </w:rPr>
        <w:t>для</w:t>
      </w:r>
      <w:r w:rsidRPr="002C3544">
        <w:rPr>
          <w:lang w:val="ru-RU"/>
        </w:rPr>
        <w:t xml:space="preserve"> </w:t>
      </w:r>
      <w:r>
        <w:rPr>
          <w:lang w:val="ru-RU"/>
        </w:rPr>
        <w:t>целевых</w:t>
      </w:r>
      <w:r w:rsidRPr="002C3544">
        <w:rPr>
          <w:lang w:val="ru-RU"/>
        </w:rPr>
        <w:t xml:space="preserve"> </w:t>
      </w:r>
      <w:r>
        <w:rPr>
          <w:lang w:val="ru-RU"/>
        </w:rPr>
        <w:t>портфелей</w:t>
      </w:r>
      <w:r w:rsidRPr="002C3544">
        <w:rPr>
          <w:lang w:val="ru-RU"/>
        </w:rPr>
        <w:t xml:space="preserve"> - </w:t>
      </w:r>
      <w:hyperlink r:id="rId2" w:history="1">
        <w:r w:rsidRPr="00746BF3">
          <w:rPr>
            <w:rStyle w:val="afe"/>
          </w:rPr>
          <w:t>https</w:t>
        </w:r>
        <w:r w:rsidRPr="002C3544">
          <w:rPr>
            <w:rStyle w:val="afe"/>
            <w:lang w:val="ru-RU"/>
          </w:rPr>
          <w:t>://</w:t>
        </w:r>
        <w:r w:rsidRPr="00746BF3">
          <w:rPr>
            <w:rStyle w:val="afe"/>
          </w:rPr>
          <w:t>www</w:t>
        </w:r>
        <w:r w:rsidRPr="002C3544">
          <w:rPr>
            <w:rStyle w:val="afe"/>
            <w:lang w:val="ru-RU"/>
          </w:rPr>
          <w:t>.</w:t>
        </w:r>
        <w:r w:rsidRPr="00746BF3">
          <w:rPr>
            <w:rStyle w:val="afe"/>
          </w:rPr>
          <w:t>theglobalfund</w:t>
        </w:r>
        <w:r w:rsidRPr="002C3544">
          <w:rPr>
            <w:rStyle w:val="afe"/>
            <w:lang w:val="ru-RU"/>
          </w:rPr>
          <w:t>.</w:t>
        </w:r>
        <w:r w:rsidRPr="00746BF3">
          <w:rPr>
            <w:rStyle w:val="afe"/>
          </w:rPr>
          <w:t>org</w:t>
        </w:r>
        <w:r w:rsidRPr="002C3544">
          <w:rPr>
            <w:rStyle w:val="afe"/>
            <w:lang w:val="ru-RU"/>
          </w:rPr>
          <w:t>/</w:t>
        </w:r>
        <w:r w:rsidRPr="00746BF3">
          <w:rPr>
            <w:rStyle w:val="afe"/>
          </w:rPr>
          <w:t>media</w:t>
        </w:r>
        <w:r w:rsidRPr="002C3544">
          <w:rPr>
            <w:rStyle w:val="afe"/>
            <w:lang w:val="ru-RU"/>
          </w:rPr>
          <w:t>/8598/</w:t>
        </w:r>
        <w:r w:rsidRPr="00746BF3">
          <w:rPr>
            <w:rStyle w:val="afe"/>
          </w:rPr>
          <w:t>fundingrequest</w:t>
        </w:r>
        <w:r w:rsidRPr="002C3544">
          <w:rPr>
            <w:rStyle w:val="afe"/>
            <w:lang w:val="ru-RU"/>
          </w:rPr>
          <w:t>_</w:t>
        </w:r>
        <w:r w:rsidRPr="00746BF3">
          <w:rPr>
            <w:rStyle w:val="afe"/>
          </w:rPr>
          <w:t>focusedportfolio</w:t>
        </w:r>
        <w:r w:rsidRPr="002C3544">
          <w:rPr>
            <w:rStyle w:val="afe"/>
            <w:lang w:val="ru-RU"/>
          </w:rPr>
          <w:t>_</w:t>
        </w:r>
        <w:r w:rsidRPr="00746BF3">
          <w:rPr>
            <w:rStyle w:val="afe"/>
          </w:rPr>
          <w:t>instructions</w:t>
        </w:r>
        <w:r w:rsidRPr="002C3544">
          <w:rPr>
            <w:rStyle w:val="afe"/>
            <w:lang w:val="ru-RU"/>
          </w:rPr>
          <w:t>_</w:t>
        </w:r>
        <w:r w:rsidRPr="00746BF3">
          <w:rPr>
            <w:rStyle w:val="afe"/>
          </w:rPr>
          <w:t>en</w:t>
        </w:r>
        <w:r w:rsidRPr="002C3544">
          <w:rPr>
            <w:rStyle w:val="afe"/>
            <w:lang w:val="ru-RU"/>
          </w:rPr>
          <w:t>.</w:t>
        </w:r>
        <w:r w:rsidRPr="00746BF3">
          <w:rPr>
            <w:rStyle w:val="afe"/>
          </w:rPr>
          <w:t>pdf</w:t>
        </w:r>
      </w:hyperlink>
      <w:r w:rsidRPr="002C3544">
        <w:rPr>
          <w:lang w:val="ru-R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A26916" w14:paraId="78B66264" w14:textId="77777777" w:rsidTr="3AE6F0BB">
      <w:tc>
        <w:tcPr>
          <w:tcW w:w="3210" w:type="dxa"/>
        </w:tcPr>
        <w:p w14:paraId="7DB5CB2C" w14:textId="77777777" w:rsidR="00A26916" w:rsidRDefault="00A26916" w:rsidP="3AE6F0BB">
          <w:pPr>
            <w:pStyle w:val="af8"/>
            <w:ind w:left="-115"/>
            <w:rPr>
              <w:szCs w:val="14"/>
            </w:rPr>
          </w:pPr>
        </w:p>
      </w:tc>
      <w:tc>
        <w:tcPr>
          <w:tcW w:w="3210" w:type="dxa"/>
        </w:tcPr>
        <w:p w14:paraId="424062F3" w14:textId="77777777" w:rsidR="00A26916" w:rsidRDefault="00A26916" w:rsidP="3AE6F0BB">
          <w:pPr>
            <w:pStyle w:val="af8"/>
            <w:jc w:val="center"/>
            <w:rPr>
              <w:szCs w:val="14"/>
            </w:rPr>
          </w:pPr>
        </w:p>
      </w:tc>
      <w:tc>
        <w:tcPr>
          <w:tcW w:w="3210" w:type="dxa"/>
        </w:tcPr>
        <w:p w14:paraId="3B20E9CE" w14:textId="77777777" w:rsidR="00A26916" w:rsidRDefault="00A26916" w:rsidP="3AE6F0BB">
          <w:pPr>
            <w:pStyle w:val="af8"/>
            <w:ind w:right="-115"/>
            <w:jc w:val="right"/>
            <w:rPr>
              <w:szCs w:val="14"/>
            </w:rPr>
          </w:pPr>
        </w:p>
      </w:tc>
    </w:tr>
  </w:tbl>
  <w:p w14:paraId="07E99F60" w14:textId="77777777" w:rsidR="00A26916" w:rsidRDefault="00A26916" w:rsidP="3AE6F0BB">
    <w:pPr>
      <w:pStyle w:val="af8"/>
      <w:rPr>
        <w:szCs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Plain"/>
      <w:tblW w:w="5000" w:type="pct"/>
      <w:tblLook w:val="04A0" w:firstRow="1" w:lastRow="0" w:firstColumn="1" w:lastColumn="0" w:noHBand="0" w:noVBand="1"/>
    </w:tblPr>
    <w:tblGrid>
      <w:gridCol w:w="2265"/>
      <w:gridCol w:w="7207"/>
    </w:tblGrid>
    <w:tr w:rsidR="00A26916" w14:paraId="72ADB507" w14:textId="77777777" w:rsidTr="00AD5B71">
      <w:trPr>
        <w:trHeight w:val="2551"/>
      </w:trPr>
      <w:tc>
        <w:tcPr>
          <w:tcW w:w="1176" w:type="pct"/>
        </w:tcPr>
        <w:p w14:paraId="307FF5D5" w14:textId="77777777" w:rsidR="00A26916" w:rsidRDefault="00A26916">
          <w:pPr>
            <w:pStyle w:val="af8"/>
          </w:pPr>
        </w:p>
      </w:tc>
      <w:tc>
        <w:tcPr>
          <w:tcW w:w="3824" w:type="pct"/>
        </w:tcPr>
        <w:p w14:paraId="3806A9D2" w14:textId="77777777" w:rsidR="00A26916" w:rsidRDefault="00A26916">
          <w:pPr>
            <w:pStyle w:val="af8"/>
          </w:pPr>
        </w:p>
      </w:tc>
    </w:tr>
    <w:tr w:rsidR="00A26916" w14:paraId="6A83914E" w14:textId="77777777" w:rsidTr="00892178">
      <w:trPr>
        <w:trHeight w:val="1008"/>
      </w:trPr>
      <w:sdt>
        <w:sdtPr>
          <w:alias w:val="Form.DocLang.Logo_stacked_black"/>
          <w:tag w:val="{&quot;templafy&quot;:{&quot;id&quot;:&quot;49598a8a-1609-4e0f-877c-71289e796f97&quot;}}"/>
          <w:id w:val="911042825"/>
          <w:picture/>
        </w:sdtPr>
        <w:sdtContent>
          <w:tc>
            <w:tcPr>
              <w:tcW w:w="1176" w:type="pct"/>
              <w:vAlign w:val="center"/>
            </w:tcPr>
            <w:p w14:paraId="0D06C249" w14:textId="77777777" w:rsidR="00A26916" w:rsidRDefault="00A26916" w:rsidP="00892178">
              <w:pPr>
                <w:pStyle w:val="af8"/>
              </w:pPr>
              <w:r>
                <w:rPr>
                  <w:noProof/>
                  <w:lang w:val="ru-RU" w:eastAsia="ru-RU"/>
                </w:rPr>
                <w:drawing>
                  <wp:inline distT="0" distB="0" distL="0" distR="0" wp14:anchorId="4EF769AC" wp14:editId="049DC94C">
                    <wp:extent cx="1438820" cy="493560"/>
                    <wp:effectExtent l="0" t="0" r="0" b="0"/>
                    <wp:docPr id="2" name="Picture 24"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2095689773" name="Picture 24"/>
                            <pic:cNvPicPr/>
                          </pic:nvPicPr>
                          <pic:blipFill>
                            <a:blip r:embed="rId1"/>
                            <a:srcRect/>
                            <a:stretch/>
                          </pic:blipFill>
                          <pic:spPr>
                            <a:xfrm>
                              <a:off x="0" y="0"/>
                              <a:ext cx="1438820" cy="493560"/>
                            </a:xfrm>
                            <a:prstGeom prst="rect">
                              <a:avLst/>
                            </a:prstGeom>
                          </pic:spPr>
                        </pic:pic>
                      </a:graphicData>
                    </a:graphic>
                  </wp:inline>
                </w:drawing>
              </w:r>
            </w:p>
          </w:tc>
        </w:sdtContent>
      </w:sdt>
      <w:tc>
        <w:tcPr>
          <w:tcW w:w="3824" w:type="pct"/>
        </w:tcPr>
        <w:p w14:paraId="7EB9CC73" w14:textId="77777777" w:rsidR="00A26916" w:rsidRDefault="00A26916">
          <w:pPr>
            <w:pStyle w:val="af8"/>
          </w:pPr>
        </w:p>
        <w:p w14:paraId="57581DFF" w14:textId="0ECD8D7E" w:rsidR="00A26916" w:rsidRPr="00892178" w:rsidRDefault="00A26916" w:rsidP="00892178">
          <w:pPr>
            <w:ind w:firstLine="720"/>
          </w:pPr>
        </w:p>
      </w:tc>
    </w:tr>
    <w:tr w:rsidR="00A26916" w14:paraId="0AB664E3" w14:textId="77777777" w:rsidTr="00AD5B71">
      <w:trPr>
        <w:trHeight w:val="1417"/>
      </w:trPr>
      <w:tc>
        <w:tcPr>
          <w:tcW w:w="1176" w:type="pct"/>
        </w:tcPr>
        <w:p w14:paraId="546A5D16" w14:textId="77777777" w:rsidR="00A26916" w:rsidRDefault="00A26916">
          <w:pPr>
            <w:pStyle w:val="af8"/>
          </w:pPr>
        </w:p>
      </w:tc>
      <w:tc>
        <w:tcPr>
          <w:tcW w:w="3824" w:type="pct"/>
        </w:tcPr>
        <w:p w14:paraId="0F820995" w14:textId="77777777" w:rsidR="00A26916" w:rsidRDefault="00A26916">
          <w:pPr>
            <w:pStyle w:val="af8"/>
          </w:pPr>
        </w:p>
      </w:tc>
    </w:tr>
  </w:tbl>
  <w:p w14:paraId="1248FE15" w14:textId="77777777" w:rsidR="00A26916" w:rsidRDefault="00A26916">
    <w:pPr>
      <w:pStyle w:val="af8"/>
    </w:pPr>
    <w:r>
      <w:rPr>
        <w:noProof/>
        <w:lang w:val="ru-RU" w:eastAsia="ru-RU"/>
      </w:rPr>
      <w:drawing>
        <wp:anchor distT="0" distB="0" distL="114300" distR="114300" simplePos="0" relativeHeight="251658241" behindDoc="1" locked="0" layoutInCell="1" allowOverlap="1" wp14:anchorId="34402BF9" wp14:editId="1CE3AE40">
          <wp:simplePos x="0" y="0"/>
          <wp:positionH relativeFrom="page">
            <wp:posOffset>0</wp:posOffset>
          </wp:positionH>
          <wp:positionV relativeFrom="page">
            <wp:posOffset>0</wp:posOffset>
          </wp:positionV>
          <wp:extent cx="7558560" cy="157104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extLst>
                      <a:ext uri="{28A0092B-C50C-407E-A947-70E740481C1C}">
                        <a14:useLocalDpi xmlns:a14="http://schemas.microsoft.com/office/drawing/2010/main" val="0"/>
                      </a:ext>
                    </a:extLst>
                  </a:blip>
                  <a:stretch>
                    <a:fillRect/>
                  </a:stretch>
                </pic:blipFill>
                <pic:spPr>
                  <a:xfrm>
                    <a:off x="0" y="0"/>
                    <a:ext cx="7558560" cy="1571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A26916" w14:paraId="27667EEA" w14:textId="77777777" w:rsidTr="3AE6F0BB">
      <w:tc>
        <w:tcPr>
          <w:tcW w:w="3210" w:type="dxa"/>
        </w:tcPr>
        <w:p w14:paraId="5BE7DC85" w14:textId="77777777" w:rsidR="00A26916" w:rsidRDefault="00A26916" w:rsidP="3AE6F0BB">
          <w:pPr>
            <w:pStyle w:val="af8"/>
            <w:ind w:left="-115"/>
            <w:rPr>
              <w:szCs w:val="14"/>
            </w:rPr>
          </w:pPr>
        </w:p>
      </w:tc>
      <w:tc>
        <w:tcPr>
          <w:tcW w:w="3210" w:type="dxa"/>
        </w:tcPr>
        <w:p w14:paraId="6903C589" w14:textId="77777777" w:rsidR="00A26916" w:rsidRDefault="00A26916" w:rsidP="3AE6F0BB">
          <w:pPr>
            <w:pStyle w:val="af8"/>
            <w:jc w:val="center"/>
            <w:rPr>
              <w:szCs w:val="14"/>
            </w:rPr>
          </w:pPr>
        </w:p>
      </w:tc>
      <w:tc>
        <w:tcPr>
          <w:tcW w:w="3210" w:type="dxa"/>
        </w:tcPr>
        <w:p w14:paraId="50BE1633" w14:textId="77777777" w:rsidR="00A26916" w:rsidRDefault="00A26916" w:rsidP="3AE6F0BB">
          <w:pPr>
            <w:pStyle w:val="af8"/>
            <w:ind w:right="-115"/>
            <w:jc w:val="right"/>
            <w:rPr>
              <w:szCs w:val="14"/>
            </w:rPr>
          </w:pPr>
        </w:p>
      </w:tc>
    </w:tr>
  </w:tbl>
  <w:p w14:paraId="221FAF6D" w14:textId="77777777" w:rsidR="00A26916" w:rsidRDefault="00A26916" w:rsidP="3AE6F0BB">
    <w:pPr>
      <w:pStyle w:val="af8"/>
      <w:rPr>
        <w:szCs w:val="1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Plain"/>
      <w:tblW w:w="5000" w:type="pct"/>
      <w:tblLook w:val="04A0" w:firstRow="1" w:lastRow="0" w:firstColumn="1" w:lastColumn="0" w:noHBand="0" w:noVBand="1"/>
    </w:tblPr>
    <w:tblGrid>
      <w:gridCol w:w="2265"/>
      <w:gridCol w:w="7207"/>
    </w:tblGrid>
    <w:tr w:rsidR="00A26916" w14:paraId="24DD89D1" w14:textId="77777777" w:rsidTr="00AD5B71">
      <w:trPr>
        <w:trHeight w:val="2551"/>
      </w:trPr>
      <w:tc>
        <w:tcPr>
          <w:tcW w:w="1176" w:type="pct"/>
        </w:tcPr>
        <w:p w14:paraId="012EDBAE" w14:textId="77777777" w:rsidR="00A26916" w:rsidRDefault="00A26916">
          <w:pPr>
            <w:pStyle w:val="af8"/>
          </w:pPr>
        </w:p>
      </w:tc>
      <w:tc>
        <w:tcPr>
          <w:tcW w:w="3824" w:type="pct"/>
        </w:tcPr>
        <w:p w14:paraId="7DAE5AC7" w14:textId="77777777" w:rsidR="00A26916" w:rsidRDefault="00A26916">
          <w:pPr>
            <w:pStyle w:val="af8"/>
          </w:pPr>
        </w:p>
      </w:tc>
    </w:tr>
    <w:tr w:rsidR="00A26916" w14:paraId="0736FBA5" w14:textId="77777777" w:rsidTr="00AD5B71">
      <w:sdt>
        <w:sdtPr>
          <w:alias w:val="Form.DocLang.Logo_stacked_black"/>
          <w:tag w:val="{&quot;templafy&quot;:{&quot;id&quot;:&quot;49598a8a-1609-4e0f-877c-71289e796f97&quot;}}"/>
          <w:id w:val="-1242175912"/>
          <w:picture/>
        </w:sdtPr>
        <w:sdtContent>
          <w:tc>
            <w:tcPr>
              <w:tcW w:w="1176" w:type="pct"/>
            </w:tcPr>
            <w:p w14:paraId="61FCF02A" w14:textId="77777777" w:rsidR="00A26916" w:rsidRDefault="00A26916">
              <w:pPr>
                <w:pStyle w:val="af8"/>
              </w:pPr>
              <w:r>
                <w:rPr>
                  <w:noProof/>
                  <w:lang w:val="ru-RU" w:eastAsia="ru-RU"/>
                </w:rPr>
                <w:drawing>
                  <wp:inline distT="0" distB="0" distL="0" distR="0" wp14:anchorId="64B42F30" wp14:editId="6F833906">
                    <wp:extent cx="1438820" cy="493560"/>
                    <wp:effectExtent l="0" t="0" r="0" b="0"/>
                    <wp:docPr id="11" name="Picture 24"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2095689773" name="Picture 24"/>
                            <pic:cNvPicPr/>
                          </pic:nvPicPr>
                          <pic:blipFill>
                            <a:blip r:embed="rId1"/>
                            <a:srcRect/>
                            <a:stretch/>
                          </pic:blipFill>
                          <pic:spPr>
                            <a:xfrm>
                              <a:off x="0" y="0"/>
                              <a:ext cx="1438820" cy="493560"/>
                            </a:xfrm>
                            <a:prstGeom prst="rect">
                              <a:avLst/>
                            </a:prstGeom>
                          </pic:spPr>
                        </pic:pic>
                      </a:graphicData>
                    </a:graphic>
                  </wp:inline>
                </w:drawing>
              </w:r>
            </w:p>
          </w:tc>
        </w:sdtContent>
      </w:sdt>
      <w:tc>
        <w:tcPr>
          <w:tcW w:w="3824" w:type="pct"/>
        </w:tcPr>
        <w:p w14:paraId="3F9661E9" w14:textId="77777777" w:rsidR="00A26916" w:rsidRDefault="00A26916">
          <w:pPr>
            <w:pStyle w:val="af8"/>
          </w:pPr>
        </w:p>
      </w:tc>
    </w:tr>
    <w:tr w:rsidR="00A26916" w14:paraId="7B5CB334" w14:textId="77777777" w:rsidTr="00AD5B71">
      <w:trPr>
        <w:trHeight w:val="1417"/>
      </w:trPr>
      <w:tc>
        <w:tcPr>
          <w:tcW w:w="1176" w:type="pct"/>
        </w:tcPr>
        <w:p w14:paraId="63608DCE" w14:textId="77777777" w:rsidR="00A26916" w:rsidRDefault="00A26916">
          <w:pPr>
            <w:pStyle w:val="af8"/>
          </w:pPr>
        </w:p>
      </w:tc>
      <w:tc>
        <w:tcPr>
          <w:tcW w:w="3824" w:type="pct"/>
        </w:tcPr>
        <w:p w14:paraId="0A2CFFC4" w14:textId="77777777" w:rsidR="00A26916" w:rsidRDefault="00A26916">
          <w:pPr>
            <w:pStyle w:val="af8"/>
          </w:pPr>
        </w:p>
      </w:tc>
    </w:tr>
  </w:tbl>
  <w:p w14:paraId="2E53CA27" w14:textId="77777777" w:rsidR="00A26916" w:rsidRDefault="00A26916">
    <w:pPr>
      <w:pStyle w:val="af8"/>
    </w:pPr>
    <w:r>
      <w:rPr>
        <w:noProof/>
        <w:lang w:val="ru-RU" w:eastAsia="ru-RU"/>
      </w:rPr>
      <w:drawing>
        <wp:anchor distT="0" distB="0" distL="114300" distR="114300" simplePos="0" relativeHeight="251658240" behindDoc="1" locked="0" layoutInCell="1" allowOverlap="1" wp14:anchorId="182F8D4C" wp14:editId="734C68A9">
          <wp:simplePos x="0" y="0"/>
          <wp:positionH relativeFrom="page">
            <wp:posOffset>0</wp:posOffset>
          </wp:positionH>
          <wp:positionV relativeFrom="page">
            <wp:posOffset>0</wp:posOffset>
          </wp:positionV>
          <wp:extent cx="7558560" cy="1571040"/>
          <wp:effectExtent l="0" t="0" r="444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extLst>
                      <a:ext uri="{28A0092B-C50C-407E-A947-70E740481C1C}">
                        <a14:useLocalDpi xmlns:a14="http://schemas.microsoft.com/office/drawing/2010/main" val="0"/>
                      </a:ext>
                    </a:extLst>
                  </a:blip>
                  <a:stretch>
                    <a:fillRect/>
                  </a:stretch>
                </pic:blipFill>
                <pic:spPr>
                  <a:xfrm>
                    <a:off x="0" y="0"/>
                    <a:ext cx="7558560" cy="1571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C5AD6" w14:textId="77777777" w:rsidR="00A26916" w:rsidRDefault="00A26916">
    <w:pPr>
      <w:pStyle w:val="af8"/>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C782B" w14:textId="77777777" w:rsidR="00A26916" w:rsidRDefault="00A26916">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B55"/>
    <w:multiLevelType w:val="hybridMultilevel"/>
    <w:tmpl w:val="F89AE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884CF8"/>
    <w:multiLevelType w:val="multilevel"/>
    <w:tmpl w:val="2288244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6580155"/>
    <w:multiLevelType w:val="hybridMultilevel"/>
    <w:tmpl w:val="98405EE6"/>
    <w:lvl w:ilvl="0" w:tplc="FBD846A4">
      <w:start w:val="18"/>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4469A3"/>
    <w:multiLevelType w:val="multilevel"/>
    <w:tmpl w:val="F4AC0FD8"/>
    <w:styleLink w:val="ListHeading"/>
    <w:lvl w:ilvl="0">
      <w:start w:val="1"/>
      <w:numFmt w:val="decimal"/>
      <w:lvlText w:val="%1."/>
      <w:lvlJc w:val="left"/>
      <w:pPr>
        <w:ind w:left="454" w:hanging="454"/>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964" w:hanging="964"/>
      </w:pPr>
      <w:rPr>
        <w:rFonts w:hint="default"/>
      </w:rPr>
    </w:lvl>
    <w:lvl w:ilvl="4">
      <w:start w:val="1"/>
      <w:numFmt w:val="decimal"/>
      <w:lvlText w:val="%1.%2.%3.%4.%5"/>
      <w:lvlJc w:val="left"/>
      <w:pPr>
        <w:ind w:left="1191" w:hanging="119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04A2C93"/>
    <w:multiLevelType w:val="multilevel"/>
    <w:tmpl w:val="5B565F12"/>
    <w:lvl w:ilvl="0">
      <w:start w:val="1"/>
      <w:numFmt w:val="decimal"/>
      <w:lvlText w:val="%1."/>
      <w:lvlJc w:val="left"/>
      <w:pPr>
        <w:ind w:left="400" w:hanging="40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5" w15:restartNumberingAfterBreak="0">
    <w:nsid w:val="14790863"/>
    <w:multiLevelType w:val="hybridMultilevel"/>
    <w:tmpl w:val="1B1EA4AE"/>
    <w:lvl w:ilvl="0" w:tplc="4726D2B6">
      <w:start w:val="18"/>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2C27BF"/>
    <w:multiLevelType w:val="multilevel"/>
    <w:tmpl w:val="78C8226A"/>
    <w:lvl w:ilvl="0">
      <w:start w:val="2"/>
      <w:numFmt w:val="decimal"/>
      <w:lvlText w:val="Section %1."/>
      <w:lvlJc w:val="left"/>
      <w:pPr>
        <w:ind w:left="1800" w:hanging="1800"/>
      </w:pPr>
      <w:rPr>
        <w:rFonts w:hint="default"/>
      </w:rPr>
    </w:lvl>
    <w:lvl w:ilvl="1">
      <w:start w:val="1"/>
      <w:numFmt w:val="decimal"/>
      <w:lvlText w:val="1.%2"/>
      <w:lvlJc w:val="left"/>
      <w:pPr>
        <w:ind w:left="360" w:hanging="360"/>
      </w:pPr>
      <w:rPr>
        <w:rFonts w:hint="default"/>
      </w:rPr>
    </w:lvl>
    <w:lvl w:ilvl="2">
      <w:start w:val="1"/>
      <w:numFmt w:val="russianUpper"/>
      <w:lvlText w:val="%3."/>
      <w:lvlJc w:val="left"/>
      <w:pPr>
        <w:ind w:left="360" w:hanging="360"/>
      </w:pPr>
      <w:rPr>
        <w:rFonts w:hint="default"/>
        <w:lang w:val="ru-RU"/>
      </w:rPr>
    </w:lvl>
    <w:lvl w:ilvl="3">
      <w:start w:val="1"/>
      <w:numFmt w:val="decimal"/>
      <w:lvlText w:val="%1.%2.%3.%4"/>
      <w:lvlJc w:val="left"/>
      <w:pPr>
        <w:ind w:left="964" w:hanging="964"/>
      </w:pPr>
      <w:rPr>
        <w:rFonts w:hint="default"/>
      </w:rPr>
    </w:lvl>
    <w:lvl w:ilvl="4">
      <w:start w:val="1"/>
      <w:numFmt w:val="decimal"/>
      <w:lvlText w:val="%1.%2.%3.%4.%5"/>
      <w:lvlJc w:val="left"/>
      <w:pPr>
        <w:ind w:left="1191" w:hanging="119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17B40F8C"/>
    <w:multiLevelType w:val="hybridMultilevel"/>
    <w:tmpl w:val="5D58822E"/>
    <w:lvl w:ilvl="0" w:tplc="6C58FA4C">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CB5BA5"/>
    <w:multiLevelType w:val="multilevel"/>
    <w:tmpl w:val="A2EE088E"/>
    <w:lvl w:ilvl="0">
      <w:start w:val="2"/>
      <w:numFmt w:val="decimal"/>
      <w:lvlText w:val="%1."/>
      <w:lvlJc w:val="left"/>
      <w:pPr>
        <w:ind w:left="400" w:hanging="400"/>
      </w:pPr>
      <w:rPr>
        <w:rFonts w:hint="default"/>
      </w:rPr>
    </w:lvl>
    <w:lvl w:ilvl="1">
      <w:start w:val="1"/>
      <w:numFmt w:val="decimal"/>
      <w:lvlText w:val="%1.%2."/>
      <w:lvlJc w:val="left"/>
      <w:pPr>
        <w:ind w:left="2340" w:hanging="720"/>
      </w:pPr>
      <w:rPr>
        <w:rFonts w:hint="default"/>
        <w:lang w:val="ru-RU"/>
      </w:rPr>
    </w:lvl>
    <w:lvl w:ilvl="2">
      <w:start w:val="1"/>
      <w:numFmt w:val="decimal"/>
      <w:lvlText w:val="%1.%2.%3."/>
      <w:lvlJc w:val="left"/>
      <w:pPr>
        <w:ind w:left="3960" w:hanging="720"/>
      </w:pPr>
      <w:rPr>
        <w:rFonts w:hint="default"/>
      </w:rPr>
    </w:lvl>
    <w:lvl w:ilvl="3">
      <w:start w:val="1"/>
      <w:numFmt w:val="decimal"/>
      <w:lvlText w:val="%1.%2.%3.%4."/>
      <w:lvlJc w:val="left"/>
      <w:pPr>
        <w:ind w:left="5940" w:hanging="108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540" w:hanging="144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3140" w:hanging="1800"/>
      </w:pPr>
      <w:rPr>
        <w:rFonts w:hint="default"/>
      </w:rPr>
    </w:lvl>
    <w:lvl w:ilvl="8">
      <w:start w:val="1"/>
      <w:numFmt w:val="decimal"/>
      <w:lvlText w:val="%1.%2.%3.%4.%5.%6.%7.%8.%9."/>
      <w:lvlJc w:val="left"/>
      <w:pPr>
        <w:ind w:left="15120" w:hanging="2160"/>
      </w:pPr>
      <w:rPr>
        <w:rFonts w:hint="default"/>
      </w:rPr>
    </w:lvl>
  </w:abstractNum>
  <w:abstractNum w:abstractNumId="9" w15:restartNumberingAfterBreak="0">
    <w:nsid w:val="20E5252C"/>
    <w:multiLevelType w:val="hybridMultilevel"/>
    <w:tmpl w:val="6DC0E852"/>
    <w:lvl w:ilvl="0" w:tplc="6C58FA4C">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0D5814"/>
    <w:multiLevelType w:val="hybridMultilevel"/>
    <w:tmpl w:val="BFAEECB8"/>
    <w:lvl w:ilvl="0" w:tplc="819A8236">
      <w:start w:val="16"/>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4F20A8"/>
    <w:multiLevelType w:val="multilevel"/>
    <w:tmpl w:val="FEACCCD0"/>
    <w:lvl w:ilvl="0">
      <w:start w:val="1"/>
      <w:numFmt w:val="decimal"/>
      <w:lvlText w:val="%1."/>
      <w:lvlJc w:val="left"/>
      <w:pPr>
        <w:ind w:left="390" w:hanging="390"/>
      </w:pPr>
      <w:rPr>
        <w:rFonts w:hint="default"/>
        <w:b/>
      </w:rPr>
    </w:lvl>
    <w:lvl w:ilvl="1">
      <w:start w:val="2"/>
      <w:numFmt w:val="decimal"/>
      <w:lvlText w:val="%1.%2."/>
      <w:lvlJc w:val="left"/>
      <w:pPr>
        <w:ind w:left="720" w:hanging="720"/>
      </w:pPr>
      <w:rPr>
        <w:rFonts w:hint="default"/>
        <w:b w:val="0"/>
        <w:bCs/>
        <w:lang w:val="ru-RU"/>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26F24435"/>
    <w:multiLevelType w:val="multilevel"/>
    <w:tmpl w:val="BF48C5B0"/>
    <w:numStyleLink w:val="ListNumbers"/>
  </w:abstractNum>
  <w:abstractNum w:abstractNumId="13" w15:restartNumberingAfterBreak="0">
    <w:nsid w:val="27701FCC"/>
    <w:multiLevelType w:val="multilevel"/>
    <w:tmpl w:val="70D4F4BE"/>
    <w:numStyleLink w:val="AlphaList"/>
  </w:abstractNum>
  <w:abstractNum w:abstractNumId="14" w15:restartNumberingAfterBreak="0">
    <w:nsid w:val="2A5D7D0F"/>
    <w:multiLevelType w:val="hybridMultilevel"/>
    <w:tmpl w:val="D8A613CE"/>
    <w:lvl w:ilvl="0" w:tplc="6C58FA4C">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845522"/>
    <w:multiLevelType w:val="hybridMultilevel"/>
    <w:tmpl w:val="3A60F8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1C04C8A"/>
    <w:multiLevelType w:val="hybridMultilevel"/>
    <w:tmpl w:val="39E444EE"/>
    <w:lvl w:ilvl="0" w:tplc="041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81E1FD7"/>
    <w:multiLevelType w:val="hybridMultilevel"/>
    <w:tmpl w:val="537E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075942"/>
    <w:multiLevelType w:val="hybridMultilevel"/>
    <w:tmpl w:val="1DA242BA"/>
    <w:lvl w:ilvl="0" w:tplc="6C58FA4C">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097C42"/>
    <w:multiLevelType w:val="hybridMultilevel"/>
    <w:tmpl w:val="FD36C982"/>
    <w:lvl w:ilvl="0" w:tplc="24C057F0">
      <w:start w:val="12"/>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4A7866"/>
    <w:multiLevelType w:val="hybridMultilevel"/>
    <w:tmpl w:val="FA7C2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824C33"/>
    <w:multiLevelType w:val="hybridMultilevel"/>
    <w:tmpl w:val="CFB00860"/>
    <w:lvl w:ilvl="0" w:tplc="9A380652">
      <w:start w:val="18"/>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627FB6"/>
    <w:multiLevelType w:val="hybridMultilevel"/>
    <w:tmpl w:val="3FD8BE18"/>
    <w:lvl w:ilvl="0" w:tplc="14F2DB58">
      <w:start w:val="16"/>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A8395E"/>
    <w:multiLevelType w:val="multilevel"/>
    <w:tmpl w:val="59EAE9E0"/>
    <w:lvl w:ilvl="0">
      <w:start w:val="1"/>
      <w:numFmt w:val="russianUpper"/>
      <w:lvlText w:val="%1."/>
      <w:lvlJc w:val="left"/>
      <w:pPr>
        <w:ind w:left="400" w:hanging="400"/>
      </w:pPr>
      <w:rPr>
        <w:rFonts w:hint="default"/>
        <w:lang w:val="ru-RU"/>
      </w:rPr>
    </w:lvl>
    <w:lvl w:ilvl="1">
      <w:start w:val="1"/>
      <w:numFmt w:val="decimal"/>
      <w:lvlText w:val="%1.%2."/>
      <w:lvlJc w:val="left"/>
      <w:pPr>
        <w:ind w:left="2340" w:hanging="7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940" w:hanging="108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540" w:hanging="144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3140" w:hanging="1800"/>
      </w:pPr>
      <w:rPr>
        <w:rFonts w:hint="default"/>
      </w:rPr>
    </w:lvl>
    <w:lvl w:ilvl="8">
      <w:start w:val="1"/>
      <w:numFmt w:val="decimal"/>
      <w:lvlText w:val="%1.%2.%3.%4.%5.%6.%7.%8.%9."/>
      <w:lvlJc w:val="left"/>
      <w:pPr>
        <w:ind w:left="15120" w:hanging="2160"/>
      </w:pPr>
      <w:rPr>
        <w:rFonts w:hint="default"/>
      </w:rPr>
    </w:lvl>
  </w:abstractNum>
  <w:abstractNum w:abstractNumId="24" w15:restartNumberingAfterBreak="0">
    <w:nsid w:val="4DF57664"/>
    <w:multiLevelType w:val="singleLevel"/>
    <w:tmpl w:val="16508242"/>
    <w:styleLink w:val="ListBullets"/>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EB3566B"/>
    <w:multiLevelType w:val="multilevel"/>
    <w:tmpl w:val="17B6E754"/>
    <w:lvl w:ilvl="0">
      <w:start w:val="1"/>
      <w:numFmt w:val="decimal"/>
      <w:lvlText w:val="Section %1."/>
      <w:lvlJc w:val="left"/>
      <w:pPr>
        <w:ind w:left="1800" w:hanging="1800"/>
      </w:pPr>
      <w:rPr>
        <w:rFonts w:hint="default"/>
      </w:rPr>
    </w:lvl>
    <w:lvl w:ilvl="1">
      <w:start w:val="1"/>
      <w:numFmt w:val="decimal"/>
      <w:lvlText w:val="%1.%2"/>
      <w:lvlJc w:val="left"/>
      <w:pPr>
        <w:ind w:left="624" w:hanging="624"/>
      </w:pPr>
      <w:rPr>
        <w:rFonts w:hint="default"/>
      </w:rPr>
    </w:lvl>
    <w:lvl w:ilvl="2">
      <w:start w:val="1"/>
      <w:numFmt w:val="russianUpper"/>
      <w:lvlText w:val="%3."/>
      <w:lvlJc w:val="left"/>
      <w:pPr>
        <w:ind w:left="851" w:hanging="851"/>
      </w:pPr>
      <w:rPr>
        <w:rFonts w:hint="default"/>
        <w:lang w:val="ru-RU"/>
      </w:rPr>
    </w:lvl>
    <w:lvl w:ilvl="3">
      <w:start w:val="1"/>
      <w:numFmt w:val="decimal"/>
      <w:lvlText w:val="%1.%2.%3.%4"/>
      <w:lvlJc w:val="left"/>
      <w:pPr>
        <w:ind w:left="964" w:hanging="964"/>
      </w:pPr>
      <w:rPr>
        <w:rFonts w:hint="default"/>
      </w:rPr>
    </w:lvl>
    <w:lvl w:ilvl="4">
      <w:start w:val="1"/>
      <w:numFmt w:val="decimal"/>
      <w:lvlText w:val="%1.%2.%3.%4.%5"/>
      <w:lvlJc w:val="left"/>
      <w:pPr>
        <w:ind w:left="1191" w:hanging="119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64D620AC"/>
    <w:multiLevelType w:val="multilevel"/>
    <w:tmpl w:val="86665608"/>
    <w:lvl w:ilvl="0">
      <w:start w:val="3"/>
      <w:numFmt w:val="decimal"/>
      <w:lvlText w:val="%1."/>
      <w:lvlJc w:val="left"/>
      <w:pPr>
        <w:ind w:left="400" w:hanging="400"/>
      </w:pPr>
      <w:rPr>
        <w:rFonts w:hint="default"/>
        <w:color w:val="auto"/>
      </w:rPr>
    </w:lvl>
    <w:lvl w:ilvl="1">
      <w:start w:val="1"/>
      <w:numFmt w:val="decimal"/>
      <w:lvlText w:val="%1.%2."/>
      <w:lvlJc w:val="left"/>
      <w:pPr>
        <w:ind w:left="1620" w:hanging="720"/>
      </w:pPr>
      <w:rPr>
        <w:rFonts w:hint="default"/>
        <w:color w:val="auto"/>
        <w:lang w:val="ru-RU"/>
      </w:rPr>
    </w:lvl>
    <w:lvl w:ilvl="2">
      <w:start w:val="1"/>
      <w:numFmt w:val="decimal"/>
      <w:lvlText w:val="%1.%2.%3."/>
      <w:lvlJc w:val="left"/>
      <w:pPr>
        <w:ind w:left="2520" w:hanging="720"/>
      </w:pPr>
      <w:rPr>
        <w:rFonts w:hint="default"/>
        <w:color w:val="auto"/>
      </w:rPr>
    </w:lvl>
    <w:lvl w:ilvl="3">
      <w:start w:val="1"/>
      <w:numFmt w:val="decimal"/>
      <w:lvlText w:val="%1.%2.%3.%4."/>
      <w:lvlJc w:val="left"/>
      <w:pPr>
        <w:ind w:left="3780" w:hanging="1080"/>
      </w:pPr>
      <w:rPr>
        <w:rFonts w:hint="default"/>
        <w:color w:val="auto"/>
      </w:rPr>
    </w:lvl>
    <w:lvl w:ilvl="4">
      <w:start w:val="1"/>
      <w:numFmt w:val="decimal"/>
      <w:lvlText w:val="%1.%2.%3.%4.%5."/>
      <w:lvlJc w:val="left"/>
      <w:pPr>
        <w:ind w:left="4680" w:hanging="1080"/>
      </w:pPr>
      <w:rPr>
        <w:rFonts w:hint="default"/>
        <w:color w:val="auto"/>
      </w:rPr>
    </w:lvl>
    <w:lvl w:ilvl="5">
      <w:start w:val="1"/>
      <w:numFmt w:val="decimal"/>
      <w:lvlText w:val="%1.%2.%3.%4.%5.%6."/>
      <w:lvlJc w:val="left"/>
      <w:pPr>
        <w:ind w:left="5940" w:hanging="1440"/>
      </w:pPr>
      <w:rPr>
        <w:rFonts w:hint="default"/>
        <w:color w:val="auto"/>
      </w:rPr>
    </w:lvl>
    <w:lvl w:ilvl="6">
      <w:start w:val="1"/>
      <w:numFmt w:val="decimal"/>
      <w:lvlText w:val="%1.%2.%3.%4.%5.%6.%7."/>
      <w:lvlJc w:val="left"/>
      <w:pPr>
        <w:ind w:left="6840" w:hanging="1440"/>
      </w:pPr>
      <w:rPr>
        <w:rFonts w:hint="default"/>
        <w:color w:val="auto"/>
      </w:rPr>
    </w:lvl>
    <w:lvl w:ilvl="7">
      <w:start w:val="1"/>
      <w:numFmt w:val="decimal"/>
      <w:lvlText w:val="%1.%2.%3.%4.%5.%6.%7.%8."/>
      <w:lvlJc w:val="left"/>
      <w:pPr>
        <w:ind w:left="8100" w:hanging="1800"/>
      </w:pPr>
      <w:rPr>
        <w:rFonts w:hint="default"/>
        <w:color w:val="auto"/>
      </w:rPr>
    </w:lvl>
    <w:lvl w:ilvl="8">
      <w:start w:val="1"/>
      <w:numFmt w:val="decimal"/>
      <w:lvlText w:val="%1.%2.%3.%4.%5.%6.%7.%8.%9."/>
      <w:lvlJc w:val="left"/>
      <w:pPr>
        <w:ind w:left="9360" w:hanging="2160"/>
      </w:pPr>
      <w:rPr>
        <w:rFonts w:hint="default"/>
        <w:color w:val="auto"/>
      </w:rPr>
    </w:lvl>
  </w:abstractNum>
  <w:abstractNum w:abstractNumId="27" w15:restartNumberingAfterBreak="0">
    <w:nsid w:val="64EF601B"/>
    <w:multiLevelType w:val="multilevel"/>
    <w:tmpl w:val="BF48C5B0"/>
    <w:styleLink w:val="ListNumbers"/>
    <w:lvl w:ilvl="0">
      <w:start w:val="1"/>
      <w:numFmt w:val="decimal"/>
      <w:lvlRestart w:val="0"/>
      <w:pStyle w:val="a"/>
      <w:lvlText w:val="%1."/>
      <w:lvlJc w:val="left"/>
      <w:pPr>
        <w:tabs>
          <w:tab w:val="num" w:pos="397"/>
        </w:tabs>
        <w:ind w:left="397" w:hanging="397"/>
      </w:pPr>
      <w:rPr>
        <w:rFonts w:hint="default"/>
      </w:rPr>
    </w:lvl>
    <w:lvl w:ilvl="1">
      <w:start w:val="1"/>
      <w:numFmt w:val="decimal"/>
      <w:lvlText w:val="%1.%2"/>
      <w:lvlJc w:val="left"/>
      <w:pPr>
        <w:tabs>
          <w:tab w:val="num" w:pos="1077"/>
        </w:tabs>
        <w:ind w:left="1077" w:hanging="623"/>
      </w:pPr>
      <w:rPr>
        <w:rFonts w:hint="default"/>
      </w:rPr>
    </w:lvl>
    <w:lvl w:ilvl="2">
      <w:start w:val="1"/>
      <w:numFmt w:val="decimal"/>
      <w:lvlText w:val="%1.%2.%3"/>
      <w:lvlJc w:val="left"/>
      <w:pPr>
        <w:tabs>
          <w:tab w:val="num" w:pos="1814"/>
        </w:tabs>
        <w:ind w:left="1871" w:hanging="794"/>
      </w:pPr>
      <w:rPr>
        <w:rFonts w:hint="default"/>
      </w:rPr>
    </w:lvl>
    <w:lvl w:ilvl="3">
      <w:start w:val="1"/>
      <w:numFmt w:val="decimal"/>
      <w:lvlText w:val="%1.%2.%3.%4"/>
      <w:lvlJc w:val="left"/>
      <w:pPr>
        <w:tabs>
          <w:tab w:val="num" w:pos="2835"/>
        </w:tabs>
        <w:ind w:left="2835" w:hanging="96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63C6219"/>
    <w:multiLevelType w:val="multilevel"/>
    <w:tmpl w:val="70D4F4BE"/>
    <w:styleLink w:val="AlphaList"/>
    <w:lvl w:ilvl="0">
      <w:start w:val="1"/>
      <w:numFmt w:val="lowerLetter"/>
      <w:pStyle w:val="ListAlpha"/>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9" w15:restartNumberingAfterBreak="0">
    <w:nsid w:val="73793270"/>
    <w:multiLevelType w:val="hybridMultilevel"/>
    <w:tmpl w:val="71BA7718"/>
    <w:lvl w:ilvl="0" w:tplc="0898296C">
      <w:start w:val="18"/>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F544A2"/>
    <w:multiLevelType w:val="hybridMultilevel"/>
    <w:tmpl w:val="458EE87A"/>
    <w:lvl w:ilvl="0" w:tplc="6C58FA4C">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C2316D"/>
    <w:multiLevelType w:val="hybridMultilevel"/>
    <w:tmpl w:val="2E7C91AA"/>
    <w:lvl w:ilvl="0" w:tplc="659EC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F905D6"/>
    <w:multiLevelType w:val="hybridMultilevel"/>
    <w:tmpl w:val="BB5C47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4"/>
  </w:num>
  <w:num w:numId="2">
    <w:abstractNumId w:val="27"/>
  </w:num>
  <w:num w:numId="3">
    <w:abstractNumId w:val="12"/>
  </w:num>
  <w:num w:numId="4">
    <w:abstractNumId w:val="3"/>
  </w:num>
  <w:num w:numId="5">
    <w:abstractNumId w:val="28"/>
  </w:num>
  <w:num w:numId="6">
    <w:abstractNumId w:val="13"/>
  </w:num>
  <w:num w:numId="7">
    <w:abstractNumId w:val="25"/>
  </w:num>
  <w:num w:numId="8">
    <w:abstractNumId w:val="8"/>
  </w:num>
  <w:num w:numId="9">
    <w:abstractNumId w:val="4"/>
  </w:num>
  <w:num w:numId="10">
    <w:abstractNumId w:val="26"/>
  </w:num>
  <w:num w:numId="11">
    <w:abstractNumId w:val="6"/>
  </w:num>
  <w:num w:numId="12">
    <w:abstractNumId w:val="11"/>
  </w:num>
  <w:num w:numId="13">
    <w:abstractNumId w:val="23"/>
  </w:num>
  <w:num w:numId="14">
    <w:abstractNumId w:val="31"/>
  </w:num>
  <w:num w:numId="15">
    <w:abstractNumId w:val="14"/>
  </w:num>
  <w:num w:numId="16">
    <w:abstractNumId w:val="7"/>
  </w:num>
  <w:num w:numId="17">
    <w:abstractNumId w:val="32"/>
  </w:num>
  <w:num w:numId="18">
    <w:abstractNumId w:val="15"/>
  </w:num>
  <w:num w:numId="19">
    <w:abstractNumId w:val="20"/>
  </w:num>
  <w:num w:numId="20">
    <w:abstractNumId w:val="17"/>
  </w:num>
  <w:num w:numId="21">
    <w:abstractNumId w:val="30"/>
  </w:num>
  <w:num w:numId="22">
    <w:abstractNumId w:val="18"/>
  </w:num>
  <w:num w:numId="23">
    <w:abstractNumId w:val="9"/>
  </w:num>
  <w:num w:numId="24">
    <w:abstractNumId w:val="0"/>
  </w:num>
  <w:num w:numId="25">
    <w:abstractNumId w:val="16"/>
  </w:num>
  <w:num w:numId="26">
    <w:abstractNumId w:val="19"/>
  </w:num>
  <w:num w:numId="27">
    <w:abstractNumId w:val="1"/>
  </w:num>
  <w:num w:numId="28">
    <w:abstractNumId w:val="22"/>
  </w:num>
  <w:num w:numId="29">
    <w:abstractNumId w:val="21"/>
  </w:num>
  <w:num w:numId="30">
    <w:abstractNumId w:val="10"/>
  </w:num>
  <w:num w:numId="31">
    <w:abstractNumId w:val="2"/>
  </w:num>
  <w:num w:numId="32">
    <w:abstractNumId w:val="5"/>
  </w:num>
  <w:num w:numId="33">
    <w:abstractNumId w:val="29"/>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a Katasonova">
    <w15:presenceInfo w15:providerId="Windows Live" w15:userId="0568ba4a004528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1tzAwMLAwMjIxMjdQ0lEKTi0uzszPAykwsqwFAOM22KctAAAA"/>
  </w:docVars>
  <w:rsids>
    <w:rsidRoot w:val="0062237F"/>
    <w:rsid w:val="00000812"/>
    <w:rsid w:val="00001103"/>
    <w:rsid w:val="00001A5E"/>
    <w:rsid w:val="00001F63"/>
    <w:rsid w:val="00001F81"/>
    <w:rsid w:val="000024E8"/>
    <w:rsid w:val="0000251F"/>
    <w:rsid w:val="000038E6"/>
    <w:rsid w:val="00003C4B"/>
    <w:rsid w:val="000042D2"/>
    <w:rsid w:val="00004B05"/>
    <w:rsid w:val="00005214"/>
    <w:rsid w:val="000060FD"/>
    <w:rsid w:val="0000628F"/>
    <w:rsid w:val="000068EE"/>
    <w:rsid w:val="00006BDC"/>
    <w:rsid w:val="00006F31"/>
    <w:rsid w:val="00007521"/>
    <w:rsid w:val="000077ED"/>
    <w:rsid w:val="00010135"/>
    <w:rsid w:val="00010938"/>
    <w:rsid w:val="00010DDB"/>
    <w:rsid w:val="00010E41"/>
    <w:rsid w:val="00011330"/>
    <w:rsid w:val="0001181E"/>
    <w:rsid w:val="00011D58"/>
    <w:rsid w:val="0001233A"/>
    <w:rsid w:val="00012484"/>
    <w:rsid w:val="00012DDA"/>
    <w:rsid w:val="00013819"/>
    <w:rsid w:val="0001472D"/>
    <w:rsid w:val="00015C0E"/>
    <w:rsid w:val="000169CB"/>
    <w:rsid w:val="00016B26"/>
    <w:rsid w:val="00017D25"/>
    <w:rsid w:val="00021080"/>
    <w:rsid w:val="00021E3F"/>
    <w:rsid w:val="000228D9"/>
    <w:rsid w:val="00023359"/>
    <w:rsid w:val="00023590"/>
    <w:rsid w:val="00023CB7"/>
    <w:rsid w:val="00023EF3"/>
    <w:rsid w:val="00024A66"/>
    <w:rsid w:val="00024FB3"/>
    <w:rsid w:val="00025233"/>
    <w:rsid w:val="00025C84"/>
    <w:rsid w:val="00025DCB"/>
    <w:rsid w:val="00025FC4"/>
    <w:rsid w:val="00026F4B"/>
    <w:rsid w:val="00027544"/>
    <w:rsid w:val="00027C2B"/>
    <w:rsid w:val="0003084D"/>
    <w:rsid w:val="000308D3"/>
    <w:rsid w:val="00030C1B"/>
    <w:rsid w:val="00031624"/>
    <w:rsid w:val="00031B39"/>
    <w:rsid w:val="0003251F"/>
    <w:rsid w:val="00032DCB"/>
    <w:rsid w:val="00032FAF"/>
    <w:rsid w:val="00033186"/>
    <w:rsid w:val="00033587"/>
    <w:rsid w:val="00033E1F"/>
    <w:rsid w:val="00033E37"/>
    <w:rsid w:val="00033F06"/>
    <w:rsid w:val="00035624"/>
    <w:rsid w:val="00035BC9"/>
    <w:rsid w:val="000361E5"/>
    <w:rsid w:val="000375C2"/>
    <w:rsid w:val="00037F8E"/>
    <w:rsid w:val="00040130"/>
    <w:rsid w:val="0004025C"/>
    <w:rsid w:val="0004095C"/>
    <w:rsid w:val="00040E25"/>
    <w:rsid w:val="0004216D"/>
    <w:rsid w:val="00043BDA"/>
    <w:rsid w:val="00043EB0"/>
    <w:rsid w:val="000444C1"/>
    <w:rsid w:val="00044AF4"/>
    <w:rsid w:val="00044E00"/>
    <w:rsid w:val="00045667"/>
    <w:rsid w:val="00045AA7"/>
    <w:rsid w:val="00045B05"/>
    <w:rsid w:val="00046514"/>
    <w:rsid w:val="00046A74"/>
    <w:rsid w:val="000475FF"/>
    <w:rsid w:val="0005048F"/>
    <w:rsid w:val="00051D07"/>
    <w:rsid w:val="000537F8"/>
    <w:rsid w:val="0005385E"/>
    <w:rsid w:val="00054AD1"/>
    <w:rsid w:val="00054DF7"/>
    <w:rsid w:val="00054E4D"/>
    <w:rsid w:val="00055EA0"/>
    <w:rsid w:val="00056399"/>
    <w:rsid w:val="000563C0"/>
    <w:rsid w:val="00056613"/>
    <w:rsid w:val="00057F76"/>
    <w:rsid w:val="00060050"/>
    <w:rsid w:val="00060E97"/>
    <w:rsid w:val="00061030"/>
    <w:rsid w:val="00061381"/>
    <w:rsid w:val="000613F1"/>
    <w:rsid w:val="00061511"/>
    <w:rsid w:val="00061D2F"/>
    <w:rsid w:val="00062287"/>
    <w:rsid w:val="000629B8"/>
    <w:rsid w:val="0006380D"/>
    <w:rsid w:val="000643F7"/>
    <w:rsid w:val="0006467D"/>
    <w:rsid w:val="0006511F"/>
    <w:rsid w:val="000653EC"/>
    <w:rsid w:val="00065FDF"/>
    <w:rsid w:val="00066C26"/>
    <w:rsid w:val="00067A4D"/>
    <w:rsid w:val="00067B71"/>
    <w:rsid w:val="00067E66"/>
    <w:rsid w:val="00070054"/>
    <w:rsid w:val="000709EA"/>
    <w:rsid w:val="00070AD3"/>
    <w:rsid w:val="00071A6B"/>
    <w:rsid w:val="00071B34"/>
    <w:rsid w:val="00073707"/>
    <w:rsid w:val="00074FDD"/>
    <w:rsid w:val="0007541D"/>
    <w:rsid w:val="00075E37"/>
    <w:rsid w:val="000763F9"/>
    <w:rsid w:val="00076B0B"/>
    <w:rsid w:val="0007721B"/>
    <w:rsid w:val="0008016D"/>
    <w:rsid w:val="00080D33"/>
    <w:rsid w:val="00080E30"/>
    <w:rsid w:val="00080ED6"/>
    <w:rsid w:val="000810B6"/>
    <w:rsid w:val="00082AC8"/>
    <w:rsid w:val="000833F1"/>
    <w:rsid w:val="000837EC"/>
    <w:rsid w:val="00083CE3"/>
    <w:rsid w:val="00083D0B"/>
    <w:rsid w:val="00083F64"/>
    <w:rsid w:val="00085828"/>
    <w:rsid w:val="00086663"/>
    <w:rsid w:val="00086C2B"/>
    <w:rsid w:val="00086C5D"/>
    <w:rsid w:val="00087B5D"/>
    <w:rsid w:val="00090236"/>
    <w:rsid w:val="00090CA3"/>
    <w:rsid w:val="00091BFF"/>
    <w:rsid w:val="00091C2C"/>
    <w:rsid w:val="00091E5C"/>
    <w:rsid w:val="00093860"/>
    <w:rsid w:val="000941EB"/>
    <w:rsid w:val="000948B0"/>
    <w:rsid w:val="00095E6C"/>
    <w:rsid w:val="000961F0"/>
    <w:rsid w:val="00096FBA"/>
    <w:rsid w:val="000975A3"/>
    <w:rsid w:val="000A0826"/>
    <w:rsid w:val="000A0B9B"/>
    <w:rsid w:val="000A17C4"/>
    <w:rsid w:val="000A1A32"/>
    <w:rsid w:val="000A1FC7"/>
    <w:rsid w:val="000A261D"/>
    <w:rsid w:val="000A26F3"/>
    <w:rsid w:val="000A2BE9"/>
    <w:rsid w:val="000A302A"/>
    <w:rsid w:val="000A3168"/>
    <w:rsid w:val="000A3E47"/>
    <w:rsid w:val="000A47A7"/>
    <w:rsid w:val="000A53D8"/>
    <w:rsid w:val="000A59F3"/>
    <w:rsid w:val="000A67C7"/>
    <w:rsid w:val="000A67F5"/>
    <w:rsid w:val="000A71BC"/>
    <w:rsid w:val="000A7E46"/>
    <w:rsid w:val="000B0238"/>
    <w:rsid w:val="000B02BE"/>
    <w:rsid w:val="000B0425"/>
    <w:rsid w:val="000B07E9"/>
    <w:rsid w:val="000B1BBF"/>
    <w:rsid w:val="000B23A3"/>
    <w:rsid w:val="000B3BD6"/>
    <w:rsid w:val="000B517D"/>
    <w:rsid w:val="000B54B8"/>
    <w:rsid w:val="000B5B24"/>
    <w:rsid w:val="000B5DF2"/>
    <w:rsid w:val="000B63AE"/>
    <w:rsid w:val="000B6BB9"/>
    <w:rsid w:val="000B6EB2"/>
    <w:rsid w:val="000B6FE9"/>
    <w:rsid w:val="000B7073"/>
    <w:rsid w:val="000C07CE"/>
    <w:rsid w:val="000C1695"/>
    <w:rsid w:val="000C23FE"/>
    <w:rsid w:val="000C26C4"/>
    <w:rsid w:val="000C2A60"/>
    <w:rsid w:val="000C339D"/>
    <w:rsid w:val="000C3447"/>
    <w:rsid w:val="000C3812"/>
    <w:rsid w:val="000C4CBB"/>
    <w:rsid w:val="000C6079"/>
    <w:rsid w:val="000C6A3D"/>
    <w:rsid w:val="000C74C5"/>
    <w:rsid w:val="000D018E"/>
    <w:rsid w:val="000D08CC"/>
    <w:rsid w:val="000D113C"/>
    <w:rsid w:val="000D13E5"/>
    <w:rsid w:val="000D1DEE"/>
    <w:rsid w:val="000D20C0"/>
    <w:rsid w:val="000D390C"/>
    <w:rsid w:val="000D3BE9"/>
    <w:rsid w:val="000D3CD2"/>
    <w:rsid w:val="000D45CE"/>
    <w:rsid w:val="000D4630"/>
    <w:rsid w:val="000D4CA9"/>
    <w:rsid w:val="000D54D3"/>
    <w:rsid w:val="000D583E"/>
    <w:rsid w:val="000D5A5A"/>
    <w:rsid w:val="000D60B0"/>
    <w:rsid w:val="000D6D61"/>
    <w:rsid w:val="000D7038"/>
    <w:rsid w:val="000D733A"/>
    <w:rsid w:val="000E1C61"/>
    <w:rsid w:val="000E27A9"/>
    <w:rsid w:val="000E2AC3"/>
    <w:rsid w:val="000E31EE"/>
    <w:rsid w:val="000E45FE"/>
    <w:rsid w:val="000E4941"/>
    <w:rsid w:val="000E4C7E"/>
    <w:rsid w:val="000E5010"/>
    <w:rsid w:val="000E5D95"/>
    <w:rsid w:val="000E5E96"/>
    <w:rsid w:val="000E60D0"/>
    <w:rsid w:val="000E642C"/>
    <w:rsid w:val="000E6662"/>
    <w:rsid w:val="000E71A8"/>
    <w:rsid w:val="000E72E9"/>
    <w:rsid w:val="000E7315"/>
    <w:rsid w:val="000E7326"/>
    <w:rsid w:val="000F0EBB"/>
    <w:rsid w:val="000F14FD"/>
    <w:rsid w:val="000F1938"/>
    <w:rsid w:val="000F1A74"/>
    <w:rsid w:val="000F1B97"/>
    <w:rsid w:val="000F21FD"/>
    <w:rsid w:val="000F3494"/>
    <w:rsid w:val="000F3A72"/>
    <w:rsid w:val="000F3BE1"/>
    <w:rsid w:val="000F3F4D"/>
    <w:rsid w:val="000F44EE"/>
    <w:rsid w:val="000F4668"/>
    <w:rsid w:val="000F492D"/>
    <w:rsid w:val="000F4C61"/>
    <w:rsid w:val="000F4CED"/>
    <w:rsid w:val="000F5B4B"/>
    <w:rsid w:val="0010002A"/>
    <w:rsid w:val="0010078C"/>
    <w:rsid w:val="0010089F"/>
    <w:rsid w:val="00102402"/>
    <w:rsid w:val="00102B22"/>
    <w:rsid w:val="00104BD3"/>
    <w:rsid w:val="00105559"/>
    <w:rsid w:val="001055AC"/>
    <w:rsid w:val="00105D21"/>
    <w:rsid w:val="001060A8"/>
    <w:rsid w:val="00107CFB"/>
    <w:rsid w:val="0011086C"/>
    <w:rsid w:val="00110B7F"/>
    <w:rsid w:val="00110F0A"/>
    <w:rsid w:val="00110FCB"/>
    <w:rsid w:val="00111537"/>
    <w:rsid w:val="0011182A"/>
    <w:rsid w:val="00111FDA"/>
    <w:rsid w:val="00112BF7"/>
    <w:rsid w:val="001135A2"/>
    <w:rsid w:val="0011396D"/>
    <w:rsid w:val="00113A67"/>
    <w:rsid w:val="00114059"/>
    <w:rsid w:val="0011479A"/>
    <w:rsid w:val="001147E1"/>
    <w:rsid w:val="001148A0"/>
    <w:rsid w:val="00114B3F"/>
    <w:rsid w:val="00115967"/>
    <w:rsid w:val="00115E7B"/>
    <w:rsid w:val="00117143"/>
    <w:rsid w:val="0011762F"/>
    <w:rsid w:val="001178F6"/>
    <w:rsid w:val="001215DF"/>
    <w:rsid w:val="00122411"/>
    <w:rsid w:val="001232F4"/>
    <w:rsid w:val="00123AF0"/>
    <w:rsid w:val="00123FB3"/>
    <w:rsid w:val="001249ED"/>
    <w:rsid w:val="00124B68"/>
    <w:rsid w:val="00124D6E"/>
    <w:rsid w:val="001260A5"/>
    <w:rsid w:val="00126159"/>
    <w:rsid w:val="001269AB"/>
    <w:rsid w:val="001274DE"/>
    <w:rsid w:val="00127C84"/>
    <w:rsid w:val="0013055B"/>
    <w:rsid w:val="001309F8"/>
    <w:rsid w:val="00130C33"/>
    <w:rsid w:val="0013191C"/>
    <w:rsid w:val="001321A2"/>
    <w:rsid w:val="00132889"/>
    <w:rsid w:val="001346F6"/>
    <w:rsid w:val="00134788"/>
    <w:rsid w:val="001353E2"/>
    <w:rsid w:val="001354A8"/>
    <w:rsid w:val="00135BA4"/>
    <w:rsid w:val="00135C9C"/>
    <w:rsid w:val="001368FC"/>
    <w:rsid w:val="00136B7D"/>
    <w:rsid w:val="00136DB7"/>
    <w:rsid w:val="00137209"/>
    <w:rsid w:val="0014110C"/>
    <w:rsid w:val="0014117E"/>
    <w:rsid w:val="00141FA2"/>
    <w:rsid w:val="0014217E"/>
    <w:rsid w:val="00142378"/>
    <w:rsid w:val="00142430"/>
    <w:rsid w:val="00142FA4"/>
    <w:rsid w:val="00144E53"/>
    <w:rsid w:val="001452B0"/>
    <w:rsid w:val="001461B4"/>
    <w:rsid w:val="001465A4"/>
    <w:rsid w:val="00146A4E"/>
    <w:rsid w:val="00147046"/>
    <w:rsid w:val="00147351"/>
    <w:rsid w:val="001474E5"/>
    <w:rsid w:val="00147B58"/>
    <w:rsid w:val="00150A64"/>
    <w:rsid w:val="00150CD2"/>
    <w:rsid w:val="00150E24"/>
    <w:rsid w:val="0015180A"/>
    <w:rsid w:val="00151BD2"/>
    <w:rsid w:val="00151F98"/>
    <w:rsid w:val="00152086"/>
    <w:rsid w:val="00152834"/>
    <w:rsid w:val="00152B42"/>
    <w:rsid w:val="001547E0"/>
    <w:rsid w:val="00154FA6"/>
    <w:rsid w:val="00155536"/>
    <w:rsid w:val="00155994"/>
    <w:rsid w:val="00156C6C"/>
    <w:rsid w:val="001577E6"/>
    <w:rsid w:val="00160C84"/>
    <w:rsid w:val="0016147F"/>
    <w:rsid w:val="00161516"/>
    <w:rsid w:val="00162220"/>
    <w:rsid w:val="00162233"/>
    <w:rsid w:val="001628DD"/>
    <w:rsid w:val="00162DE3"/>
    <w:rsid w:val="001632C8"/>
    <w:rsid w:val="00163726"/>
    <w:rsid w:val="00164B83"/>
    <w:rsid w:val="001665F3"/>
    <w:rsid w:val="0016733D"/>
    <w:rsid w:val="0016782C"/>
    <w:rsid w:val="00170B2E"/>
    <w:rsid w:val="001710B9"/>
    <w:rsid w:val="001711DE"/>
    <w:rsid w:val="00171299"/>
    <w:rsid w:val="001714F2"/>
    <w:rsid w:val="00171EE8"/>
    <w:rsid w:val="001729AA"/>
    <w:rsid w:val="00172D49"/>
    <w:rsid w:val="00173384"/>
    <w:rsid w:val="001735A6"/>
    <w:rsid w:val="00173D3A"/>
    <w:rsid w:val="0017471D"/>
    <w:rsid w:val="00174C3E"/>
    <w:rsid w:val="001750D9"/>
    <w:rsid w:val="00175304"/>
    <w:rsid w:val="001753FE"/>
    <w:rsid w:val="0017554E"/>
    <w:rsid w:val="0017562A"/>
    <w:rsid w:val="00175BE1"/>
    <w:rsid w:val="001773AC"/>
    <w:rsid w:val="0018182D"/>
    <w:rsid w:val="00181A22"/>
    <w:rsid w:val="001821A6"/>
    <w:rsid w:val="00182CF4"/>
    <w:rsid w:val="00183176"/>
    <w:rsid w:val="001841C4"/>
    <w:rsid w:val="00184236"/>
    <w:rsid w:val="001845DA"/>
    <w:rsid w:val="00185803"/>
    <w:rsid w:val="0018609C"/>
    <w:rsid w:val="0018669A"/>
    <w:rsid w:val="00187546"/>
    <w:rsid w:val="001879BD"/>
    <w:rsid w:val="00190F81"/>
    <w:rsid w:val="00191539"/>
    <w:rsid w:val="00191AFE"/>
    <w:rsid w:val="00191C0B"/>
    <w:rsid w:val="00191D41"/>
    <w:rsid w:val="00191E2F"/>
    <w:rsid w:val="001926BE"/>
    <w:rsid w:val="00192C4F"/>
    <w:rsid w:val="00193F0D"/>
    <w:rsid w:val="00194116"/>
    <w:rsid w:val="001956D8"/>
    <w:rsid w:val="00195F98"/>
    <w:rsid w:val="001966F9"/>
    <w:rsid w:val="00196F13"/>
    <w:rsid w:val="00196F14"/>
    <w:rsid w:val="0019703A"/>
    <w:rsid w:val="00197446"/>
    <w:rsid w:val="00197B52"/>
    <w:rsid w:val="00197C9E"/>
    <w:rsid w:val="001A0989"/>
    <w:rsid w:val="001A0EE2"/>
    <w:rsid w:val="001A0F04"/>
    <w:rsid w:val="001A1101"/>
    <w:rsid w:val="001A1AEE"/>
    <w:rsid w:val="001A1C06"/>
    <w:rsid w:val="001A206A"/>
    <w:rsid w:val="001A2092"/>
    <w:rsid w:val="001A340C"/>
    <w:rsid w:val="001A349F"/>
    <w:rsid w:val="001A38BA"/>
    <w:rsid w:val="001A3AA1"/>
    <w:rsid w:val="001A3E99"/>
    <w:rsid w:val="001A639D"/>
    <w:rsid w:val="001A6527"/>
    <w:rsid w:val="001A75D0"/>
    <w:rsid w:val="001A79D6"/>
    <w:rsid w:val="001B0A88"/>
    <w:rsid w:val="001B108A"/>
    <w:rsid w:val="001B16F8"/>
    <w:rsid w:val="001B1914"/>
    <w:rsid w:val="001B2372"/>
    <w:rsid w:val="001B2B48"/>
    <w:rsid w:val="001B2E91"/>
    <w:rsid w:val="001B4001"/>
    <w:rsid w:val="001B46CD"/>
    <w:rsid w:val="001B4B46"/>
    <w:rsid w:val="001B4E06"/>
    <w:rsid w:val="001B5C07"/>
    <w:rsid w:val="001B6362"/>
    <w:rsid w:val="001B7581"/>
    <w:rsid w:val="001B7B40"/>
    <w:rsid w:val="001B7E47"/>
    <w:rsid w:val="001C082B"/>
    <w:rsid w:val="001C0999"/>
    <w:rsid w:val="001C1934"/>
    <w:rsid w:val="001C1DE1"/>
    <w:rsid w:val="001C215B"/>
    <w:rsid w:val="001C2192"/>
    <w:rsid w:val="001C2285"/>
    <w:rsid w:val="001C23F6"/>
    <w:rsid w:val="001C284D"/>
    <w:rsid w:val="001C2978"/>
    <w:rsid w:val="001C297D"/>
    <w:rsid w:val="001C369D"/>
    <w:rsid w:val="001C3CCB"/>
    <w:rsid w:val="001C45C0"/>
    <w:rsid w:val="001C484A"/>
    <w:rsid w:val="001C4BBE"/>
    <w:rsid w:val="001C508A"/>
    <w:rsid w:val="001C539B"/>
    <w:rsid w:val="001C53A8"/>
    <w:rsid w:val="001C58E0"/>
    <w:rsid w:val="001C5A8A"/>
    <w:rsid w:val="001C6280"/>
    <w:rsid w:val="001C6283"/>
    <w:rsid w:val="001C62DE"/>
    <w:rsid w:val="001C6803"/>
    <w:rsid w:val="001C6922"/>
    <w:rsid w:val="001C76AA"/>
    <w:rsid w:val="001C7C2F"/>
    <w:rsid w:val="001D071C"/>
    <w:rsid w:val="001D0D51"/>
    <w:rsid w:val="001D104E"/>
    <w:rsid w:val="001D12BD"/>
    <w:rsid w:val="001D2844"/>
    <w:rsid w:val="001D2B59"/>
    <w:rsid w:val="001D392F"/>
    <w:rsid w:val="001D4A66"/>
    <w:rsid w:val="001D5B68"/>
    <w:rsid w:val="001D66EF"/>
    <w:rsid w:val="001D6D0A"/>
    <w:rsid w:val="001D71A5"/>
    <w:rsid w:val="001D75B5"/>
    <w:rsid w:val="001D7801"/>
    <w:rsid w:val="001D7EB1"/>
    <w:rsid w:val="001D7FBF"/>
    <w:rsid w:val="001E044C"/>
    <w:rsid w:val="001E08BE"/>
    <w:rsid w:val="001E1A26"/>
    <w:rsid w:val="001E242F"/>
    <w:rsid w:val="001E2A5B"/>
    <w:rsid w:val="001E2FFA"/>
    <w:rsid w:val="001E34C7"/>
    <w:rsid w:val="001E4644"/>
    <w:rsid w:val="001E488E"/>
    <w:rsid w:val="001E5E95"/>
    <w:rsid w:val="001E5FFA"/>
    <w:rsid w:val="001E60C4"/>
    <w:rsid w:val="001E708D"/>
    <w:rsid w:val="001F02C6"/>
    <w:rsid w:val="001F0825"/>
    <w:rsid w:val="001F135E"/>
    <w:rsid w:val="001F1BB2"/>
    <w:rsid w:val="001F1E0B"/>
    <w:rsid w:val="001F1F7F"/>
    <w:rsid w:val="001F2BF9"/>
    <w:rsid w:val="001F2CAB"/>
    <w:rsid w:val="001F3125"/>
    <w:rsid w:val="001F31E2"/>
    <w:rsid w:val="001F3ACE"/>
    <w:rsid w:val="001F4433"/>
    <w:rsid w:val="001F4B8D"/>
    <w:rsid w:val="001F4C5A"/>
    <w:rsid w:val="001F5BA7"/>
    <w:rsid w:val="001F6C7F"/>
    <w:rsid w:val="001F6EFD"/>
    <w:rsid w:val="001F6F0D"/>
    <w:rsid w:val="001F7FFA"/>
    <w:rsid w:val="002003B2"/>
    <w:rsid w:val="00200EA0"/>
    <w:rsid w:val="002010FA"/>
    <w:rsid w:val="00201E52"/>
    <w:rsid w:val="00202DF7"/>
    <w:rsid w:val="002031F6"/>
    <w:rsid w:val="00203312"/>
    <w:rsid w:val="002037C2"/>
    <w:rsid w:val="00203F55"/>
    <w:rsid w:val="00203FD7"/>
    <w:rsid w:val="0020415E"/>
    <w:rsid w:val="00204CB2"/>
    <w:rsid w:val="00204E35"/>
    <w:rsid w:val="002057ED"/>
    <w:rsid w:val="00205A0B"/>
    <w:rsid w:val="0020630C"/>
    <w:rsid w:val="002074DA"/>
    <w:rsid w:val="00207675"/>
    <w:rsid w:val="00207A1A"/>
    <w:rsid w:val="00210240"/>
    <w:rsid w:val="0021087D"/>
    <w:rsid w:val="00210C0D"/>
    <w:rsid w:val="00211A7B"/>
    <w:rsid w:val="002138FE"/>
    <w:rsid w:val="00213D0A"/>
    <w:rsid w:val="00213E4C"/>
    <w:rsid w:val="0021553D"/>
    <w:rsid w:val="00215D1E"/>
    <w:rsid w:val="0021617C"/>
    <w:rsid w:val="002170A9"/>
    <w:rsid w:val="0022015D"/>
    <w:rsid w:val="002211B1"/>
    <w:rsid w:val="002211F0"/>
    <w:rsid w:val="00221476"/>
    <w:rsid w:val="002225FF"/>
    <w:rsid w:val="002234D6"/>
    <w:rsid w:val="00223BD5"/>
    <w:rsid w:val="00223E87"/>
    <w:rsid w:val="002244F4"/>
    <w:rsid w:val="002245B8"/>
    <w:rsid w:val="00224784"/>
    <w:rsid w:val="00224788"/>
    <w:rsid w:val="002248A4"/>
    <w:rsid w:val="002249A2"/>
    <w:rsid w:val="00224A47"/>
    <w:rsid w:val="00224AED"/>
    <w:rsid w:val="00224EA0"/>
    <w:rsid w:val="00225146"/>
    <w:rsid w:val="00225369"/>
    <w:rsid w:val="00225422"/>
    <w:rsid w:val="00225ADB"/>
    <w:rsid w:val="00225CD7"/>
    <w:rsid w:val="00226AF9"/>
    <w:rsid w:val="00226EED"/>
    <w:rsid w:val="00227687"/>
    <w:rsid w:val="00230D4F"/>
    <w:rsid w:val="002318B1"/>
    <w:rsid w:val="00232E32"/>
    <w:rsid w:val="002332D6"/>
    <w:rsid w:val="00233B54"/>
    <w:rsid w:val="00233BE6"/>
    <w:rsid w:val="0023413C"/>
    <w:rsid w:val="00234746"/>
    <w:rsid w:val="002351C4"/>
    <w:rsid w:val="0023526B"/>
    <w:rsid w:val="00236467"/>
    <w:rsid w:val="00236962"/>
    <w:rsid w:val="00236A23"/>
    <w:rsid w:val="0023775F"/>
    <w:rsid w:val="0023782A"/>
    <w:rsid w:val="00237AD5"/>
    <w:rsid w:val="0024041B"/>
    <w:rsid w:val="00241812"/>
    <w:rsid w:val="00242248"/>
    <w:rsid w:val="00242408"/>
    <w:rsid w:val="002433CB"/>
    <w:rsid w:val="0024465B"/>
    <w:rsid w:val="0024466C"/>
    <w:rsid w:val="002449C0"/>
    <w:rsid w:val="00245433"/>
    <w:rsid w:val="00245C23"/>
    <w:rsid w:val="00246288"/>
    <w:rsid w:val="002466EF"/>
    <w:rsid w:val="00246DFA"/>
    <w:rsid w:val="00247026"/>
    <w:rsid w:val="0024744B"/>
    <w:rsid w:val="0025042D"/>
    <w:rsid w:val="00250714"/>
    <w:rsid w:val="00250DAB"/>
    <w:rsid w:val="00251201"/>
    <w:rsid w:val="002518F6"/>
    <w:rsid w:val="00251DEA"/>
    <w:rsid w:val="002522ED"/>
    <w:rsid w:val="00253095"/>
    <w:rsid w:val="00253239"/>
    <w:rsid w:val="00253C6E"/>
    <w:rsid w:val="0025469D"/>
    <w:rsid w:val="0025653A"/>
    <w:rsid w:val="00256754"/>
    <w:rsid w:val="002569C0"/>
    <w:rsid w:val="00256CB1"/>
    <w:rsid w:val="002573DE"/>
    <w:rsid w:val="002576F8"/>
    <w:rsid w:val="0025787F"/>
    <w:rsid w:val="00257A59"/>
    <w:rsid w:val="0026018E"/>
    <w:rsid w:val="00260374"/>
    <w:rsid w:val="0026123C"/>
    <w:rsid w:val="0026133E"/>
    <w:rsid w:val="002613B0"/>
    <w:rsid w:val="002620A6"/>
    <w:rsid w:val="00262142"/>
    <w:rsid w:val="0026369E"/>
    <w:rsid w:val="00264046"/>
    <w:rsid w:val="0026432D"/>
    <w:rsid w:val="00264343"/>
    <w:rsid w:val="00264456"/>
    <w:rsid w:val="002648E2"/>
    <w:rsid w:val="00264925"/>
    <w:rsid w:val="00264B1A"/>
    <w:rsid w:val="00266371"/>
    <w:rsid w:val="00266813"/>
    <w:rsid w:val="00266D15"/>
    <w:rsid w:val="00266D3C"/>
    <w:rsid w:val="00266E70"/>
    <w:rsid w:val="00267C28"/>
    <w:rsid w:val="00267DB0"/>
    <w:rsid w:val="00267EE6"/>
    <w:rsid w:val="00270965"/>
    <w:rsid w:val="0027149F"/>
    <w:rsid w:val="00271B8B"/>
    <w:rsid w:val="00272108"/>
    <w:rsid w:val="00272518"/>
    <w:rsid w:val="0027255C"/>
    <w:rsid w:val="00272930"/>
    <w:rsid w:val="0027354E"/>
    <w:rsid w:val="00274127"/>
    <w:rsid w:val="00274744"/>
    <w:rsid w:val="0027482A"/>
    <w:rsid w:val="00274DD8"/>
    <w:rsid w:val="002755E6"/>
    <w:rsid w:val="00275A0F"/>
    <w:rsid w:val="002761E3"/>
    <w:rsid w:val="0027664B"/>
    <w:rsid w:val="002768DC"/>
    <w:rsid w:val="00276F83"/>
    <w:rsid w:val="0027714F"/>
    <w:rsid w:val="002771FF"/>
    <w:rsid w:val="00277309"/>
    <w:rsid w:val="00277AF9"/>
    <w:rsid w:val="0028070E"/>
    <w:rsid w:val="002810C2"/>
    <w:rsid w:val="002813AB"/>
    <w:rsid w:val="0028191A"/>
    <w:rsid w:val="002820CC"/>
    <w:rsid w:val="002822E8"/>
    <w:rsid w:val="00282B4C"/>
    <w:rsid w:val="0028345D"/>
    <w:rsid w:val="00283814"/>
    <w:rsid w:val="0028391F"/>
    <w:rsid w:val="00283BFC"/>
    <w:rsid w:val="00283DD8"/>
    <w:rsid w:val="002843CA"/>
    <w:rsid w:val="00284B1A"/>
    <w:rsid w:val="002854AF"/>
    <w:rsid w:val="00286AC0"/>
    <w:rsid w:val="00286C57"/>
    <w:rsid w:val="00286EE2"/>
    <w:rsid w:val="00287414"/>
    <w:rsid w:val="00287C17"/>
    <w:rsid w:val="002901CC"/>
    <w:rsid w:val="002901F9"/>
    <w:rsid w:val="0029040A"/>
    <w:rsid w:val="002907E4"/>
    <w:rsid w:val="0029169D"/>
    <w:rsid w:val="00292510"/>
    <w:rsid w:val="0029440E"/>
    <w:rsid w:val="00295483"/>
    <w:rsid w:val="0029582D"/>
    <w:rsid w:val="00296383"/>
    <w:rsid w:val="0029653C"/>
    <w:rsid w:val="0029686E"/>
    <w:rsid w:val="00297301"/>
    <w:rsid w:val="002A00FC"/>
    <w:rsid w:val="002A0710"/>
    <w:rsid w:val="002A14F2"/>
    <w:rsid w:val="002A1AC1"/>
    <w:rsid w:val="002A1CD7"/>
    <w:rsid w:val="002A2263"/>
    <w:rsid w:val="002A2268"/>
    <w:rsid w:val="002A26FF"/>
    <w:rsid w:val="002A2749"/>
    <w:rsid w:val="002A3DE5"/>
    <w:rsid w:val="002A406E"/>
    <w:rsid w:val="002A4548"/>
    <w:rsid w:val="002A5848"/>
    <w:rsid w:val="002A6040"/>
    <w:rsid w:val="002A6367"/>
    <w:rsid w:val="002A6C5B"/>
    <w:rsid w:val="002A7079"/>
    <w:rsid w:val="002A76FD"/>
    <w:rsid w:val="002A77D8"/>
    <w:rsid w:val="002A7880"/>
    <w:rsid w:val="002B097D"/>
    <w:rsid w:val="002B1CC6"/>
    <w:rsid w:val="002B22BA"/>
    <w:rsid w:val="002B22D8"/>
    <w:rsid w:val="002B2C09"/>
    <w:rsid w:val="002B3AB5"/>
    <w:rsid w:val="002B3C89"/>
    <w:rsid w:val="002B49DE"/>
    <w:rsid w:val="002B61DC"/>
    <w:rsid w:val="002B7235"/>
    <w:rsid w:val="002B732E"/>
    <w:rsid w:val="002B7735"/>
    <w:rsid w:val="002B7C1F"/>
    <w:rsid w:val="002C07AF"/>
    <w:rsid w:val="002C0857"/>
    <w:rsid w:val="002C2C6D"/>
    <w:rsid w:val="002C2CA8"/>
    <w:rsid w:val="002C3544"/>
    <w:rsid w:val="002C3D65"/>
    <w:rsid w:val="002C440A"/>
    <w:rsid w:val="002C4C43"/>
    <w:rsid w:val="002C4CA0"/>
    <w:rsid w:val="002C4CAA"/>
    <w:rsid w:val="002C4F5C"/>
    <w:rsid w:val="002C4FD5"/>
    <w:rsid w:val="002C55B5"/>
    <w:rsid w:val="002C5893"/>
    <w:rsid w:val="002C5CA4"/>
    <w:rsid w:val="002C62E1"/>
    <w:rsid w:val="002C6453"/>
    <w:rsid w:val="002C6829"/>
    <w:rsid w:val="002C6882"/>
    <w:rsid w:val="002C6A09"/>
    <w:rsid w:val="002C6F1F"/>
    <w:rsid w:val="002C6FD4"/>
    <w:rsid w:val="002C7282"/>
    <w:rsid w:val="002C7908"/>
    <w:rsid w:val="002D03A1"/>
    <w:rsid w:val="002D054B"/>
    <w:rsid w:val="002D065A"/>
    <w:rsid w:val="002D066A"/>
    <w:rsid w:val="002D08E0"/>
    <w:rsid w:val="002D11EE"/>
    <w:rsid w:val="002D12DA"/>
    <w:rsid w:val="002D1613"/>
    <w:rsid w:val="002D1ED5"/>
    <w:rsid w:val="002D3C6F"/>
    <w:rsid w:val="002D4B2D"/>
    <w:rsid w:val="002D4CBB"/>
    <w:rsid w:val="002D6366"/>
    <w:rsid w:val="002D662C"/>
    <w:rsid w:val="002D679E"/>
    <w:rsid w:val="002D6916"/>
    <w:rsid w:val="002D6959"/>
    <w:rsid w:val="002D7318"/>
    <w:rsid w:val="002D7724"/>
    <w:rsid w:val="002D7DBE"/>
    <w:rsid w:val="002E1CD6"/>
    <w:rsid w:val="002E28A5"/>
    <w:rsid w:val="002E2AC0"/>
    <w:rsid w:val="002E2B00"/>
    <w:rsid w:val="002E2CA3"/>
    <w:rsid w:val="002E3CBF"/>
    <w:rsid w:val="002E3D84"/>
    <w:rsid w:val="002E4E80"/>
    <w:rsid w:val="002E5BCF"/>
    <w:rsid w:val="002E5ED3"/>
    <w:rsid w:val="002E632B"/>
    <w:rsid w:val="002E7619"/>
    <w:rsid w:val="002E7791"/>
    <w:rsid w:val="002E7AAA"/>
    <w:rsid w:val="002E7E11"/>
    <w:rsid w:val="002F0D8D"/>
    <w:rsid w:val="002F0ECC"/>
    <w:rsid w:val="002F225D"/>
    <w:rsid w:val="002F261D"/>
    <w:rsid w:val="002F3533"/>
    <w:rsid w:val="002F35A7"/>
    <w:rsid w:val="002F3F6D"/>
    <w:rsid w:val="002F4002"/>
    <w:rsid w:val="002F414A"/>
    <w:rsid w:val="002F4A23"/>
    <w:rsid w:val="002F4F68"/>
    <w:rsid w:val="002F5792"/>
    <w:rsid w:val="002F6E08"/>
    <w:rsid w:val="0030033F"/>
    <w:rsid w:val="0030100B"/>
    <w:rsid w:val="00302523"/>
    <w:rsid w:val="00303128"/>
    <w:rsid w:val="003033E4"/>
    <w:rsid w:val="003037D4"/>
    <w:rsid w:val="00303C43"/>
    <w:rsid w:val="00303FBA"/>
    <w:rsid w:val="00304465"/>
    <w:rsid w:val="00305427"/>
    <w:rsid w:val="00305993"/>
    <w:rsid w:val="00306189"/>
    <w:rsid w:val="00306FFD"/>
    <w:rsid w:val="00310D12"/>
    <w:rsid w:val="0031113A"/>
    <w:rsid w:val="00311C46"/>
    <w:rsid w:val="00311CBA"/>
    <w:rsid w:val="00311E7E"/>
    <w:rsid w:val="00311F36"/>
    <w:rsid w:val="00312275"/>
    <w:rsid w:val="0031246D"/>
    <w:rsid w:val="00312ACB"/>
    <w:rsid w:val="00312B74"/>
    <w:rsid w:val="00312B95"/>
    <w:rsid w:val="003130C7"/>
    <w:rsid w:val="003137A6"/>
    <w:rsid w:val="00314A52"/>
    <w:rsid w:val="00314FBB"/>
    <w:rsid w:val="00315502"/>
    <w:rsid w:val="0031563A"/>
    <w:rsid w:val="00315CA0"/>
    <w:rsid w:val="0031646F"/>
    <w:rsid w:val="00316F0D"/>
    <w:rsid w:val="00317AB3"/>
    <w:rsid w:val="00317C07"/>
    <w:rsid w:val="00320371"/>
    <w:rsid w:val="003204BD"/>
    <w:rsid w:val="00320D36"/>
    <w:rsid w:val="00320D42"/>
    <w:rsid w:val="0032193F"/>
    <w:rsid w:val="00321F66"/>
    <w:rsid w:val="00322862"/>
    <w:rsid w:val="00323500"/>
    <w:rsid w:val="003237BE"/>
    <w:rsid w:val="003237DF"/>
    <w:rsid w:val="00323AB1"/>
    <w:rsid w:val="00324326"/>
    <w:rsid w:val="00324614"/>
    <w:rsid w:val="0032474B"/>
    <w:rsid w:val="00324B3C"/>
    <w:rsid w:val="00324C26"/>
    <w:rsid w:val="00324CFB"/>
    <w:rsid w:val="0032523F"/>
    <w:rsid w:val="00325835"/>
    <w:rsid w:val="003277F6"/>
    <w:rsid w:val="00327A10"/>
    <w:rsid w:val="00327E80"/>
    <w:rsid w:val="00330001"/>
    <w:rsid w:val="0033009E"/>
    <w:rsid w:val="003301DC"/>
    <w:rsid w:val="003309FC"/>
    <w:rsid w:val="00331B27"/>
    <w:rsid w:val="0033249B"/>
    <w:rsid w:val="0033251B"/>
    <w:rsid w:val="003325F3"/>
    <w:rsid w:val="00332A8A"/>
    <w:rsid w:val="0033326A"/>
    <w:rsid w:val="00333E93"/>
    <w:rsid w:val="00335C07"/>
    <w:rsid w:val="0033688D"/>
    <w:rsid w:val="00337FF8"/>
    <w:rsid w:val="00340740"/>
    <w:rsid w:val="00340F7F"/>
    <w:rsid w:val="00341578"/>
    <w:rsid w:val="00341E36"/>
    <w:rsid w:val="003421D9"/>
    <w:rsid w:val="003427D8"/>
    <w:rsid w:val="0034291D"/>
    <w:rsid w:val="00343093"/>
    <w:rsid w:val="00343873"/>
    <w:rsid w:val="00343A9E"/>
    <w:rsid w:val="00343B47"/>
    <w:rsid w:val="003443AB"/>
    <w:rsid w:val="00344CBB"/>
    <w:rsid w:val="003455A0"/>
    <w:rsid w:val="003458F0"/>
    <w:rsid w:val="00345A35"/>
    <w:rsid w:val="00345BD2"/>
    <w:rsid w:val="00345D88"/>
    <w:rsid w:val="00346868"/>
    <w:rsid w:val="0034764E"/>
    <w:rsid w:val="00347B0D"/>
    <w:rsid w:val="00347DBA"/>
    <w:rsid w:val="00350BFF"/>
    <w:rsid w:val="00350ECD"/>
    <w:rsid w:val="003518F2"/>
    <w:rsid w:val="00351B16"/>
    <w:rsid w:val="00351B3E"/>
    <w:rsid w:val="00351FED"/>
    <w:rsid w:val="00352094"/>
    <w:rsid w:val="003522F9"/>
    <w:rsid w:val="00352BE2"/>
    <w:rsid w:val="003531B6"/>
    <w:rsid w:val="00353B69"/>
    <w:rsid w:val="00353C47"/>
    <w:rsid w:val="00355579"/>
    <w:rsid w:val="003555BC"/>
    <w:rsid w:val="0035587F"/>
    <w:rsid w:val="003559D1"/>
    <w:rsid w:val="003560B7"/>
    <w:rsid w:val="003564B6"/>
    <w:rsid w:val="00356D93"/>
    <w:rsid w:val="0035712E"/>
    <w:rsid w:val="0035723F"/>
    <w:rsid w:val="003602B1"/>
    <w:rsid w:val="0036106C"/>
    <w:rsid w:val="003612A9"/>
    <w:rsid w:val="00361C66"/>
    <w:rsid w:val="00362242"/>
    <w:rsid w:val="003627EE"/>
    <w:rsid w:val="00362800"/>
    <w:rsid w:val="00363427"/>
    <w:rsid w:val="0036357C"/>
    <w:rsid w:val="00363FD3"/>
    <w:rsid w:val="0036478D"/>
    <w:rsid w:val="003650D6"/>
    <w:rsid w:val="00365746"/>
    <w:rsid w:val="003657EC"/>
    <w:rsid w:val="0036581A"/>
    <w:rsid w:val="00365859"/>
    <w:rsid w:val="0036594E"/>
    <w:rsid w:val="0036646A"/>
    <w:rsid w:val="0036663D"/>
    <w:rsid w:val="00367409"/>
    <w:rsid w:val="00367B0F"/>
    <w:rsid w:val="00367DA1"/>
    <w:rsid w:val="0037008D"/>
    <w:rsid w:val="00370499"/>
    <w:rsid w:val="0037063F"/>
    <w:rsid w:val="00371FBB"/>
    <w:rsid w:val="003721C0"/>
    <w:rsid w:val="00372981"/>
    <w:rsid w:val="00372F06"/>
    <w:rsid w:val="0037331A"/>
    <w:rsid w:val="0037354F"/>
    <w:rsid w:val="00373B40"/>
    <w:rsid w:val="003749A4"/>
    <w:rsid w:val="00374ED7"/>
    <w:rsid w:val="00375036"/>
    <w:rsid w:val="003757EB"/>
    <w:rsid w:val="0037696B"/>
    <w:rsid w:val="003801BE"/>
    <w:rsid w:val="003806D6"/>
    <w:rsid w:val="00380FD5"/>
    <w:rsid w:val="003812F1"/>
    <w:rsid w:val="00381B04"/>
    <w:rsid w:val="00382373"/>
    <w:rsid w:val="0038376C"/>
    <w:rsid w:val="00383BE4"/>
    <w:rsid w:val="00383F74"/>
    <w:rsid w:val="00384A5C"/>
    <w:rsid w:val="00384E6D"/>
    <w:rsid w:val="003851E8"/>
    <w:rsid w:val="003854EA"/>
    <w:rsid w:val="00385506"/>
    <w:rsid w:val="0038559F"/>
    <w:rsid w:val="00385D4D"/>
    <w:rsid w:val="00385F66"/>
    <w:rsid w:val="00385FDE"/>
    <w:rsid w:val="00386978"/>
    <w:rsid w:val="00391EDB"/>
    <w:rsid w:val="00391F24"/>
    <w:rsid w:val="003922B6"/>
    <w:rsid w:val="0039236A"/>
    <w:rsid w:val="0039272B"/>
    <w:rsid w:val="00392865"/>
    <w:rsid w:val="0039300C"/>
    <w:rsid w:val="0039358E"/>
    <w:rsid w:val="00393F70"/>
    <w:rsid w:val="00394CCF"/>
    <w:rsid w:val="00394EC6"/>
    <w:rsid w:val="003950EC"/>
    <w:rsid w:val="00395269"/>
    <w:rsid w:val="00395596"/>
    <w:rsid w:val="0039586F"/>
    <w:rsid w:val="003958B0"/>
    <w:rsid w:val="003967C3"/>
    <w:rsid w:val="00396829"/>
    <w:rsid w:val="00396B67"/>
    <w:rsid w:val="00396D72"/>
    <w:rsid w:val="003974BF"/>
    <w:rsid w:val="003975EC"/>
    <w:rsid w:val="003978A0"/>
    <w:rsid w:val="00397D50"/>
    <w:rsid w:val="003A023C"/>
    <w:rsid w:val="003A075C"/>
    <w:rsid w:val="003A078F"/>
    <w:rsid w:val="003A202A"/>
    <w:rsid w:val="003A225D"/>
    <w:rsid w:val="003A226D"/>
    <w:rsid w:val="003A2502"/>
    <w:rsid w:val="003A278C"/>
    <w:rsid w:val="003A2A6A"/>
    <w:rsid w:val="003A3ABD"/>
    <w:rsid w:val="003A3B39"/>
    <w:rsid w:val="003A4544"/>
    <w:rsid w:val="003A46C9"/>
    <w:rsid w:val="003A4E5B"/>
    <w:rsid w:val="003A590B"/>
    <w:rsid w:val="003A5BE1"/>
    <w:rsid w:val="003A5D77"/>
    <w:rsid w:val="003A71E7"/>
    <w:rsid w:val="003A7326"/>
    <w:rsid w:val="003A74D6"/>
    <w:rsid w:val="003A7B67"/>
    <w:rsid w:val="003A7B70"/>
    <w:rsid w:val="003A7CD4"/>
    <w:rsid w:val="003B0486"/>
    <w:rsid w:val="003B0881"/>
    <w:rsid w:val="003B0BB7"/>
    <w:rsid w:val="003B0C43"/>
    <w:rsid w:val="003B1303"/>
    <w:rsid w:val="003B1774"/>
    <w:rsid w:val="003B1A68"/>
    <w:rsid w:val="003B2A4D"/>
    <w:rsid w:val="003B3091"/>
    <w:rsid w:val="003B44FA"/>
    <w:rsid w:val="003B5112"/>
    <w:rsid w:val="003B541F"/>
    <w:rsid w:val="003B5658"/>
    <w:rsid w:val="003B5B8B"/>
    <w:rsid w:val="003B5EAD"/>
    <w:rsid w:val="003B6495"/>
    <w:rsid w:val="003B68A3"/>
    <w:rsid w:val="003B68B6"/>
    <w:rsid w:val="003B75BB"/>
    <w:rsid w:val="003B7A7C"/>
    <w:rsid w:val="003C0140"/>
    <w:rsid w:val="003C01E1"/>
    <w:rsid w:val="003C0598"/>
    <w:rsid w:val="003C06CC"/>
    <w:rsid w:val="003C1727"/>
    <w:rsid w:val="003C1822"/>
    <w:rsid w:val="003C1E3D"/>
    <w:rsid w:val="003C213D"/>
    <w:rsid w:val="003C305E"/>
    <w:rsid w:val="003C3230"/>
    <w:rsid w:val="003C38B7"/>
    <w:rsid w:val="003C3B5F"/>
    <w:rsid w:val="003C482F"/>
    <w:rsid w:val="003C56FD"/>
    <w:rsid w:val="003C5BE3"/>
    <w:rsid w:val="003C5F73"/>
    <w:rsid w:val="003C60C1"/>
    <w:rsid w:val="003C60E7"/>
    <w:rsid w:val="003C7378"/>
    <w:rsid w:val="003C73A5"/>
    <w:rsid w:val="003D1599"/>
    <w:rsid w:val="003D167F"/>
    <w:rsid w:val="003D24C9"/>
    <w:rsid w:val="003D2CB2"/>
    <w:rsid w:val="003D3649"/>
    <w:rsid w:val="003D3AD4"/>
    <w:rsid w:val="003D4933"/>
    <w:rsid w:val="003D4D0D"/>
    <w:rsid w:val="003D5767"/>
    <w:rsid w:val="003D627E"/>
    <w:rsid w:val="003D676A"/>
    <w:rsid w:val="003D69E5"/>
    <w:rsid w:val="003D77F7"/>
    <w:rsid w:val="003E013F"/>
    <w:rsid w:val="003E0A24"/>
    <w:rsid w:val="003E1A6B"/>
    <w:rsid w:val="003E2352"/>
    <w:rsid w:val="003E2EF5"/>
    <w:rsid w:val="003E3976"/>
    <w:rsid w:val="003E3F34"/>
    <w:rsid w:val="003E41E4"/>
    <w:rsid w:val="003E5B34"/>
    <w:rsid w:val="003E6560"/>
    <w:rsid w:val="003E69CC"/>
    <w:rsid w:val="003E6B91"/>
    <w:rsid w:val="003E6D92"/>
    <w:rsid w:val="003E739A"/>
    <w:rsid w:val="003E74A2"/>
    <w:rsid w:val="003E757B"/>
    <w:rsid w:val="003E7CA8"/>
    <w:rsid w:val="003E7D4A"/>
    <w:rsid w:val="003F020C"/>
    <w:rsid w:val="003F02B0"/>
    <w:rsid w:val="003F063F"/>
    <w:rsid w:val="003F0788"/>
    <w:rsid w:val="003F0AEE"/>
    <w:rsid w:val="003F12F5"/>
    <w:rsid w:val="003F2734"/>
    <w:rsid w:val="003F2799"/>
    <w:rsid w:val="003F2802"/>
    <w:rsid w:val="003F2CFE"/>
    <w:rsid w:val="003F2D5E"/>
    <w:rsid w:val="003F37FA"/>
    <w:rsid w:val="003F3A38"/>
    <w:rsid w:val="003F3A9A"/>
    <w:rsid w:val="003F4657"/>
    <w:rsid w:val="003F46D5"/>
    <w:rsid w:val="003F4841"/>
    <w:rsid w:val="003F5421"/>
    <w:rsid w:val="003F5517"/>
    <w:rsid w:val="003F5B37"/>
    <w:rsid w:val="003F7988"/>
    <w:rsid w:val="00400B49"/>
    <w:rsid w:val="0040135A"/>
    <w:rsid w:val="00403708"/>
    <w:rsid w:val="00403D88"/>
    <w:rsid w:val="00403FBD"/>
    <w:rsid w:val="0040414A"/>
    <w:rsid w:val="00404986"/>
    <w:rsid w:val="00404CD1"/>
    <w:rsid w:val="00404EA2"/>
    <w:rsid w:val="00406B43"/>
    <w:rsid w:val="0040740B"/>
    <w:rsid w:val="0041025A"/>
    <w:rsid w:val="00411985"/>
    <w:rsid w:val="00411FE1"/>
    <w:rsid w:val="0041252E"/>
    <w:rsid w:val="00412B33"/>
    <w:rsid w:val="00413276"/>
    <w:rsid w:val="00414348"/>
    <w:rsid w:val="004150EB"/>
    <w:rsid w:val="00415584"/>
    <w:rsid w:val="00415846"/>
    <w:rsid w:val="00416136"/>
    <w:rsid w:val="00416292"/>
    <w:rsid w:val="00416A18"/>
    <w:rsid w:val="00416D63"/>
    <w:rsid w:val="00417B05"/>
    <w:rsid w:val="004203FE"/>
    <w:rsid w:val="00421BC6"/>
    <w:rsid w:val="00421FF8"/>
    <w:rsid w:val="0042210A"/>
    <w:rsid w:val="00422831"/>
    <w:rsid w:val="0042345E"/>
    <w:rsid w:val="00423BFB"/>
    <w:rsid w:val="0042453A"/>
    <w:rsid w:val="00424AEF"/>
    <w:rsid w:val="004262B7"/>
    <w:rsid w:val="004270BE"/>
    <w:rsid w:val="00427D32"/>
    <w:rsid w:val="00430149"/>
    <w:rsid w:val="004303C0"/>
    <w:rsid w:val="00431095"/>
    <w:rsid w:val="004313E9"/>
    <w:rsid w:val="00431532"/>
    <w:rsid w:val="00433A8A"/>
    <w:rsid w:val="00433B6E"/>
    <w:rsid w:val="00433D36"/>
    <w:rsid w:val="00434C68"/>
    <w:rsid w:val="00435700"/>
    <w:rsid w:val="004358ED"/>
    <w:rsid w:val="004360A0"/>
    <w:rsid w:val="0043705A"/>
    <w:rsid w:val="00437EA2"/>
    <w:rsid w:val="00441F44"/>
    <w:rsid w:val="004425A6"/>
    <w:rsid w:val="00442E99"/>
    <w:rsid w:val="004438DF"/>
    <w:rsid w:val="00445323"/>
    <w:rsid w:val="0044576D"/>
    <w:rsid w:val="004457B3"/>
    <w:rsid w:val="00445D2F"/>
    <w:rsid w:val="004464B0"/>
    <w:rsid w:val="004469E2"/>
    <w:rsid w:val="00446A65"/>
    <w:rsid w:val="0044776D"/>
    <w:rsid w:val="00447A8D"/>
    <w:rsid w:val="00450269"/>
    <w:rsid w:val="00450533"/>
    <w:rsid w:val="00451969"/>
    <w:rsid w:val="004526E3"/>
    <w:rsid w:val="00452A60"/>
    <w:rsid w:val="0045334F"/>
    <w:rsid w:val="0045391A"/>
    <w:rsid w:val="00453DCC"/>
    <w:rsid w:val="00454028"/>
    <w:rsid w:val="00454C34"/>
    <w:rsid w:val="00454C77"/>
    <w:rsid w:val="00454DF2"/>
    <w:rsid w:val="00457562"/>
    <w:rsid w:val="004601D4"/>
    <w:rsid w:val="00460883"/>
    <w:rsid w:val="00460D0E"/>
    <w:rsid w:val="00461021"/>
    <w:rsid w:val="004623AE"/>
    <w:rsid w:val="00462B25"/>
    <w:rsid w:val="004640B3"/>
    <w:rsid w:val="00464E70"/>
    <w:rsid w:val="0046512B"/>
    <w:rsid w:val="00465ED4"/>
    <w:rsid w:val="0046602A"/>
    <w:rsid w:val="004660EE"/>
    <w:rsid w:val="004667E3"/>
    <w:rsid w:val="00466BDE"/>
    <w:rsid w:val="0046716B"/>
    <w:rsid w:val="0046745A"/>
    <w:rsid w:val="004675BB"/>
    <w:rsid w:val="004710E1"/>
    <w:rsid w:val="00471C7E"/>
    <w:rsid w:val="0047385F"/>
    <w:rsid w:val="00474766"/>
    <w:rsid w:val="0047508D"/>
    <w:rsid w:val="00475959"/>
    <w:rsid w:val="00476BFE"/>
    <w:rsid w:val="00476D5F"/>
    <w:rsid w:val="00477D15"/>
    <w:rsid w:val="00477DEB"/>
    <w:rsid w:val="00480C4E"/>
    <w:rsid w:val="00481254"/>
    <w:rsid w:val="00481BA6"/>
    <w:rsid w:val="00481C7D"/>
    <w:rsid w:val="00482A54"/>
    <w:rsid w:val="00482BF7"/>
    <w:rsid w:val="004830C8"/>
    <w:rsid w:val="00483845"/>
    <w:rsid w:val="00483DC6"/>
    <w:rsid w:val="0048433C"/>
    <w:rsid w:val="004846DE"/>
    <w:rsid w:val="004851D8"/>
    <w:rsid w:val="0048554C"/>
    <w:rsid w:val="00485B05"/>
    <w:rsid w:val="004873B5"/>
    <w:rsid w:val="00490AA1"/>
    <w:rsid w:val="0049135E"/>
    <w:rsid w:val="00491563"/>
    <w:rsid w:val="00491E05"/>
    <w:rsid w:val="00491E6E"/>
    <w:rsid w:val="004928D9"/>
    <w:rsid w:val="00492ABE"/>
    <w:rsid w:val="00492F6E"/>
    <w:rsid w:val="00493CB8"/>
    <w:rsid w:val="00494032"/>
    <w:rsid w:val="00494A3F"/>
    <w:rsid w:val="00494B1E"/>
    <w:rsid w:val="00494B42"/>
    <w:rsid w:val="004951EE"/>
    <w:rsid w:val="00495660"/>
    <w:rsid w:val="004959B9"/>
    <w:rsid w:val="00495A0A"/>
    <w:rsid w:val="00496159"/>
    <w:rsid w:val="00496370"/>
    <w:rsid w:val="00497868"/>
    <w:rsid w:val="00497B6D"/>
    <w:rsid w:val="004A05AA"/>
    <w:rsid w:val="004A0905"/>
    <w:rsid w:val="004A1729"/>
    <w:rsid w:val="004A1B94"/>
    <w:rsid w:val="004A1F53"/>
    <w:rsid w:val="004A2B0F"/>
    <w:rsid w:val="004A2BF2"/>
    <w:rsid w:val="004A3A9B"/>
    <w:rsid w:val="004A5877"/>
    <w:rsid w:val="004A61F9"/>
    <w:rsid w:val="004A6363"/>
    <w:rsid w:val="004A6373"/>
    <w:rsid w:val="004A6855"/>
    <w:rsid w:val="004A699F"/>
    <w:rsid w:val="004A6B30"/>
    <w:rsid w:val="004A6FC6"/>
    <w:rsid w:val="004A7073"/>
    <w:rsid w:val="004A7290"/>
    <w:rsid w:val="004B06C0"/>
    <w:rsid w:val="004B0E3D"/>
    <w:rsid w:val="004B1195"/>
    <w:rsid w:val="004B1AEC"/>
    <w:rsid w:val="004B1D75"/>
    <w:rsid w:val="004B28C3"/>
    <w:rsid w:val="004B3386"/>
    <w:rsid w:val="004B3432"/>
    <w:rsid w:val="004B386A"/>
    <w:rsid w:val="004B3DA6"/>
    <w:rsid w:val="004B4A7D"/>
    <w:rsid w:val="004B4EA8"/>
    <w:rsid w:val="004B55E1"/>
    <w:rsid w:val="004B5A49"/>
    <w:rsid w:val="004B665A"/>
    <w:rsid w:val="004B66E5"/>
    <w:rsid w:val="004B7709"/>
    <w:rsid w:val="004B7EDD"/>
    <w:rsid w:val="004C133E"/>
    <w:rsid w:val="004C21A1"/>
    <w:rsid w:val="004C24F4"/>
    <w:rsid w:val="004C2937"/>
    <w:rsid w:val="004C375C"/>
    <w:rsid w:val="004C38E8"/>
    <w:rsid w:val="004C6823"/>
    <w:rsid w:val="004C6AC1"/>
    <w:rsid w:val="004C6D6E"/>
    <w:rsid w:val="004C7455"/>
    <w:rsid w:val="004C78B4"/>
    <w:rsid w:val="004C7A4D"/>
    <w:rsid w:val="004D0442"/>
    <w:rsid w:val="004D07D1"/>
    <w:rsid w:val="004D0CEF"/>
    <w:rsid w:val="004D3423"/>
    <w:rsid w:val="004D3DFF"/>
    <w:rsid w:val="004D3F57"/>
    <w:rsid w:val="004D3FD0"/>
    <w:rsid w:val="004D4512"/>
    <w:rsid w:val="004D46A2"/>
    <w:rsid w:val="004D4DE1"/>
    <w:rsid w:val="004D564D"/>
    <w:rsid w:val="004D56C9"/>
    <w:rsid w:val="004D57A2"/>
    <w:rsid w:val="004D6306"/>
    <w:rsid w:val="004D6B36"/>
    <w:rsid w:val="004D703E"/>
    <w:rsid w:val="004D74BF"/>
    <w:rsid w:val="004D7D74"/>
    <w:rsid w:val="004E06C7"/>
    <w:rsid w:val="004E09C8"/>
    <w:rsid w:val="004E13A6"/>
    <w:rsid w:val="004E16CD"/>
    <w:rsid w:val="004E1751"/>
    <w:rsid w:val="004E389D"/>
    <w:rsid w:val="004E487E"/>
    <w:rsid w:val="004E51E9"/>
    <w:rsid w:val="004E5919"/>
    <w:rsid w:val="004E59DB"/>
    <w:rsid w:val="004E5CD1"/>
    <w:rsid w:val="004E6057"/>
    <w:rsid w:val="004E6949"/>
    <w:rsid w:val="004E6F4B"/>
    <w:rsid w:val="004E7500"/>
    <w:rsid w:val="004F0165"/>
    <w:rsid w:val="004F061C"/>
    <w:rsid w:val="004F0E9A"/>
    <w:rsid w:val="004F2060"/>
    <w:rsid w:val="004F26F3"/>
    <w:rsid w:val="004F29DE"/>
    <w:rsid w:val="004F2A07"/>
    <w:rsid w:val="004F2D8A"/>
    <w:rsid w:val="004F2FA2"/>
    <w:rsid w:val="004F358A"/>
    <w:rsid w:val="004F455F"/>
    <w:rsid w:val="004F5237"/>
    <w:rsid w:val="004F54C2"/>
    <w:rsid w:val="004F5A13"/>
    <w:rsid w:val="004F5EA6"/>
    <w:rsid w:val="004F5FA2"/>
    <w:rsid w:val="004F6FB4"/>
    <w:rsid w:val="004F7795"/>
    <w:rsid w:val="004F7E13"/>
    <w:rsid w:val="00500C0A"/>
    <w:rsid w:val="00500D68"/>
    <w:rsid w:val="005019C4"/>
    <w:rsid w:val="00502036"/>
    <w:rsid w:val="00504C14"/>
    <w:rsid w:val="00504E65"/>
    <w:rsid w:val="005050B7"/>
    <w:rsid w:val="00505293"/>
    <w:rsid w:val="005053B7"/>
    <w:rsid w:val="00505E87"/>
    <w:rsid w:val="00506270"/>
    <w:rsid w:val="005063AD"/>
    <w:rsid w:val="005066B2"/>
    <w:rsid w:val="00510147"/>
    <w:rsid w:val="00510436"/>
    <w:rsid w:val="0051088B"/>
    <w:rsid w:val="00510ABF"/>
    <w:rsid w:val="00512225"/>
    <w:rsid w:val="0051227B"/>
    <w:rsid w:val="00512CF1"/>
    <w:rsid w:val="00512E6C"/>
    <w:rsid w:val="0051347C"/>
    <w:rsid w:val="0051363F"/>
    <w:rsid w:val="00513E12"/>
    <w:rsid w:val="00514C90"/>
    <w:rsid w:val="0051640C"/>
    <w:rsid w:val="005172F1"/>
    <w:rsid w:val="005173DF"/>
    <w:rsid w:val="00517600"/>
    <w:rsid w:val="0051781D"/>
    <w:rsid w:val="0052105D"/>
    <w:rsid w:val="00521E63"/>
    <w:rsid w:val="0052260B"/>
    <w:rsid w:val="00522C87"/>
    <w:rsid w:val="0052310C"/>
    <w:rsid w:val="00523B1E"/>
    <w:rsid w:val="00523DFF"/>
    <w:rsid w:val="00523E04"/>
    <w:rsid w:val="00524004"/>
    <w:rsid w:val="005243FC"/>
    <w:rsid w:val="0052469F"/>
    <w:rsid w:val="005255E6"/>
    <w:rsid w:val="005258CF"/>
    <w:rsid w:val="005266C8"/>
    <w:rsid w:val="0052676C"/>
    <w:rsid w:val="0052694B"/>
    <w:rsid w:val="00526C93"/>
    <w:rsid w:val="00526EAD"/>
    <w:rsid w:val="00527023"/>
    <w:rsid w:val="00527F6D"/>
    <w:rsid w:val="005303AB"/>
    <w:rsid w:val="0053134A"/>
    <w:rsid w:val="00531BD0"/>
    <w:rsid w:val="00532361"/>
    <w:rsid w:val="00532545"/>
    <w:rsid w:val="00532830"/>
    <w:rsid w:val="00533AE1"/>
    <w:rsid w:val="00533EC5"/>
    <w:rsid w:val="00534139"/>
    <w:rsid w:val="00534CB9"/>
    <w:rsid w:val="00535937"/>
    <w:rsid w:val="00535AF2"/>
    <w:rsid w:val="00535F78"/>
    <w:rsid w:val="005365E9"/>
    <w:rsid w:val="005367A2"/>
    <w:rsid w:val="00536E7C"/>
    <w:rsid w:val="00537B69"/>
    <w:rsid w:val="00540290"/>
    <w:rsid w:val="00540544"/>
    <w:rsid w:val="00540801"/>
    <w:rsid w:val="00540E39"/>
    <w:rsid w:val="00540E8C"/>
    <w:rsid w:val="005426BA"/>
    <w:rsid w:val="00542748"/>
    <w:rsid w:val="00542F3F"/>
    <w:rsid w:val="00542F74"/>
    <w:rsid w:val="0054358C"/>
    <w:rsid w:val="0054386F"/>
    <w:rsid w:val="00545D6C"/>
    <w:rsid w:val="0054606D"/>
    <w:rsid w:val="005468E1"/>
    <w:rsid w:val="00546F67"/>
    <w:rsid w:val="00547161"/>
    <w:rsid w:val="005475EF"/>
    <w:rsid w:val="0054768E"/>
    <w:rsid w:val="005508CA"/>
    <w:rsid w:val="00550F6B"/>
    <w:rsid w:val="0055125C"/>
    <w:rsid w:val="005517B5"/>
    <w:rsid w:val="00551802"/>
    <w:rsid w:val="005524E8"/>
    <w:rsid w:val="005525A8"/>
    <w:rsid w:val="00553421"/>
    <w:rsid w:val="00553C5A"/>
    <w:rsid w:val="00553CC3"/>
    <w:rsid w:val="0055461B"/>
    <w:rsid w:val="005567B5"/>
    <w:rsid w:val="0055684A"/>
    <w:rsid w:val="00560167"/>
    <w:rsid w:val="005603CA"/>
    <w:rsid w:val="0056045A"/>
    <w:rsid w:val="00561B0A"/>
    <w:rsid w:val="00562597"/>
    <w:rsid w:val="0056269B"/>
    <w:rsid w:val="00564088"/>
    <w:rsid w:val="00564230"/>
    <w:rsid w:val="00565437"/>
    <w:rsid w:val="005654CF"/>
    <w:rsid w:val="005668B2"/>
    <w:rsid w:val="005670C9"/>
    <w:rsid w:val="00567C74"/>
    <w:rsid w:val="0057051D"/>
    <w:rsid w:val="005713F4"/>
    <w:rsid w:val="00572022"/>
    <w:rsid w:val="005721C4"/>
    <w:rsid w:val="005725B7"/>
    <w:rsid w:val="00572ADB"/>
    <w:rsid w:val="00574990"/>
    <w:rsid w:val="00574AAE"/>
    <w:rsid w:val="00574B37"/>
    <w:rsid w:val="00574F02"/>
    <w:rsid w:val="00575EC0"/>
    <w:rsid w:val="00576BBA"/>
    <w:rsid w:val="00577FB8"/>
    <w:rsid w:val="0058196B"/>
    <w:rsid w:val="00581AAD"/>
    <w:rsid w:val="005822B8"/>
    <w:rsid w:val="00584373"/>
    <w:rsid w:val="00584379"/>
    <w:rsid w:val="005852B5"/>
    <w:rsid w:val="00585553"/>
    <w:rsid w:val="00586262"/>
    <w:rsid w:val="00586A04"/>
    <w:rsid w:val="00587D4C"/>
    <w:rsid w:val="00587D83"/>
    <w:rsid w:val="00587F42"/>
    <w:rsid w:val="0059015C"/>
    <w:rsid w:val="0059040D"/>
    <w:rsid w:val="00591196"/>
    <w:rsid w:val="00591489"/>
    <w:rsid w:val="005917B4"/>
    <w:rsid w:val="0059199B"/>
    <w:rsid w:val="00592098"/>
    <w:rsid w:val="00592BCB"/>
    <w:rsid w:val="00592E84"/>
    <w:rsid w:val="0059312C"/>
    <w:rsid w:val="005939C5"/>
    <w:rsid w:val="00594238"/>
    <w:rsid w:val="00594CAF"/>
    <w:rsid w:val="005952C7"/>
    <w:rsid w:val="00595E29"/>
    <w:rsid w:val="00596B17"/>
    <w:rsid w:val="005A142A"/>
    <w:rsid w:val="005A1981"/>
    <w:rsid w:val="005A1F8D"/>
    <w:rsid w:val="005A24AF"/>
    <w:rsid w:val="005A2D28"/>
    <w:rsid w:val="005A2FF7"/>
    <w:rsid w:val="005A3155"/>
    <w:rsid w:val="005A31B4"/>
    <w:rsid w:val="005A3861"/>
    <w:rsid w:val="005A3ED7"/>
    <w:rsid w:val="005A46C2"/>
    <w:rsid w:val="005A4787"/>
    <w:rsid w:val="005A49BA"/>
    <w:rsid w:val="005A5A1A"/>
    <w:rsid w:val="005A5FAE"/>
    <w:rsid w:val="005A6020"/>
    <w:rsid w:val="005A65EA"/>
    <w:rsid w:val="005A670E"/>
    <w:rsid w:val="005A67CC"/>
    <w:rsid w:val="005A7147"/>
    <w:rsid w:val="005A73C0"/>
    <w:rsid w:val="005A7F14"/>
    <w:rsid w:val="005A7F88"/>
    <w:rsid w:val="005B02B2"/>
    <w:rsid w:val="005B06E9"/>
    <w:rsid w:val="005B0769"/>
    <w:rsid w:val="005B166B"/>
    <w:rsid w:val="005B17D9"/>
    <w:rsid w:val="005B18BB"/>
    <w:rsid w:val="005B1A64"/>
    <w:rsid w:val="005B2838"/>
    <w:rsid w:val="005B34F9"/>
    <w:rsid w:val="005B37B9"/>
    <w:rsid w:val="005B42CA"/>
    <w:rsid w:val="005B4608"/>
    <w:rsid w:val="005B4700"/>
    <w:rsid w:val="005B4D4B"/>
    <w:rsid w:val="005B5C7E"/>
    <w:rsid w:val="005B7009"/>
    <w:rsid w:val="005B7E1D"/>
    <w:rsid w:val="005C1A77"/>
    <w:rsid w:val="005C1C0B"/>
    <w:rsid w:val="005C3203"/>
    <w:rsid w:val="005C40A8"/>
    <w:rsid w:val="005C45BC"/>
    <w:rsid w:val="005C477D"/>
    <w:rsid w:val="005C5103"/>
    <w:rsid w:val="005C521B"/>
    <w:rsid w:val="005C54D0"/>
    <w:rsid w:val="005C5764"/>
    <w:rsid w:val="005C7368"/>
    <w:rsid w:val="005C7621"/>
    <w:rsid w:val="005C7990"/>
    <w:rsid w:val="005C7E08"/>
    <w:rsid w:val="005C7E80"/>
    <w:rsid w:val="005D01E3"/>
    <w:rsid w:val="005D03D1"/>
    <w:rsid w:val="005D11A0"/>
    <w:rsid w:val="005D15D0"/>
    <w:rsid w:val="005D189E"/>
    <w:rsid w:val="005D248F"/>
    <w:rsid w:val="005D283B"/>
    <w:rsid w:val="005D32AA"/>
    <w:rsid w:val="005D37A9"/>
    <w:rsid w:val="005D3B51"/>
    <w:rsid w:val="005D497C"/>
    <w:rsid w:val="005D49CA"/>
    <w:rsid w:val="005D55A5"/>
    <w:rsid w:val="005D565B"/>
    <w:rsid w:val="005D570C"/>
    <w:rsid w:val="005D5C80"/>
    <w:rsid w:val="005D6C8D"/>
    <w:rsid w:val="005E02EE"/>
    <w:rsid w:val="005E1392"/>
    <w:rsid w:val="005E1445"/>
    <w:rsid w:val="005E1950"/>
    <w:rsid w:val="005E1A24"/>
    <w:rsid w:val="005E292E"/>
    <w:rsid w:val="005E3782"/>
    <w:rsid w:val="005E3F85"/>
    <w:rsid w:val="005E42F2"/>
    <w:rsid w:val="005E56AA"/>
    <w:rsid w:val="005E5AF2"/>
    <w:rsid w:val="005E6030"/>
    <w:rsid w:val="005E70A1"/>
    <w:rsid w:val="005E790B"/>
    <w:rsid w:val="005E7D91"/>
    <w:rsid w:val="005E7E9E"/>
    <w:rsid w:val="005E7EFE"/>
    <w:rsid w:val="005F0A67"/>
    <w:rsid w:val="005F0AC3"/>
    <w:rsid w:val="005F124B"/>
    <w:rsid w:val="005F1E5F"/>
    <w:rsid w:val="005F2C45"/>
    <w:rsid w:val="005F3500"/>
    <w:rsid w:val="005F3D9C"/>
    <w:rsid w:val="005F4221"/>
    <w:rsid w:val="005F472D"/>
    <w:rsid w:val="005F4DC1"/>
    <w:rsid w:val="005F4FCA"/>
    <w:rsid w:val="005F560D"/>
    <w:rsid w:val="005F6856"/>
    <w:rsid w:val="005F6CCD"/>
    <w:rsid w:val="005F6FC8"/>
    <w:rsid w:val="005F7204"/>
    <w:rsid w:val="005F79E5"/>
    <w:rsid w:val="005F7BF7"/>
    <w:rsid w:val="005F7C81"/>
    <w:rsid w:val="00600872"/>
    <w:rsid w:val="00600AC8"/>
    <w:rsid w:val="00600C2B"/>
    <w:rsid w:val="00600CDD"/>
    <w:rsid w:val="0060166B"/>
    <w:rsid w:val="00601CBE"/>
    <w:rsid w:val="0060240F"/>
    <w:rsid w:val="00602C76"/>
    <w:rsid w:val="00603351"/>
    <w:rsid w:val="00604347"/>
    <w:rsid w:val="00604F01"/>
    <w:rsid w:val="00605DD5"/>
    <w:rsid w:val="006064D5"/>
    <w:rsid w:val="006068BA"/>
    <w:rsid w:val="00606914"/>
    <w:rsid w:val="00606F95"/>
    <w:rsid w:val="00607B26"/>
    <w:rsid w:val="00607FEA"/>
    <w:rsid w:val="00610528"/>
    <w:rsid w:val="0061052F"/>
    <w:rsid w:val="006105FC"/>
    <w:rsid w:val="00611379"/>
    <w:rsid w:val="0061143C"/>
    <w:rsid w:val="00611B17"/>
    <w:rsid w:val="00611DAF"/>
    <w:rsid w:val="00611FA0"/>
    <w:rsid w:val="00612C6B"/>
    <w:rsid w:val="00612FF9"/>
    <w:rsid w:val="006135CD"/>
    <w:rsid w:val="006144FA"/>
    <w:rsid w:val="006145FF"/>
    <w:rsid w:val="006153F0"/>
    <w:rsid w:val="00615C9A"/>
    <w:rsid w:val="006163B2"/>
    <w:rsid w:val="00616495"/>
    <w:rsid w:val="00617206"/>
    <w:rsid w:val="00621790"/>
    <w:rsid w:val="0062183E"/>
    <w:rsid w:val="006218A2"/>
    <w:rsid w:val="006221AF"/>
    <w:rsid w:val="0062237F"/>
    <w:rsid w:val="006228F9"/>
    <w:rsid w:val="00622E43"/>
    <w:rsid w:val="0062318D"/>
    <w:rsid w:val="0062371A"/>
    <w:rsid w:val="00624393"/>
    <w:rsid w:val="00624B96"/>
    <w:rsid w:val="00625071"/>
    <w:rsid w:val="0062543B"/>
    <w:rsid w:val="00625644"/>
    <w:rsid w:val="00626EB2"/>
    <w:rsid w:val="00627DFF"/>
    <w:rsid w:val="00630E5B"/>
    <w:rsid w:val="006346A8"/>
    <w:rsid w:val="00634E70"/>
    <w:rsid w:val="00635366"/>
    <w:rsid w:val="006353C1"/>
    <w:rsid w:val="00635A60"/>
    <w:rsid w:val="00635CB4"/>
    <w:rsid w:val="0063608F"/>
    <w:rsid w:val="006361AF"/>
    <w:rsid w:val="00636607"/>
    <w:rsid w:val="0063740C"/>
    <w:rsid w:val="00637DCB"/>
    <w:rsid w:val="006400F6"/>
    <w:rsid w:val="00642160"/>
    <w:rsid w:val="00642BE3"/>
    <w:rsid w:val="0064445C"/>
    <w:rsid w:val="006444F2"/>
    <w:rsid w:val="0064467B"/>
    <w:rsid w:val="006446B1"/>
    <w:rsid w:val="00644AEB"/>
    <w:rsid w:val="0064533C"/>
    <w:rsid w:val="00645C14"/>
    <w:rsid w:val="0064682E"/>
    <w:rsid w:val="006473E0"/>
    <w:rsid w:val="006476EE"/>
    <w:rsid w:val="00647A1D"/>
    <w:rsid w:val="00647EF0"/>
    <w:rsid w:val="00647F70"/>
    <w:rsid w:val="0065014E"/>
    <w:rsid w:val="00650312"/>
    <w:rsid w:val="00650604"/>
    <w:rsid w:val="00650D7F"/>
    <w:rsid w:val="00650DD2"/>
    <w:rsid w:val="00650F6B"/>
    <w:rsid w:val="00651998"/>
    <w:rsid w:val="00651BED"/>
    <w:rsid w:val="006522A9"/>
    <w:rsid w:val="006523B3"/>
    <w:rsid w:val="0065333D"/>
    <w:rsid w:val="006533AB"/>
    <w:rsid w:val="006536CC"/>
    <w:rsid w:val="006539E1"/>
    <w:rsid w:val="00653B21"/>
    <w:rsid w:val="00653F13"/>
    <w:rsid w:val="006549D5"/>
    <w:rsid w:val="00655C2D"/>
    <w:rsid w:val="00656326"/>
    <w:rsid w:val="00656333"/>
    <w:rsid w:val="00656348"/>
    <w:rsid w:val="006567E7"/>
    <w:rsid w:val="00657579"/>
    <w:rsid w:val="006576A5"/>
    <w:rsid w:val="00657A87"/>
    <w:rsid w:val="00657CB8"/>
    <w:rsid w:val="00660AD2"/>
    <w:rsid w:val="00660D73"/>
    <w:rsid w:val="00661711"/>
    <w:rsid w:val="006617DE"/>
    <w:rsid w:val="00661C3C"/>
    <w:rsid w:val="00662A9C"/>
    <w:rsid w:val="00662C9F"/>
    <w:rsid w:val="00662CAD"/>
    <w:rsid w:val="00662D70"/>
    <w:rsid w:val="0066317D"/>
    <w:rsid w:val="0066358E"/>
    <w:rsid w:val="00663FF7"/>
    <w:rsid w:val="00664421"/>
    <w:rsid w:val="0066454C"/>
    <w:rsid w:val="006647D4"/>
    <w:rsid w:val="00664ACD"/>
    <w:rsid w:val="00665460"/>
    <w:rsid w:val="0066579F"/>
    <w:rsid w:val="00665CE0"/>
    <w:rsid w:val="00665DE8"/>
    <w:rsid w:val="00665E89"/>
    <w:rsid w:val="0066603F"/>
    <w:rsid w:val="00666CAB"/>
    <w:rsid w:val="00666CAD"/>
    <w:rsid w:val="00666CEF"/>
    <w:rsid w:val="00667082"/>
    <w:rsid w:val="006672C3"/>
    <w:rsid w:val="00667DB7"/>
    <w:rsid w:val="00667FCA"/>
    <w:rsid w:val="00670792"/>
    <w:rsid w:val="00670C97"/>
    <w:rsid w:val="006714AB"/>
    <w:rsid w:val="0067357B"/>
    <w:rsid w:val="0067485F"/>
    <w:rsid w:val="006750B5"/>
    <w:rsid w:val="00675AD0"/>
    <w:rsid w:val="00675E0F"/>
    <w:rsid w:val="006764CA"/>
    <w:rsid w:val="0067652E"/>
    <w:rsid w:val="00677368"/>
    <w:rsid w:val="006775C7"/>
    <w:rsid w:val="00680618"/>
    <w:rsid w:val="0068067C"/>
    <w:rsid w:val="00680B92"/>
    <w:rsid w:val="006815DF"/>
    <w:rsid w:val="006819DB"/>
    <w:rsid w:val="00681C75"/>
    <w:rsid w:val="00681ECA"/>
    <w:rsid w:val="00682C6C"/>
    <w:rsid w:val="006833D4"/>
    <w:rsid w:val="006838AD"/>
    <w:rsid w:val="00683D42"/>
    <w:rsid w:val="006848C7"/>
    <w:rsid w:val="00684BC6"/>
    <w:rsid w:val="00685571"/>
    <w:rsid w:val="006868A7"/>
    <w:rsid w:val="00686BDA"/>
    <w:rsid w:val="006872E3"/>
    <w:rsid w:val="0068737A"/>
    <w:rsid w:val="00687AF5"/>
    <w:rsid w:val="00687B64"/>
    <w:rsid w:val="006904B6"/>
    <w:rsid w:val="006905BF"/>
    <w:rsid w:val="006912EF"/>
    <w:rsid w:val="0069205A"/>
    <w:rsid w:val="006920FF"/>
    <w:rsid w:val="0069275E"/>
    <w:rsid w:val="00692BB2"/>
    <w:rsid w:val="006940CB"/>
    <w:rsid w:val="006945F7"/>
    <w:rsid w:val="006947F7"/>
    <w:rsid w:val="0069501E"/>
    <w:rsid w:val="00695663"/>
    <w:rsid w:val="00695885"/>
    <w:rsid w:val="0069591B"/>
    <w:rsid w:val="00695AA1"/>
    <w:rsid w:val="00696245"/>
    <w:rsid w:val="00696789"/>
    <w:rsid w:val="006967AD"/>
    <w:rsid w:val="00696E90"/>
    <w:rsid w:val="00697D97"/>
    <w:rsid w:val="006A0139"/>
    <w:rsid w:val="006A095C"/>
    <w:rsid w:val="006A0EEA"/>
    <w:rsid w:val="006A2C5B"/>
    <w:rsid w:val="006A2D72"/>
    <w:rsid w:val="006A386E"/>
    <w:rsid w:val="006A3FAD"/>
    <w:rsid w:val="006A40F4"/>
    <w:rsid w:val="006A425D"/>
    <w:rsid w:val="006A470D"/>
    <w:rsid w:val="006A4DE8"/>
    <w:rsid w:val="006A547A"/>
    <w:rsid w:val="006A5DF4"/>
    <w:rsid w:val="006A5E34"/>
    <w:rsid w:val="006A61E4"/>
    <w:rsid w:val="006A69DA"/>
    <w:rsid w:val="006A7277"/>
    <w:rsid w:val="006A7383"/>
    <w:rsid w:val="006A7555"/>
    <w:rsid w:val="006B0878"/>
    <w:rsid w:val="006B1DD0"/>
    <w:rsid w:val="006B202B"/>
    <w:rsid w:val="006B2B10"/>
    <w:rsid w:val="006B3538"/>
    <w:rsid w:val="006B3776"/>
    <w:rsid w:val="006B45EF"/>
    <w:rsid w:val="006B4B0A"/>
    <w:rsid w:val="006B4CB6"/>
    <w:rsid w:val="006B4D4F"/>
    <w:rsid w:val="006B54F7"/>
    <w:rsid w:val="006B5772"/>
    <w:rsid w:val="006B61A0"/>
    <w:rsid w:val="006B7336"/>
    <w:rsid w:val="006B7ACD"/>
    <w:rsid w:val="006C16B0"/>
    <w:rsid w:val="006C1B60"/>
    <w:rsid w:val="006C1EC1"/>
    <w:rsid w:val="006C24C2"/>
    <w:rsid w:val="006C2B6E"/>
    <w:rsid w:val="006C2FCF"/>
    <w:rsid w:val="006C38BC"/>
    <w:rsid w:val="006C3A85"/>
    <w:rsid w:val="006C3DBE"/>
    <w:rsid w:val="006C41C1"/>
    <w:rsid w:val="006C577B"/>
    <w:rsid w:val="006C58B2"/>
    <w:rsid w:val="006C5AB8"/>
    <w:rsid w:val="006C5CD5"/>
    <w:rsid w:val="006C5CF3"/>
    <w:rsid w:val="006C6D02"/>
    <w:rsid w:val="006D093D"/>
    <w:rsid w:val="006D2395"/>
    <w:rsid w:val="006D259C"/>
    <w:rsid w:val="006D27E9"/>
    <w:rsid w:val="006D28EC"/>
    <w:rsid w:val="006D2C7C"/>
    <w:rsid w:val="006D2F6A"/>
    <w:rsid w:val="006D350D"/>
    <w:rsid w:val="006D360E"/>
    <w:rsid w:val="006D39A7"/>
    <w:rsid w:val="006D3C9F"/>
    <w:rsid w:val="006D3CF6"/>
    <w:rsid w:val="006D3DA8"/>
    <w:rsid w:val="006D4A10"/>
    <w:rsid w:val="006D5032"/>
    <w:rsid w:val="006D5ACF"/>
    <w:rsid w:val="006D5E22"/>
    <w:rsid w:val="006D671B"/>
    <w:rsid w:val="006E0257"/>
    <w:rsid w:val="006E05B6"/>
    <w:rsid w:val="006E13B0"/>
    <w:rsid w:val="006E1426"/>
    <w:rsid w:val="006E17FD"/>
    <w:rsid w:val="006E1E19"/>
    <w:rsid w:val="006E246D"/>
    <w:rsid w:val="006E3138"/>
    <w:rsid w:val="006E3CB6"/>
    <w:rsid w:val="006E468B"/>
    <w:rsid w:val="006E4D73"/>
    <w:rsid w:val="006E5862"/>
    <w:rsid w:val="006E5FFE"/>
    <w:rsid w:val="006E61E9"/>
    <w:rsid w:val="006E6646"/>
    <w:rsid w:val="006E6DEA"/>
    <w:rsid w:val="006F003E"/>
    <w:rsid w:val="006F016B"/>
    <w:rsid w:val="006F0B13"/>
    <w:rsid w:val="006F16F9"/>
    <w:rsid w:val="006F2DA0"/>
    <w:rsid w:val="006F3A3C"/>
    <w:rsid w:val="006F4B7C"/>
    <w:rsid w:val="006F4F09"/>
    <w:rsid w:val="006F50D3"/>
    <w:rsid w:val="006F5430"/>
    <w:rsid w:val="006F547F"/>
    <w:rsid w:val="006F65E1"/>
    <w:rsid w:val="006F677C"/>
    <w:rsid w:val="006F70A0"/>
    <w:rsid w:val="00700B3A"/>
    <w:rsid w:val="00701617"/>
    <w:rsid w:val="00701666"/>
    <w:rsid w:val="0070185F"/>
    <w:rsid w:val="007023D2"/>
    <w:rsid w:val="00702BD8"/>
    <w:rsid w:val="007032E7"/>
    <w:rsid w:val="0070357C"/>
    <w:rsid w:val="00703595"/>
    <w:rsid w:val="0070372F"/>
    <w:rsid w:val="00704081"/>
    <w:rsid w:val="00704375"/>
    <w:rsid w:val="007056A3"/>
    <w:rsid w:val="00705C52"/>
    <w:rsid w:val="007100A1"/>
    <w:rsid w:val="007108F2"/>
    <w:rsid w:val="00710A61"/>
    <w:rsid w:val="00710BFD"/>
    <w:rsid w:val="00710D7B"/>
    <w:rsid w:val="0071162B"/>
    <w:rsid w:val="00711759"/>
    <w:rsid w:val="00712A4C"/>
    <w:rsid w:val="00712ED8"/>
    <w:rsid w:val="00713057"/>
    <w:rsid w:val="00713875"/>
    <w:rsid w:val="00713F8D"/>
    <w:rsid w:val="0071572E"/>
    <w:rsid w:val="007157DA"/>
    <w:rsid w:val="007166B3"/>
    <w:rsid w:val="00716AFF"/>
    <w:rsid w:val="0071735E"/>
    <w:rsid w:val="007203B4"/>
    <w:rsid w:val="00720A03"/>
    <w:rsid w:val="00721333"/>
    <w:rsid w:val="0072222A"/>
    <w:rsid w:val="007229AB"/>
    <w:rsid w:val="00723CF9"/>
    <w:rsid w:val="00724150"/>
    <w:rsid w:val="007248AA"/>
    <w:rsid w:val="00724A9F"/>
    <w:rsid w:val="00724AE5"/>
    <w:rsid w:val="00724B1A"/>
    <w:rsid w:val="00724D9A"/>
    <w:rsid w:val="00724FA5"/>
    <w:rsid w:val="0072567F"/>
    <w:rsid w:val="00725769"/>
    <w:rsid w:val="00725F07"/>
    <w:rsid w:val="00726109"/>
    <w:rsid w:val="00726705"/>
    <w:rsid w:val="007268A5"/>
    <w:rsid w:val="007270A8"/>
    <w:rsid w:val="007270DE"/>
    <w:rsid w:val="007273D2"/>
    <w:rsid w:val="007278A4"/>
    <w:rsid w:val="00730C10"/>
    <w:rsid w:val="00730F40"/>
    <w:rsid w:val="00731DC0"/>
    <w:rsid w:val="00732839"/>
    <w:rsid w:val="00733270"/>
    <w:rsid w:val="00733365"/>
    <w:rsid w:val="007334CB"/>
    <w:rsid w:val="007339D1"/>
    <w:rsid w:val="00733C4E"/>
    <w:rsid w:val="007354FA"/>
    <w:rsid w:val="00735FAB"/>
    <w:rsid w:val="00736245"/>
    <w:rsid w:val="007363D2"/>
    <w:rsid w:val="007364D2"/>
    <w:rsid w:val="00736723"/>
    <w:rsid w:val="007367C1"/>
    <w:rsid w:val="00737411"/>
    <w:rsid w:val="0073765E"/>
    <w:rsid w:val="00737C65"/>
    <w:rsid w:val="00740283"/>
    <w:rsid w:val="00741A6C"/>
    <w:rsid w:val="0074262A"/>
    <w:rsid w:val="00742940"/>
    <w:rsid w:val="007429C1"/>
    <w:rsid w:val="0074395A"/>
    <w:rsid w:val="007439F1"/>
    <w:rsid w:val="00743DE9"/>
    <w:rsid w:val="007446CE"/>
    <w:rsid w:val="00744CF5"/>
    <w:rsid w:val="00744DA5"/>
    <w:rsid w:val="00745322"/>
    <w:rsid w:val="00745390"/>
    <w:rsid w:val="00745655"/>
    <w:rsid w:val="00745A09"/>
    <w:rsid w:val="00746902"/>
    <w:rsid w:val="00746EFE"/>
    <w:rsid w:val="007472E8"/>
    <w:rsid w:val="00747B77"/>
    <w:rsid w:val="0075061E"/>
    <w:rsid w:val="00750FDC"/>
    <w:rsid w:val="007510B0"/>
    <w:rsid w:val="007516F1"/>
    <w:rsid w:val="00751DB3"/>
    <w:rsid w:val="007521BF"/>
    <w:rsid w:val="0075290D"/>
    <w:rsid w:val="00753180"/>
    <w:rsid w:val="00754E04"/>
    <w:rsid w:val="00755553"/>
    <w:rsid w:val="00755B8A"/>
    <w:rsid w:val="00756576"/>
    <w:rsid w:val="0075683B"/>
    <w:rsid w:val="00756B82"/>
    <w:rsid w:val="00756D4D"/>
    <w:rsid w:val="00757133"/>
    <w:rsid w:val="00757382"/>
    <w:rsid w:val="007578A2"/>
    <w:rsid w:val="00757ACE"/>
    <w:rsid w:val="00757B48"/>
    <w:rsid w:val="00757C08"/>
    <w:rsid w:val="00760A8A"/>
    <w:rsid w:val="00760D1B"/>
    <w:rsid w:val="00760DFD"/>
    <w:rsid w:val="00761C9B"/>
    <w:rsid w:val="0076226E"/>
    <w:rsid w:val="007628BF"/>
    <w:rsid w:val="00762E50"/>
    <w:rsid w:val="00763078"/>
    <w:rsid w:val="00763BE3"/>
    <w:rsid w:val="00765074"/>
    <w:rsid w:val="00765819"/>
    <w:rsid w:val="00765911"/>
    <w:rsid w:val="00765A12"/>
    <w:rsid w:val="00765A3F"/>
    <w:rsid w:val="00765E73"/>
    <w:rsid w:val="00766507"/>
    <w:rsid w:val="0076662D"/>
    <w:rsid w:val="00767014"/>
    <w:rsid w:val="00767AED"/>
    <w:rsid w:val="00770431"/>
    <w:rsid w:val="00770522"/>
    <w:rsid w:val="00770660"/>
    <w:rsid w:val="00771A61"/>
    <w:rsid w:val="00771E21"/>
    <w:rsid w:val="00771FDB"/>
    <w:rsid w:val="00772EAD"/>
    <w:rsid w:val="00772F2D"/>
    <w:rsid w:val="007730F2"/>
    <w:rsid w:val="00773778"/>
    <w:rsid w:val="00773906"/>
    <w:rsid w:val="00773F6B"/>
    <w:rsid w:val="007744E2"/>
    <w:rsid w:val="00774799"/>
    <w:rsid w:val="00775794"/>
    <w:rsid w:val="00775A2A"/>
    <w:rsid w:val="00775B1D"/>
    <w:rsid w:val="007772FA"/>
    <w:rsid w:val="00777726"/>
    <w:rsid w:val="00777A2B"/>
    <w:rsid w:val="00777C83"/>
    <w:rsid w:val="00777D04"/>
    <w:rsid w:val="00777EA7"/>
    <w:rsid w:val="0078055F"/>
    <w:rsid w:val="00780DDF"/>
    <w:rsid w:val="00781373"/>
    <w:rsid w:val="00781BB7"/>
    <w:rsid w:val="00781EFD"/>
    <w:rsid w:val="00782382"/>
    <w:rsid w:val="007827D4"/>
    <w:rsid w:val="00782B0D"/>
    <w:rsid w:val="00782C56"/>
    <w:rsid w:val="00782D89"/>
    <w:rsid w:val="007833EC"/>
    <w:rsid w:val="007837FC"/>
    <w:rsid w:val="00783A24"/>
    <w:rsid w:val="00783EB3"/>
    <w:rsid w:val="00784B31"/>
    <w:rsid w:val="007850EC"/>
    <w:rsid w:val="007867D7"/>
    <w:rsid w:val="0079193C"/>
    <w:rsid w:val="00791EBE"/>
    <w:rsid w:val="00792092"/>
    <w:rsid w:val="007920C9"/>
    <w:rsid w:val="00792454"/>
    <w:rsid w:val="00792FF4"/>
    <w:rsid w:val="0079360F"/>
    <w:rsid w:val="007937E0"/>
    <w:rsid w:val="00793BCE"/>
    <w:rsid w:val="00794162"/>
    <w:rsid w:val="00794689"/>
    <w:rsid w:val="007947E9"/>
    <w:rsid w:val="00796230"/>
    <w:rsid w:val="00796811"/>
    <w:rsid w:val="007968D5"/>
    <w:rsid w:val="00796BF3"/>
    <w:rsid w:val="00797E60"/>
    <w:rsid w:val="007A0022"/>
    <w:rsid w:val="007A0199"/>
    <w:rsid w:val="007A026C"/>
    <w:rsid w:val="007A03C6"/>
    <w:rsid w:val="007A1941"/>
    <w:rsid w:val="007A2335"/>
    <w:rsid w:val="007A2427"/>
    <w:rsid w:val="007A29EB"/>
    <w:rsid w:val="007A2D57"/>
    <w:rsid w:val="007A3254"/>
    <w:rsid w:val="007A4C53"/>
    <w:rsid w:val="007A4E14"/>
    <w:rsid w:val="007A5093"/>
    <w:rsid w:val="007A5E58"/>
    <w:rsid w:val="007A6736"/>
    <w:rsid w:val="007A682E"/>
    <w:rsid w:val="007A6B34"/>
    <w:rsid w:val="007A6FDC"/>
    <w:rsid w:val="007A7861"/>
    <w:rsid w:val="007A7ACE"/>
    <w:rsid w:val="007A7B7F"/>
    <w:rsid w:val="007B0219"/>
    <w:rsid w:val="007B0E78"/>
    <w:rsid w:val="007B124E"/>
    <w:rsid w:val="007B14DD"/>
    <w:rsid w:val="007B1634"/>
    <w:rsid w:val="007B1784"/>
    <w:rsid w:val="007B1C74"/>
    <w:rsid w:val="007B210B"/>
    <w:rsid w:val="007B27A6"/>
    <w:rsid w:val="007B2AD0"/>
    <w:rsid w:val="007B2FA3"/>
    <w:rsid w:val="007B3244"/>
    <w:rsid w:val="007B3860"/>
    <w:rsid w:val="007B41E8"/>
    <w:rsid w:val="007B5F9F"/>
    <w:rsid w:val="007B6101"/>
    <w:rsid w:val="007B62A2"/>
    <w:rsid w:val="007B650F"/>
    <w:rsid w:val="007B6B19"/>
    <w:rsid w:val="007B700A"/>
    <w:rsid w:val="007C0483"/>
    <w:rsid w:val="007C0B8A"/>
    <w:rsid w:val="007C1679"/>
    <w:rsid w:val="007C1D7C"/>
    <w:rsid w:val="007C23DE"/>
    <w:rsid w:val="007C2A2C"/>
    <w:rsid w:val="007C2AD4"/>
    <w:rsid w:val="007C2B67"/>
    <w:rsid w:val="007C2D55"/>
    <w:rsid w:val="007C2DE2"/>
    <w:rsid w:val="007C3759"/>
    <w:rsid w:val="007C42A4"/>
    <w:rsid w:val="007C4D96"/>
    <w:rsid w:val="007C61C8"/>
    <w:rsid w:val="007C625B"/>
    <w:rsid w:val="007C72C7"/>
    <w:rsid w:val="007C75C4"/>
    <w:rsid w:val="007C75FA"/>
    <w:rsid w:val="007D14B9"/>
    <w:rsid w:val="007D17A5"/>
    <w:rsid w:val="007D1DE7"/>
    <w:rsid w:val="007D24D9"/>
    <w:rsid w:val="007D295D"/>
    <w:rsid w:val="007D3F92"/>
    <w:rsid w:val="007D4001"/>
    <w:rsid w:val="007D5357"/>
    <w:rsid w:val="007D56D9"/>
    <w:rsid w:val="007D66FC"/>
    <w:rsid w:val="007D6952"/>
    <w:rsid w:val="007D6E01"/>
    <w:rsid w:val="007D7116"/>
    <w:rsid w:val="007D7220"/>
    <w:rsid w:val="007D782F"/>
    <w:rsid w:val="007E0ED6"/>
    <w:rsid w:val="007E1281"/>
    <w:rsid w:val="007E131F"/>
    <w:rsid w:val="007E2278"/>
    <w:rsid w:val="007E2465"/>
    <w:rsid w:val="007E2A7A"/>
    <w:rsid w:val="007E3108"/>
    <w:rsid w:val="007E344F"/>
    <w:rsid w:val="007E39A6"/>
    <w:rsid w:val="007E3AB6"/>
    <w:rsid w:val="007E3D65"/>
    <w:rsid w:val="007E44B1"/>
    <w:rsid w:val="007E4693"/>
    <w:rsid w:val="007E473F"/>
    <w:rsid w:val="007E4A98"/>
    <w:rsid w:val="007E6450"/>
    <w:rsid w:val="007E6536"/>
    <w:rsid w:val="007E657E"/>
    <w:rsid w:val="007E6597"/>
    <w:rsid w:val="007E6952"/>
    <w:rsid w:val="007E6AB0"/>
    <w:rsid w:val="007E7F02"/>
    <w:rsid w:val="007F13F9"/>
    <w:rsid w:val="007F23F8"/>
    <w:rsid w:val="007F27C7"/>
    <w:rsid w:val="007F2AA6"/>
    <w:rsid w:val="007F2FE3"/>
    <w:rsid w:val="007F3180"/>
    <w:rsid w:val="007F3C7E"/>
    <w:rsid w:val="007F4081"/>
    <w:rsid w:val="007F48C8"/>
    <w:rsid w:val="007F4E83"/>
    <w:rsid w:val="007F4EBC"/>
    <w:rsid w:val="007F60A0"/>
    <w:rsid w:val="007F612E"/>
    <w:rsid w:val="007F6167"/>
    <w:rsid w:val="007F656D"/>
    <w:rsid w:val="007F67FD"/>
    <w:rsid w:val="00801641"/>
    <w:rsid w:val="00802797"/>
    <w:rsid w:val="00802ED4"/>
    <w:rsid w:val="008032F8"/>
    <w:rsid w:val="0080388D"/>
    <w:rsid w:val="00803A01"/>
    <w:rsid w:val="00804032"/>
    <w:rsid w:val="00804134"/>
    <w:rsid w:val="00804B02"/>
    <w:rsid w:val="00804D35"/>
    <w:rsid w:val="00804E9D"/>
    <w:rsid w:val="0080506C"/>
    <w:rsid w:val="00805345"/>
    <w:rsid w:val="00805612"/>
    <w:rsid w:val="0080627F"/>
    <w:rsid w:val="00806711"/>
    <w:rsid w:val="00806FBB"/>
    <w:rsid w:val="00810FE5"/>
    <w:rsid w:val="008113D9"/>
    <w:rsid w:val="008114F7"/>
    <w:rsid w:val="00811689"/>
    <w:rsid w:val="00811A3B"/>
    <w:rsid w:val="0081241C"/>
    <w:rsid w:val="00812654"/>
    <w:rsid w:val="00812967"/>
    <w:rsid w:val="00812DE0"/>
    <w:rsid w:val="00813588"/>
    <w:rsid w:val="0081454B"/>
    <w:rsid w:val="00814C59"/>
    <w:rsid w:val="00815A41"/>
    <w:rsid w:val="00815D6E"/>
    <w:rsid w:val="00816799"/>
    <w:rsid w:val="00816A5B"/>
    <w:rsid w:val="0081747F"/>
    <w:rsid w:val="00817551"/>
    <w:rsid w:val="00817A12"/>
    <w:rsid w:val="00817EDA"/>
    <w:rsid w:val="00820E2D"/>
    <w:rsid w:val="008215F0"/>
    <w:rsid w:val="008219A9"/>
    <w:rsid w:val="00821D67"/>
    <w:rsid w:val="008225CA"/>
    <w:rsid w:val="0082275B"/>
    <w:rsid w:val="00822C37"/>
    <w:rsid w:val="00822F5E"/>
    <w:rsid w:val="0082391D"/>
    <w:rsid w:val="00823BAA"/>
    <w:rsid w:val="008241D4"/>
    <w:rsid w:val="0082432F"/>
    <w:rsid w:val="00824718"/>
    <w:rsid w:val="00825EFB"/>
    <w:rsid w:val="00825F08"/>
    <w:rsid w:val="00826456"/>
    <w:rsid w:val="00826C71"/>
    <w:rsid w:val="008275E6"/>
    <w:rsid w:val="00827B6A"/>
    <w:rsid w:val="00830775"/>
    <w:rsid w:val="00831628"/>
    <w:rsid w:val="00831C46"/>
    <w:rsid w:val="00831CCF"/>
    <w:rsid w:val="00833743"/>
    <w:rsid w:val="008347D9"/>
    <w:rsid w:val="00836E4F"/>
    <w:rsid w:val="0084083A"/>
    <w:rsid w:val="00842BCB"/>
    <w:rsid w:val="00843466"/>
    <w:rsid w:val="00844123"/>
    <w:rsid w:val="008453D9"/>
    <w:rsid w:val="00845BB7"/>
    <w:rsid w:val="00845F51"/>
    <w:rsid w:val="008463DA"/>
    <w:rsid w:val="00846804"/>
    <w:rsid w:val="00846B85"/>
    <w:rsid w:val="00847CC2"/>
    <w:rsid w:val="00847FC0"/>
    <w:rsid w:val="00850516"/>
    <w:rsid w:val="00850CA7"/>
    <w:rsid w:val="00851974"/>
    <w:rsid w:val="00851B33"/>
    <w:rsid w:val="00851D9D"/>
    <w:rsid w:val="008521F5"/>
    <w:rsid w:val="0085282F"/>
    <w:rsid w:val="00852F59"/>
    <w:rsid w:val="0085376B"/>
    <w:rsid w:val="00853BBB"/>
    <w:rsid w:val="00854BF5"/>
    <w:rsid w:val="0085554A"/>
    <w:rsid w:val="008556B0"/>
    <w:rsid w:val="0085646B"/>
    <w:rsid w:val="00856765"/>
    <w:rsid w:val="008568B6"/>
    <w:rsid w:val="00856FF7"/>
    <w:rsid w:val="0085747D"/>
    <w:rsid w:val="00857954"/>
    <w:rsid w:val="008602F1"/>
    <w:rsid w:val="008606C3"/>
    <w:rsid w:val="00860967"/>
    <w:rsid w:val="008609D2"/>
    <w:rsid w:val="00861A9E"/>
    <w:rsid w:val="00861E54"/>
    <w:rsid w:val="00861F29"/>
    <w:rsid w:val="00861F8F"/>
    <w:rsid w:val="0086264F"/>
    <w:rsid w:val="008626B7"/>
    <w:rsid w:val="00862A1D"/>
    <w:rsid w:val="00863134"/>
    <w:rsid w:val="00863874"/>
    <w:rsid w:val="00863AFE"/>
    <w:rsid w:val="00864F7D"/>
    <w:rsid w:val="00864F9B"/>
    <w:rsid w:val="008653C4"/>
    <w:rsid w:val="00865F7B"/>
    <w:rsid w:val="00866213"/>
    <w:rsid w:val="00866444"/>
    <w:rsid w:val="0086679C"/>
    <w:rsid w:val="0086701D"/>
    <w:rsid w:val="00867E5D"/>
    <w:rsid w:val="00867EB7"/>
    <w:rsid w:val="0087188E"/>
    <w:rsid w:val="008725B6"/>
    <w:rsid w:val="008728F3"/>
    <w:rsid w:val="00872BD1"/>
    <w:rsid w:val="00873794"/>
    <w:rsid w:val="0087385E"/>
    <w:rsid w:val="008739EE"/>
    <w:rsid w:val="00873D7F"/>
    <w:rsid w:val="008748C8"/>
    <w:rsid w:val="00874D34"/>
    <w:rsid w:val="008759A3"/>
    <w:rsid w:val="00875B81"/>
    <w:rsid w:val="008762E8"/>
    <w:rsid w:val="008765A0"/>
    <w:rsid w:val="008767F7"/>
    <w:rsid w:val="008774BF"/>
    <w:rsid w:val="00877590"/>
    <w:rsid w:val="008776F5"/>
    <w:rsid w:val="00877874"/>
    <w:rsid w:val="00877954"/>
    <w:rsid w:val="00877E5C"/>
    <w:rsid w:val="00881497"/>
    <w:rsid w:val="00881998"/>
    <w:rsid w:val="00881C03"/>
    <w:rsid w:val="00881C82"/>
    <w:rsid w:val="00882537"/>
    <w:rsid w:val="008827A8"/>
    <w:rsid w:val="00882C12"/>
    <w:rsid w:val="00883859"/>
    <w:rsid w:val="00883CBA"/>
    <w:rsid w:val="00883E4E"/>
    <w:rsid w:val="0088512B"/>
    <w:rsid w:val="00885942"/>
    <w:rsid w:val="00886E16"/>
    <w:rsid w:val="008874E0"/>
    <w:rsid w:val="008875AE"/>
    <w:rsid w:val="0088795D"/>
    <w:rsid w:val="00890AAB"/>
    <w:rsid w:val="008910D1"/>
    <w:rsid w:val="00891E5D"/>
    <w:rsid w:val="00892178"/>
    <w:rsid w:val="0089244B"/>
    <w:rsid w:val="008926CE"/>
    <w:rsid w:val="00892C0D"/>
    <w:rsid w:val="00893E33"/>
    <w:rsid w:val="00896111"/>
    <w:rsid w:val="00896301"/>
    <w:rsid w:val="00896FD0"/>
    <w:rsid w:val="008977C0"/>
    <w:rsid w:val="00897AE2"/>
    <w:rsid w:val="00897F9D"/>
    <w:rsid w:val="008A2818"/>
    <w:rsid w:val="008A2B97"/>
    <w:rsid w:val="008A3368"/>
    <w:rsid w:val="008A35C4"/>
    <w:rsid w:val="008A3830"/>
    <w:rsid w:val="008A3BDC"/>
    <w:rsid w:val="008A3BEB"/>
    <w:rsid w:val="008A5109"/>
    <w:rsid w:val="008A525F"/>
    <w:rsid w:val="008A5429"/>
    <w:rsid w:val="008A55B9"/>
    <w:rsid w:val="008A59F4"/>
    <w:rsid w:val="008A6051"/>
    <w:rsid w:val="008A6634"/>
    <w:rsid w:val="008B02D1"/>
    <w:rsid w:val="008B08A2"/>
    <w:rsid w:val="008B2357"/>
    <w:rsid w:val="008B36A7"/>
    <w:rsid w:val="008B376D"/>
    <w:rsid w:val="008B39CA"/>
    <w:rsid w:val="008B3C94"/>
    <w:rsid w:val="008B4650"/>
    <w:rsid w:val="008B4B1E"/>
    <w:rsid w:val="008B4B3D"/>
    <w:rsid w:val="008B54EF"/>
    <w:rsid w:val="008B6B10"/>
    <w:rsid w:val="008C13F6"/>
    <w:rsid w:val="008C22E8"/>
    <w:rsid w:val="008C2B5D"/>
    <w:rsid w:val="008C341C"/>
    <w:rsid w:val="008C3627"/>
    <w:rsid w:val="008C3890"/>
    <w:rsid w:val="008C3CC9"/>
    <w:rsid w:val="008C4876"/>
    <w:rsid w:val="008C4985"/>
    <w:rsid w:val="008C5C59"/>
    <w:rsid w:val="008C6503"/>
    <w:rsid w:val="008C6657"/>
    <w:rsid w:val="008C68F1"/>
    <w:rsid w:val="008C6AAE"/>
    <w:rsid w:val="008C6D5C"/>
    <w:rsid w:val="008C7094"/>
    <w:rsid w:val="008C7221"/>
    <w:rsid w:val="008C77FD"/>
    <w:rsid w:val="008D1189"/>
    <w:rsid w:val="008D11F7"/>
    <w:rsid w:val="008D14E4"/>
    <w:rsid w:val="008D1A1F"/>
    <w:rsid w:val="008D2E72"/>
    <w:rsid w:val="008D371A"/>
    <w:rsid w:val="008D3F61"/>
    <w:rsid w:val="008D40BB"/>
    <w:rsid w:val="008D4684"/>
    <w:rsid w:val="008D5752"/>
    <w:rsid w:val="008D658B"/>
    <w:rsid w:val="008D65BD"/>
    <w:rsid w:val="008D6859"/>
    <w:rsid w:val="008D6B7A"/>
    <w:rsid w:val="008D7D69"/>
    <w:rsid w:val="008D7E70"/>
    <w:rsid w:val="008E1679"/>
    <w:rsid w:val="008E24D3"/>
    <w:rsid w:val="008E2DE3"/>
    <w:rsid w:val="008E38A1"/>
    <w:rsid w:val="008E3C69"/>
    <w:rsid w:val="008E41CD"/>
    <w:rsid w:val="008E461F"/>
    <w:rsid w:val="008E4EE0"/>
    <w:rsid w:val="008E531B"/>
    <w:rsid w:val="008E53C1"/>
    <w:rsid w:val="008E5515"/>
    <w:rsid w:val="008E552B"/>
    <w:rsid w:val="008E63FF"/>
    <w:rsid w:val="008E64F4"/>
    <w:rsid w:val="008E66BC"/>
    <w:rsid w:val="008E7018"/>
    <w:rsid w:val="008E708C"/>
    <w:rsid w:val="008E771D"/>
    <w:rsid w:val="008E7C12"/>
    <w:rsid w:val="008E7D3C"/>
    <w:rsid w:val="008F0921"/>
    <w:rsid w:val="008F2AFE"/>
    <w:rsid w:val="008F2B5A"/>
    <w:rsid w:val="008F2CF6"/>
    <w:rsid w:val="008F2E91"/>
    <w:rsid w:val="008F2FC5"/>
    <w:rsid w:val="008F39DA"/>
    <w:rsid w:val="008F3CF6"/>
    <w:rsid w:val="008F3E47"/>
    <w:rsid w:val="008F413A"/>
    <w:rsid w:val="008F4A13"/>
    <w:rsid w:val="008F4AAE"/>
    <w:rsid w:val="008F5581"/>
    <w:rsid w:val="008F58A7"/>
    <w:rsid w:val="008F66A6"/>
    <w:rsid w:val="008F6EAC"/>
    <w:rsid w:val="008F7521"/>
    <w:rsid w:val="008F7AE8"/>
    <w:rsid w:val="009000B0"/>
    <w:rsid w:val="0090066C"/>
    <w:rsid w:val="00901B99"/>
    <w:rsid w:val="00901C58"/>
    <w:rsid w:val="00901DEA"/>
    <w:rsid w:val="00901EEB"/>
    <w:rsid w:val="009027E0"/>
    <w:rsid w:val="00902CA8"/>
    <w:rsid w:val="00902E59"/>
    <w:rsid w:val="0090321B"/>
    <w:rsid w:val="0090343B"/>
    <w:rsid w:val="0090418D"/>
    <w:rsid w:val="0090480D"/>
    <w:rsid w:val="0090501A"/>
    <w:rsid w:val="0090519B"/>
    <w:rsid w:val="0090572F"/>
    <w:rsid w:val="00905E46"/>
    <w:rsid w:val="00906B32"/>
    <w:rsid w:val="00906B63"/>
    <w:rsid w:val="009078AB"/>
    <w:rsid w:val="0091015C"/>
    <w:rsid w:val="00910358"/>
    <w:rsid w:val="00911601"/>
    <w:rsid w:val="00911FA6"/>
    <w:rsid w:val="00912224"/>
    <w:rsid w:val="00912E84"/>
    <w:rsid w:val="00912FF6"/>
    <w:rsid w:val="0091324D"/>
    <w:rsid w:val="00913B4E"/>
    <w:rsid w:val="009146F3"/>
    <w:rsid w:val="00914CAD"/>
    <w:rsid w:val="00915E06"/>
    <w:rsid w:val="009163CD"/>
    <w:rsid w:val="0091787B"/>
    <w:rsid w:val="00917FCB"/>
    <w:rsid w:val="00920083"/>
    <w:rsid w:val="00920AB2"/>
    <w:rsid w:val="00920C2A"/>
    <w:rsid w:val="00921129"/>
    <w:rsid w:val="009213CE"/>
    <w:rsid w:val="0092226B"/>
    <w:rsid w:val="00924E74"/>
    <w:rsid w:val="00926B0A"/>
    <w:rsid w:val="00926D05"/>
    <w:rsid w:val="00926E62"/>
    <w:rsid w:val="009275AE"/>
    <w:rsid w:val="00930D80"/>
    <w:rsid w:val="00932A59"/>
    <w:rsid w:val="00933056"/>
    <w:rsid w:val="00933104"/>
    <w:rsid w:val="00933647"/>
    <w:rsid w:val="009340F9"/>
    <w:rsid w:val="00935C15"/>
    <w:rsid w:val="00935F7D"/>
    <w:rsid w:val="009361CE"/>
    <w:rsid w:val="009363DC"/>
    <w:rsid w:val="009364A0"/>
    <w:rsid w:val="009368A2"/>
    <w:rsid w:val="009368F3"/>
    <w:rsid w:val="00937373"/>
    <w:rsid w:val="00937639"/>
    <w:rsid w:val="009376E4"/>
    <w:rsid w:val="00937835"/>
    <w:rsid w:val="009378D5"/>
    <w:rsid w:val="0094085D"/>
    <w:rsid w:val="0094096E"/>
    <w:rsid w:val="00940D83"/>
    <w:rsid w:val="0094124C"/>
    <w:rsid w:val="00941922"/>
    <w:rsid w:val="00941A92"/>
    <w:rsid w:val="00941D7C"/>
    <w:rsid w:val="0094258A"/>
    <w:rsid w:val="00942869"/>
    <w:rsid w:val="0094307D"/>
    <w:rsid w:val="00943712"/>
    <w:rsid w:val="0094414D"/>
    <w:rsid w:val="00945810"/>
    <w:rsid w:val="00946B60"/>
    <w:rsid w:val="009471F8"/>
    <w:rsid w:val="00947227"/>
    <w:rsid w:val="009476F3"/>
    <w:rsid w:val="009500DD"/>
    <w:rsid w:val="0095027F"/>
    <w:rsid w:val="009505F2"/>
    <w:rsid w:val="00950CC5"/>
    <w:rsid w:val="009513C9"/>
    <w:rsid w:val="0095180F"/>
    <w:rsid w:val="00951E7F"/>
    <w:rsid w:val="00952052"/>
    <w:rsid w:val="009522D4"/>
    <w:rsid w:val="0095308A"/>
    <w:rsid w:val="00953B99"/>
    <w:rsid w:val="00953E6B"/>
    <w:rsid w:val="00953F24"/>
    <w:rsid w:val="00954190"/>
    <w:rsid w:val="009546F3"/>
    <w:rsid w:val="00954979"/>
    <w:rsid w:val="00954A06"/>
    <w:rsid w:val="00954AC5"/>
    <w:rsid w:val="009552EB"/>
    <w:rsid w:val="00955B41"/>
    <w:rsid w:val="00955D30"/>
    <w:rsid w:val="00955EDB"/>
    <w:rsid w:val="00956C83"/>
    <w:rsid w:val="00956E9F"/>
    <w:rsid w:val="00957F78"/>
    <w:rsid w:val="00960841"/>
    <w:rsid w:val="0096180F"/>
    <w:rsid w:val="00961E2F"/>
    <w:rsid w:val="0096208B"/>
    <w:rsid w:val="009625A1"/>
    <w:rsid w:val="00962C8D"/>
    <w:rsid w:val="00963D49"/>
    <w:rsid w:val="00964BDF"/>
    <w:rsid w:val="00964DBC"/>
    <w:rsid w:val="0096505F"/>
    <w:rsid w:val="00965475"/>
    <w:rsid w:val="009655CF"/>
    <w:rsid w:val="009662B4"/>
    <w:rsid w:val="00966405"/>
    <w:rsid w:val="009665E0"/>
    <w:rsid w:val="00967679"/>
    <w:rsid w:val="009677C6"/>
    <w:rsid w:val="00967891"/>
    <w:rsid w:val="00967930"/>
    <w:rsid w:val="00967BFE"/>
    <w:rsid w:val="009704A9"/>
    <w:rsid w:val="00972599"/>
    <w:rsid w:val="009727CD"/>
    <w:rsid w:val="00972D03"/>
    <w:rsid w:val="009730DF"/>
    <w:rsid w:val="0097387E"/>
    <w:rsid w:val="009742D4"/>
    <w:rsid w:val="009748D6"/>
    <w:rsid w:val="00974980"/>
    <w:rsid w:val="00974B97"/>
    <w:rsid w:val="00974E43"/>
    <w:rsid w:val="009759B3"/>
    <w:rsid w:val="00975BB8"/>
    <w:rsid w:val="00975EA4"/>
    <w:rsid w:val="009766AB"/>
    <w:rsid w:val="00976FD0"/>
    <w:rsid w:val="009808A8"/>
    <w:rsid w:val="0098097C"/>
    <w:rsid w:val="009810EB"/>
    <w:rsid w:val="00981673"/>
    <w:rsid w:val="0098174B"/>
    <w:rsid w:val="009819CB"/>
    <w:rsid w:val="00981BE0"/>
    <w:rsid w:val="00982025"/>
    <w:rsid w:val="00983C1F"/>
    <w:rsid w:val="00984032"/>
    <w:rsid w:val="0098406C"/>
    <w:rsid w:val="00984E36"/>
    <w:rsid w:val="009850E7"/>
    <w:rsid w:val="00985A8C"/>
    <w:rsid w:val="00985BCE"/>
    <w:rsid w:val="009861ED"/>
    <w:rsid w:val="00986BD7"/>
    <w:rsid w:val="00987353"/>
    <w:rsid w:val="00990DA7"/>
    <w:rsid w:val="00990F47"/>
    <w:rsid w:val="009913D2"/>
    <w:rsid w:val="0099267D"/>
    <w:rsid w:val="009926B6"/>
    <w:rsid w:val="00992EEA"/>
    <w:rsid w:val="009930D0"/>
    <w:rsid w:val="00993AF5"/>
    <w:rsid w:val="00994F83"/>
    <w:rsid w:val="00995976"/>
    <w:rsid w:val="00995A71"/>
    <w:rsid w:val="00995A9A"/>
    <w:rsid w:val="009964C9"/>
    <w:rsid w:val="00997A62"/>
    <w:rsid w:val="00997B18"/>
    <w:rsid w:val="00997F83"/>
    <w:rsid w:val="009A013E"/>
    <w:rsid w:val="009A015B"/>
    <w:rsid w:val="009A09C1"/>
    <w:rsid w:val="009A0E86"/>
    <w:rsid w:val="009A1853"/>
    <w:rsid w:val="009A23B9"/>
    <w:rsid w:val="009A264F"/>
    <w:rsid w:val="009A2B52"/>
    <w:rsid w:val="009A3083"/>
    <w:rsid w:val="009A3394"/>
    <w:rsid w:val="009A38AA"/>
    <w:rsid w:val="009A3A97"/>
    <w:rsid w:val="009A3EEE"/>
    <w:rsid w:val="009A4102"/>
    <w:rsid w:val="009A4BFD"/>
    <w:rsid w:val="009A666B"/>
    <w:rsid w:val="009A6680"/>
    <w:rsid w:val="009A7219"/>
    <w:rsid w:val="009A7546"/>
    <w:rsid w:val="009A76A1"/>
    <w:rsid w:val="009A7ABE"/>
    <w:rsid w:val="009A7DA8"/>
    <w:rsid w:val="009B09D7"/>
    <w:rsid w:val="009B0A32"/>
    <w:rsid w:val="009B0AD4"/>
    <w:rsid w:val="009B0ADC"/>
    <w:rsid w:val="009B0C80"/>
    <w:rsid w:val="009B1F2C"/>
    <w:rsid w:val="009B260C"/>
    <w:rsid w:val="009B29B6"/>
    <w:rsid w:val="009B2E06"/>
    <w:rsid w:val="009B3A6C"/>
    <w:rsid w:val="009B3FA8"/>
    <w:rsid w:val="009B416D"/>
    <w:rsid w:val="009B534A"/>
    <w:rsid w:val="009B5C6F"/>
    <w:rsid w:val="009B63A5"/>
    <w:rsid w:val="009B64C8"/>
    <w:rsid w:val="009B78C1"/>
    <w:rsid w:val="009B7999"/>
    <w:rsid w:val="009B7DE9"/>
    <w:rsid w:val="009C0EBB"/>
    <w:rsid w:val="009C11B6"/>
    <w:rsid w:val="009C143C"/>
    <w:rsid w:val="009C1858"/>
    <w:rsid w:val="009C1D96"/>
    <w:rsid w:val="009C1E95"/>
    <w:rsid w:val="009C26EE"/>
    <w:rsid w:val="009C2707"/>
    <w:rsid w:val="009C27F2"/>
    <w:rsid w:val="009C2AD8"/>
    <w:rsid w:val="009C2F69"/>
    <w:rsid w:val="009C3580"/>
    <w:rsid w:val="009C35EB"/>
    <w:rsid w:val="009C3ABD"/>
    <w:rsid w:val="009C417A"/>
    <w:rsid w:val="009C4412"/>
    <w:rsid w:val="009C4F84"/>
    <w:rsid w:val="009C5AF6"/>
    <w:rsid w:val="009C5FC3"/>
    <w:rsid w:val="009C71AA"/>
    <w:rsid w:val="009D031C"/>
    <w:rsid w:val="009D060F"/>
    <w:rsid w:val="009D1FA3"/>
    <w:rsid w:val="009D256D"/>
    <w:rsid w:val="009D2598"/>
    <w:rsid w:val="009D343F"/>
    <w:rsid w:val="009D3D77"/>
    <w:rsid w:val="009D4390"/>
    <w:rsid w:val="009D444F"/>
    <w:rsid w:val="009D4D7F"/>
    <w:rsid w:val="009D522B"/>
    <w:rsid w:val="009D53BB"/>
    <w:rsid w:val="009D53C3"/>
    <w:rsid w:val="009D54AB"/>
    <w:rsid w:val="009D5A36"/>
    <w:rsid w:val="009D5B7A"/>
    <w:rsid w:val="009D6854"/>
    <w:rsid w:val="009D6B2A"/>
    <w:rsid w:val="009D6BD9"/>
    <w:rsid w:val="009E0A79"/>
    <w:rsid w:val="009E0B42"/>
    <w:rsid w:val="009E1610"/>
    <w:rsid w:val="009E19BF"/>
    <w:rsid w:val="009E3180"/>
    <w:rsid w:val="009E3930"/>
    <w:rsid w:val="009E3A80"/>
    <w:rsid w:val="009E476D"/>
    <w:rsid w:val="009E4925"/>
    <w:rsid w:val="009E561B"/>
    <w:rsid w:val="009E5C82"/>
    <w:rsid w:val="009E6A7D"/>
    <w:rsid w:val="009E7133"/>
    <w:rsid w:val="009E72E7"/>
    <w:rsid w:val="009F051F"/>
    <w:rsid w:val="009F0C4B"/>
    <w:rsid w:val="009F0ED7"/>
    <w:rsid w:val="009F21ED"/>
    <w:rsid w:val="009F2378"/>
    <w:rsid w:val="009F2A30"/>
    <w:rsid w:val="009F389D"/>
    <w:rsid w:val="009F3EC0"/>
    <w:rsid w:val="009F43CE"/>
    <w:rsid w:val="009F5848"/>
    <w:rsid w:val="009F5E3F"/>
    <w:rsid w:val="009F5FFE"/>
    <w:rsid w:val="009F6F17"/>
    <w:rsid w:val="00A00A0A"/>
    <w:rsid w:val="00A00B49"/>
    <w:rsid w:val="00A00B68"/>
    <w:rsid w:val="00A0183A"/>
    <w:rsid w:val="00A018E5"/>
    <w:rsid w:val="00A01D1B"/>
    <w:rsid w:val="00A024D7"/>
    <w:rsid w:val="00A02E72"/>
    <w:rsid w:val="00A032EF"/>
    <w:rsid w:val="00A0351A"/>
    <w:rsid w:val="00A0385D"/>
    <w:rsid w:val="00A038D6"/>
    <w:rsid w:val="00A05640"/>
    <w:rsid w:val="00A07475"/>
    <w:rsid w:val="00A0763F"/>
    <w:rsid w:val="00A102B6"/>
    <w:rsid w:val="00A10659"/>
    <w:rsid w:val="00A10D3C"/>
    <w:rsid w:val="00A10F29"/>
    <w:rsid w:val="00A11A3C"/>
    <w:rsid w:val="00A11C82"/>
    <w:rsid w:val="00A1259D"/>
    <w:rsid w:val="00A1270B"/>
    <w:rsid w:val="00A12A97"/>
    <w:rsid w:val="00A13B53"/>
    <w:rsid w:val="00A13F38"/>
    <w:rsid w:val="00A14EF4"/>
    <w:rsid w:val="00A14F67"/>
    <w:rsid w:val="00A155F1"/>
    <w:rsid w:val="00A159B4"/>
    <w:rsid w:val="00A15D9E"/>
    <w:rsid w:val="00A15F67"/>
    <w:rsid w:val="00A15FCD"/>
    <w:rsid w:val="00A17A04"/>
    <w:rsid w:val="00A17BC9"/>
    <w:rsid w:val="00A201B1"/>
    <w:rsid w:val="00A202D8"/>
    <w:rsid w:val="00A2063F"/>
    <w:rsid w:val="00A207DD"/>
    <w:rsid w:val="00A210E3"/>
    <w:rsid w:val="00A21D3F"/>
    <w:rsid w:val="00A221D3"/>
    <w:rsid w:val="00A22542"/>
    <w:rsid w:val="00A22772"/>
    <w:rsid w:val="00A231A9"/>
    <w:rsid w:val="00A23442"/>
    <w:rsid w:val="00A23590"/>
    <w:rsid w:val="00A239A0"/>
    <w:rsid w:val="00A245EE"/>
    <w:rsid w:val="00A2468A"/>
    <w:rsid w:val="00A24A51"/>
    <w:rsid w:val="00A26221"/>
    <w:rsid w:val="00A26916"/>
    <w:rsid w:val="00A26B3B"/>
    <w:rsid w:val="00A26FC9"/>
    <w:rsid w:val="00A27C0A"/>
    <w:rsid w:val="00A27E68"/>
    <w:rsid w:val="00A30343"/>
    <w:rsid w:val="00A3047B"/>
    <w:rsid w:val="00A315FC"/>
    <w:rsid w:val="00A33078"/>
    <w:rsid w:val="00A33219"/>
    <w:rsid w:val="00A3330E"/>
    <w:rsid w:val="00A34DFB"/>
    <w:rsid w:val="00A351AB"/>
    <w:rsid w:val="00A35735"/>
    <w:rsid w:val="00A363FD"/>
    <w:rsid w:val="00A36497"/>
    <w:rsid w:val="00A36719"/>
    <w:rsid w:val="00A368AD"/>
    <w:rsid w:val="00A36B27"/>
    <w:rsid w:val="00A36CB6"/>
    <w:rsid w:val="00A3783A"/>
    <w:rsid w:val="00A37A42"/>
    <w:rsid w:val="00A37E9C"/>
    <w:rsid w:val="00A37F34"/>
    <w:rsid w:val="00A4019B"/>
    <w:rsid w:val="00A407B4"/>
    <w:rsid w:val="00A41241"/>
    <w:rsid w:val="00A41C2E"/>
    <w:rsid w:val="00A42771"/>
    <w:rsid w:val="00A43404"/>
    <w:rsid w:val="00A4453A"/>
    <w:rsid w:val="00A44939"/>
    <w:rsid w:val="00A45196"/>
    <w:rsid w:val="00A45478"/>
    <w:rsid w:val="00A468DC"/>
    <w:rsid w:val="00A4703C"/>
    <w:rsid w:val="00A47BD6"/>
    <w:rsid w:val="00A5056F"/>
    <w:rsid w:val="00A506F5"/>
    <w:rsid w:val="00A51A7D"/>
    <w:rsid w:val="00A52AB3"/>
    <w:rsid w:val="00A52BE5"/>
    <w:rsid w:val="00A533B9"/>
    <w:rsid w:val="00A537ED"/>
    <w:rsid w:val="00A53A29"/>
    <w:rsid w:val="00A53DD1"/>
    <w:rsid w:val="00A54E06"/>
    <w:rsid w:val="00A54FDA"/>
    <w:rsid w:val="00A55154"/>
    <w:rsid w:val="00A55159"/>
    <w:rsid w:val="00A55434"/>
    <w:rsid w:val="00A55515"/>
    <w:rsid w:val="00A5581B"/>
    <w:rsid w:val="00A55CBF"/>
    <w:rsid w:val="00A56343"/>
    <w:rsid w:val="00A5664B"/>
    <w:rsid w:val="00A571EB"/>
    <w:rsid w:val="00A57BB9"/>
    <w:rsid w:val="00A600CB"/>
    <w:rsid w:val="00A602AA"/>
    <w:rsid w:val="00A60C94"/>
    <w:rsid w:val="00A611F4"/>
    <w:rsid w:val="00A61B1B"/>
    <w:rsid w:val="00A61C8B"/>
    <w:rsid w:val="00A626EC"/>
    <w:rsid w:val="00A62D99"/>
    <w:rsid w:val="00A6356A"/>
    <w:rsid w:val="00A644CF"/>
    <w:rsid w:val="00A64A03"/>
    <w:rsid w:val="00A64D28"/>
    <w:rsid w:val="00A659F8"/>
    <w:rsid w:val="00A65A14"/>
    <w:rsid w:val="00A65E11"/>
    <w:rsid w:val="00A66ABC"/>
    <w:rsid w:val="00A670C0"/>
    <w:rsid w:val="00A679D7"/>
    <w:rsid w:val="00A67FF6"/>
    <w:rsid w:val="00A702EC"/>
    <w:rsid w:val="00A70342"/>
    <w:rsid w:val="00A7055E"/>
    <w:rsid w:val="00A715B7"/>
    <w:rsid w:val="00A71D76"/>
    <w:rsid w:val="00A7213B"/>
    <w:rsid w:val="00A7221D"/>
    <w:rsid w:val="00A72713"/>
    <w:rsid w:val="00A727EC"/>
    <w:rsid w:val="00A739CD"/>
    <w:rsid w:val="00A739FA"/>
    <w:rsid w:val="00A73A97"/>
    <w:rsid w:val="00A73C81"/>
    <w:rsid w:val="00A74166"/>
    <w:rsid w:val="00A75180"/>
    <w:rsid w:val="00A757A4"/>
    <w:rsid w:val="00A77927"/>
    <w:rsid w:val="00A77B96"/>
    <w:rsid w:val="00A77D96"/>
    <w:rsid w:val="00A802AA"/>
    <w:rsid w:val="00A80E42"/>
    <w:rsid w:val="00A81955"/>
    <w:rsid w:val="00A81A1C"/>
    <w:rsid w:val="00A81BEE"/>
    <w:rsid w:val="00A83405"/>
    <w:rsid w:val="00A83701"/>
    <w:rsid w:val="00A84063"/>
    <w:rsid w:val="00A84A78"/>
    <w:rsid w:val="00A84D59"/>
    <w:rsid w:val="00A852B9"/>
    <w:rsid w:val="00A8596A"/>
    <w:rsid w:val="00A86253"/>
    <w:rsid w:val="00A87D12"/>
    <w:rsid w:val="00A901F5"/>
    <w:rsid w:val="00A90BE7"/>
    <w:rsid w:val="00A910D1"/>
    <w:rsid w:val="00A91BC9"/>
    <w:rsid w:val="00A9229A"/>
    <w:rsid w:val="00A92EFB"/>
    <w:rsid w:val="00A9332E"/>
    <w:rsid w:val="00A936BA"/>
    <w:rsid w:val="00A94989"/>
    <w:rsid w:val="00A94E6C"/>
    <w:rsid w:val="00A951C5"/>
    <w:rsid w:val="00A95931"/>
    <w:rsid w:val="00A95AF0"/>
    <w:rsid w:val="00A96456"/>
    <w:rsid w:val="00A9692F"/>
    <w:rsid w:val="00A96B2E"/>
    <w:rsid w:val="00AA004D"/>
    <w:rsid w:val="00AA148A"/>
    <w:rsid w:val="00AA21A9"/>
    <w:rsid w:val="00AA2F1C"/>
    <w:rsid w:val="00AA306C"/>
    <w:rsid w:val="00AA3873"/>
    <w:rsid w:val="00AA3B6C"/>
    <w:rsid w:val="00AA3BB1"/>
    <w:rsid w:val="00AA44B7"/>
    <w:rsid w:val="00AA4E2D"/>
    <w:rsid w:val="00AA4F79"/>
    <w:rsid w:val="00AA5109"/>
    <w:rsid w:val="00AA561B"/>
    <w:rsid w:val="00AA5EE3"/>
    <w:rsid w:val="00AA6E1B"/>
    <w:rsid w:val="00AB041E"/>
    <w:rsid w:val="00AB05A3"/>
    <w:rsid w:val="00AB07AD"/>
    <w:rsid w:val="00AB07B9"/>
    <w:rsid w:val="00AB1187"/>
    <w:rsid w:val="00AB170D"/>
    <w:rsid w:val="00AB182F"/>
    <w:rsid w:val="00AB1B1A"/>
    <w:rsid w:val="00AB2647"/>
    <w:rsid w:val="00AB272C"/>
    <w:rsid w:val="00AB32E7"/>
    <w:rsid w:val="00AB39B6"/>
    <w:rsid w:val="00AB3F9E"/>
    <w:rsid w:val="00AB4934"/>
    <w:rsid w:val="00AB496D"/>
    <w:rsid w:val="00AB4E15"/>
    <w:rsid w:val="00AB4E77"/>
    <w:rsid w:val="00AB50A7"/>
    <w:rsid w:val="00AB6000"/>
    <w:rsid w:val="00AB7E4C"/>
    <w:rsid w:val="00AC00FB"/>
    <w:rsid w:val="00AC086A"/>
    <w:rsid w:val="00AC0BAC"/>
    <w:rsid w:val="00AC0EBA"/>
    <w:rsid w:val="00AC161F"/>
    <w:rsid w:val="00AC21E4"/>
    <w:rsid w:val="00AC274A"/>
    <w:rsid w:val="00AC2B53"/>
    <w:rsid w:val="00AC3795"/>
    <w:rsid w:val="00AC4088"/>
    <w:rsid w:val="00AC445C"/>
    <w:rsid w:val="00AC5CBD"/>
    <w:rsid w:val="00AC6489"/>
    <w:rsid w:val="00AC7199"/>
    <w:rsid w:val="00AC7301"/>
    <w:rsid w:val="00AC751A"/>
    <w:rsid w:val="00AC788A"/>
    <w:rsid w:val="00AC79DD"/>
    <w:rsid w:val="00AC7DA0"/>
    <w:rsid w:val="00AD0202"/>
    <w:rsid w:val="00AD1BA6"/>
    <w:rsid w:val="00AD1CE1"/>
    <w:rsid w:val="00AD24FF"/>
    <w:rsid w:val="00AD258F"/>
    <w:rsid w:val="00AD2A13"/>
    <w:rsid w:val="00AD4382"/>
    <w:rsid w:val="00AD53CE"/>
    <w:rsid w:val="00AD59E7"/>
    <w:rsid w:val="00AD5B71"/>
    <w:rsid w:val="00AD65AE"/>
    <w:rsid w:val="00AD675F"/>
    <w:rsid w:val="00AD6A9E"/>
    <w:rsid w:val="00AD6B37"/>
    <w:rsid w:val="00AD7061"/>
    <w:rsid w:val="00AD71CC"/>
    <w:rsid w:val="00AE09A6"/>
    <w:rsid w:val="00AE2BF9"/>
    <w:rsid w:val="00AE33D7"/>
    <w:rsid w:val="00AE3BD5"/>
    <w:rsid w:val="00AE413A"/>
    <w:rsid w:val="00AE428C"/>
    <w:rsid w:val="00AE4312"/>
    <w:rsid w:val="00AE4865"/>
    <w:rsid w:val="00AE4A20"/>
    <w:rsid w:val="00AE56B8"/>
    <w:rsid w:val="00AE58CD"/>
    <w:rsid w:val="00AE6088"/>
    <w:rsid w:val="00AE61B5"/>
    <w:rsid w:val="00AE61C8"/>
    <w:rsid w:val="00AE67E3"/>
    <w:rsid w:val="00AE6B95"/>
    <w:rsid w:val="00AF1859"/>
    <w:rsid w:val="00AF1F91"/>
    <w:rsid w:val="00AF2198"/>
    <w:rsid w:val="00AF22CF"/>
    <w:rsid w:val="00AF2576"/>
    <w:rsid w:val="00AF27D4"/>
    <w:rsid w:val="00AF4671"/>
    <w:rsid w:val="00AF49F4"/>
    <w:rsid w:val="00AF54EE"/>
    <w:rsid w:val="00AF55FF"/>
    <w:rsid w:val="00AF5746"/>
    <w:rsid w:val="00AF6F9E"/>
    <w:rsid w:val="00AF7628"/>
    <w:rsid w:val="00AF7774"/>
    <w:rsid w:val="00AF7F6B"/>
    <w:rsid w:val="00B007D4"/>
    <w:rsid w:val="00B015FF"/>
    <w:rsid w:val="00B02122"/>
    <w:rsid w:val="00B02F4F"/>
    <w:rsid w:val="00B03482"/>
    <w:rsid w:val="00B037D7"/>
    <w:rsid w:val="00B03D18"/>
    <w:rsid w:val="00B0462F"/>
    <w:rsid w:val="00B0524F"/>
    <w:rsid w:val="00B05AF0"/>
    <w:rsid w:val="00B06513"/>
    <w:rsid w:val="00B0680A"/>
    <w:rsid w:val="00B069B7"/>
    <w:rsid w:val="00B06C2F"/>
    <w:rsid w:val="00B07023"/>
    <w:rsid w:val="00B07123"/>
    <w:rsid w:val="00B10497"/>
    <w:rsid w:val="00B107D0"/>
    <w:rsid w:val="00B117B7"/>
    <w:rsid w:val="00B12BDA"/>
    <w:rsid w:val="00B12D2A"/>
    <w:rsid w:val="00B141FA"/>
    <w:rsid w:val="00B1473E"/>
    <w:rsid w:val="00B14A5F"/>
    <w:rsid w:val="00B14EAD"/>
    <w:rsid w:val="00B15EB6"/>
    <w:rsid w:val="00B169FF"/>
    <w:rsid w:val="00B16C71"/>
    <w:rsid w:val="00B20B2D"/>
    <w:rsid w:val="00B20D94"/>
    <w:rsid w:val="00B20EA9"/>
    <w:rsid w:val="00B213F9"/>
    <w:rsid w:val="00B24309"/>
    <w:rsid w:val="00B2467C"/>
    <w:rsid w:val="00B24907"/>
    <w:rsid w:val="00B250D2"/>
    <w:rsid w:val="00B2601B"/>
    <w:rsid w:val="00B27D83"/>
    <w:rsid w:val="00B3032A"/>
    <w:rsid w:val="00B30698"/>
    <w:rsid w:val="00B30B39"/>
    <w:rsid w:val="00B30BE1"/>
    <w:rsid w:val="00B31B82"/>
    <w:rsid w:val="00B32C0E"/>
    <w:rsid w:val="00B32D31"/>
    <w:rsid w:val="00B33015"/>
    <w:rsid w:val="00B33232"/>
    <w:rsid w:val="00B33D1C"/>
    <w:rsid w:val="00B341C6"/>
    <w:rsid w:val="00B34A14"/>
    <w:rsid w:val="00B34E21"/>
    <w:rsid w:val="00B35F91"/>
    <w:rsid w:val="00B36447"/>
    <w:rsid w:val="00B36740"/>
    <w:rsid w:val="00B36A7C"/>
    <w:rsid w:val="00B376BB"/>
    <w:rsid w:val="00B37D90"/>
    <w:rsid w:val="00B402AA"/>
    <w:rsid w:val="00B40DDC"/>
    <w:rsid w:val="00B42DBB"/>
    <w:rsid w:val="00B4414B"/>
    <w:rsid w:val="00B442CE"/>
    <w:rsid w:val="00B446C4"/>
    <w:rsid w:val="00B45742"/>
    <w:rsid w:val="00B45B74"/>
    <w:rsid w:val="00B45C5B"/>
    <w:rsid w:val="00B4659C"/>
    <w:rsid w:val="00B465CF"/>
    <w:rsid w:val="00B466DF"/>
    <w:rsid w:val="00B46800"/>
    <w:rsid w:val="00B468FA"/>
    <w:rsid w:val="00B47C65"/>
    <w:rsid w:val="00B47DD4"/>
    <w:rsid w:val="00B50701"/>
    <w:rsid w:val="00B5150B"/>
    <w:rsid w:val="00B51973"/>
    <w:rsid w:val="00B53796"/>
    <w:rsid w:val="00B53AA9"/>
    <w:rsid w:val="00B54843"/>
    <w:rsid w:val="00B55827"/>
    <w:rsid w:val="00B55F0F"/>
    <w:rsid w:val="00B56067"/>
    <w:rsid w:val="00B567A9"/>
    <w:rsid w:val="00B56945"/>
    <w:rsid w:val="00B56ADA"/>
    <w:rsid w:val="00B57500"/>
    <w:rsid w:val="00B577AE"/>
    <w:rsid w:val="00B57B62"/>
    <w:rsid w:val="00B57F12"/>
    <w:rsid w:val="00B6004D"/>
    <w:rsid w:val="00B60758"/>
    <w:rsid w:val="00B60C7B"/>
    <w:rsid w:val="00B60EEA"/>
    <w:rsid w:val="00B61519"/>
    <w:rsid w:val="00B61D01"/>
    <w:rsid w:val="00B62132"/>
    <w:rsid w:val="00B62418"/>
    <w:rsid w:val="00B63002"/>
    <w:rsid w:val="00B63202"/>
    <w:rsid w:val="00B64988"/>
    <w:rsid w:val="00B64CB1"/>
    <w:rsid w:val="00B64E78"/>
    <w:rsid w:val="00B65524"/>
    <w:rsid w:val="00B65EDC"/>
    <w:rsid w:val="00B66040"/>
    <w:rsid w:val="00B67576"/>
    <w:rsid w:val="00B67C35"/>
    <w:rsid w:val="00B70786"/>
    <w:rsid w:val="00B70BF5"/>
    <w:rsid w:val="00B7241C"/>
    <w:rsid w:val="00B72845"/>
    <w:rsid w:val="00B73133"/>
    <w:rsid w:val="00B732BC"/>
    <w:rsid w:val="00B73403"/>
    <w:rsid w:val="00B734A2"/>
    <w:rsid w:val="00B743C0"/>
    <w:rsid w:val="00B74439"/>
    <w:rsid w:val="00B75271"/>
    <w:rsid w:val="00B76AD6"/>
    <w:rsid w:val="00B76E2E"/>
    <w:rsid w:val="00B76FF1"/>
    <w:rsid w:val="00B77658"/>
    <w:rsid w:val="00B77EAF"/>
    <w:rsid w:val="00B8017D"/>
    <w:rsid w:val="00B8071E"/>
    <w:rsid w:val="00B82634"/>
    <w:rsid w:val="00B8327E"/>
    <w:rsid w:val="00B83CCA"/>
    <w:rsid w:val="00B84230"/>
    <w:rsid w:val="00B84C19"/>
    <w:rsid w:val="00B84CA2"/>
    <w:rsid w:val="00B85EEC"/>
    <w:rsid w:val="00B86A76"/>
    <w:rsid w:val="00B86D49"/>
    <w:rsid w:val="00B879E2"/>
    <w:rsid w:val="00B87D32"/>
    <w:rsid w:val="00B906C9"/>
    <w:rsid w:val="00B90A09"/>
    <w:rsid w:val="00B90E23"/>
    <w:rsid w:val="00B90EC5"/>
    <w:rsid w:val="00B91D6A"/>
    <w:rsid w:val="00B91FCF"/>
    <w:rsid w:val="00B92211"/>
    <w:rsid w:val="00B924D8"/>
    <w:rsid w:val="00B927BD"/>
    <w:rsid w:val="00B92876"/>
    <w:rsid w:val="00B93836"/>
    <w:rsid w:val="00B94562"/>
    <w:rsid w:val="00B94862"/>
    <w:rsid w:val="00B94911"/>
    <w:rsid w:val="00B94C96"/>
    <w:rsid w:val="00B95561"/>
    <w:rsid w:val="00B95BD9"/>
    <w:rsid w:val="00B95E2E"/>
    <w:rsid w:val="00B9643A"/>
    <w:rsid w:val="00B967C5"/>
    <w:rsid w:val="00B96AA1"/>
    <w:rsid w:val="00B977F6"/>
    <w:rsid w:val="00B97F8A"/>
    <w:rsid w:val="00BA04F1"/>
    <w:rsid w:val="00BA05CD"/>
    <w:rsid w:val="00BA2279"/>
    <w:rsid w:val="00BA29FE"/>
    <w:rsid w:val="00BA46AD"/>
    <w:rsid w:val="00BA57C8"/>
    <w:rsid w:val="00BA67FE"/>
    <w:rsid w:val="00BA68AE"/>
    <w:rsid w:val="00BA6B6D"/>
    <w:rsid w:val="00BA7118"/>
    <w:rsid w:val="00BA71BA"/>
    <w:rsid w:val="00BA7CAD"/>
    <w:rsid w:val="00BB12E4"/>
    <w:rsid w:val="00BB144F"/>
    <w:rsid w:val="00BB1A1C"/>
    <w:rsid w:val="00BB232D"/>
    <w:rsid w:val="00BB2A58"/>
    <w:rsid w:val="00BB2D42"/>
    <w:rsid w:val="00BB2D71"/>
    <w:rsid w:val="00BB35D4"/>
    <w:rsid w:val="00BB37C7"/>
    <w:rsid w:val="00BB446F"/>
    <w:rsid w:val="00BB5449"/>
    <w:rsid w:val="00BB55E1"/>
    <w:rsid w:val="00BB669A"/>
    <w:rsid w:val="00BB7BFC"/>
    <w:rsid w:val="00BB7C81"/>
    <w:rsid w:val="00BB7F26"/>
    <w:rsid w:val="00BC0673"/>
    <w:rsid w:val="00BC07B3"/>
    <w:rsid w:val="00BC09CD"/>
    <w:rsid w:val="00BC0B9F"/>
    <w:rsid w:val="00BC141A"/>
    <w:rsid w:val="00BC23DD"/>
    <w:rsid w:val="00BC2B99"/>
    <w:rsid w:val="00BC30E3"/>
    <w:rsid w:val="00BC31A7"/>
    <w:rsid w:val="00BC34F8"/>
    <w:rsid w:val="00BC3B79"/>
    <w:rsid w:val="00BC3F92"/>
    <w:rsid w:val="00BC3FC3"/>
    <w:rsid w:val="00BC4BA9"/>
    <w:rsid w:val="00BC4C3D"/>
    <w:rsid w:val="00BC4D37"/>
    <w:rsid w:val="00BC51E7"/>
    <w:rsid w:val="00BC5261"/>
    <w:rsid w:val="00BC5263"/>
    <w:rsid w:val="00BC5D0C"/>
    <w:rsid w:val="00BC746B"/>
    <w:rsid w:val="00BC7C19"/>
    <w:rsid w:val="00BC7E93"/>
    <w:rsid w:val="00BD01A6"/>
    <w:rsid w:val="00BD0E67"/>
    <w:rsid w:val="00BD1762"/>
    <w:rsid w:val="00BD1BCE"/>
    <w:rsid w:val="00BD2102"/>
    <w:rsid w:val="00BD2EFF"/>
    <w:rsid w:val="00BD3475"/>
    <w:rsid w:val="00BD3850"/>
    <w:rsid w:val="00BD4C18"/>
    <w:rsid w:val="00BD4DC4"/>
    <w:rsid w:val="00BD5E43"/>
    <w:rsid w:val="00BD5EE3"/>
    <w:rsid w:val="00BD6878"/>
    <w:rsid w:val="00BD68F5"/>
    <w:rsid w:val="00BD6C43"/>
    <w:rsid w:val="00BD6E50"/>
    <w:rsid w:val="00BD7B42"/>
    <w:rsid w:val="00BD7D41"/>
    <w:rsid w:val="00BD7E39"/>
    <w:rsid w:val="00BE2D18"/>
    <w:rsid w:val="00BE3825"/>
    <w:rsid w:val="00BE3C08"/>
    <w:rsid w:val="00BE3F02"/>
    <w:rsid w:val="00BE4054"/>
    <w:rsid w:val="00BE42B0"/>
    <w:rsid w:val="00BE4335"/>
    <w:rsid w:val="00BE4E8A"/>
    <w:rsid w:val="00BE5CD2"/>
    <w:rsid w:val="00BE60DE"/>
    <w:rsid w:val="00BE6362"/>
    <w:rsid w:val="00BF1633"/>
    <w:rsid w:val="00BF2DA9"/>
    <w:rsid w:val="00BF34AB"/>
    <w:rsid w:val="00BF3921"/>
    <w:rsid w:val="00BF3B81"/>
    <w:rsid w:val="00BF3BAD"/>
    <w:rsid w:val="00BF3F83"/>
    <w:rsid w:val="00BF4A0B"/>
    <w:rsid w:val="00BF4F32"/>
    <w:rsid w:val="00BF5616"/>
    <w:rsid w:val="00BF5FF0"/>
    <w:rsid w:val="00BF60A3"/>
    <w:rsid w:val="00BF63E1"/>
    <w:rsid w:val="00BF67F8"/>
    <w:rsid w:val="00BF6E23"/>
    <w:rsid w:val="00BF77C9"/>
    <w:rsid w:val="00BF7E12"/>
    <w:rsid w:val="00C00453"/>
    <w:rsid w:val="00C00DE2"/>
    <w:rsid w:val="00C01343"/>
    <w:rsid w:val="00C015D5"/>
    <w:rsid w:val="00C01726"/>
    <w:rsid w:val="00C01B02"/>
    <w:rsid w:val="00C0286A"/>
    <w:rsid w:val="00C02A34"/>
    <w:rsid w:val="00C03824"/>
    <w:rsid w:val="00C04174"/>
    <w:rsid w:val="00C043E8"/>
    <w:rsid w:val="00C04DC9"/>
    <w:rsid w:val="00C0510A"/>
    <w:rsid w:val="00C05710"/>
    <w:rsid w:val="00C067AB"/>
    <w:rsid w:val="00C06A12"/>
    <w:rsid w:val="00C10575"/>
    <w:rsid w:val="00C10B38"/>
    <w:rsid w:val="00C10B66"/>
    <w:rsid w:val="00C10D10"/>
    <w:rsid w:val="00C10F68"/>
    <w:rsid w:val="00C1157C"/>
    <w:rsid w:val="00C1179B"/>
    <w:rsid w:val="00C12829"/>
    <w:rsid w:val="00C139EB"/>
    <w:rsid w:val="00C1405E"/>
    <w:rsid w:val="00C142A3"/>
    <w:rsid w:val="00C14DE5"/>
    <w:rsid w:val="00C1580A"/>
    <w:rsid w:val="00C165E1"/>
    <w:rsid w:val="00C16CB9"/>
    <w:rsid w:val="00C177CC"/>
    <w:rsid w:val="00C20281"/>
    <w:rsid w:val="00C213A5"/>
    <w:rsid w:val="00C216C9"/>
    <w:rsid w:val="00C21B44"/>
    <w:rsid w:val="00C2222D"/>
    <w:rsid w:val="00C22845"/>
    <w:rsid w:val="00C23D65"/>
    <w:rsid w:val="00C250BD"/>
    <w:rsid w:val="00C25E11"/>
    <w:rsid w:val="00C262DE"/>
    <w:rsid w:val="00C26854"/>
    <w:rsid w:val="00C26DAF"/>
    <w:rsid w:val="00C270AA"/>
    <w:rsid w:val="00C27797"/>
    <w:rsid w:val="00C279A9"/>
    <w:rsid w:val="00C27B46"/>
    <w:rsid w:val="00C27D71"/>
    <w:rsid w:val="00C302DD"/>
    <w:rsid w:val="00C30366"/>
    <w:rsid w:val="00C30987"/>
    <w:rsid w:val="00C30A8D"/>
    <w:rsid w:val="00C32DC1"/>
    <w:rsid w:val="00C3301C"/>
    <w:rsid w:val="00C33605"/>
    <w:rsid w:val="00C337BB"/>
    <w:rsid w:val="00C3414D"/>
    <w:rsid w:val="00C3471F"/>
    <w:rsid w:val="00C35E71"/>
    <w:rsid w:val="00C36D52"/>
    <w:rsid w:val="00C36EBC"/>
    <w:rsid w:val="00C37950"/>
    <w:rsid w:val="00C379B2"/>
    <w:rsid w:val="00C379FF"/>
    <w:rsid w:val="00C37B70"/>
    <w:rsid w:val="00C4055F"/>
    <w:rsid w:val="00C40D24"/>
    <w:rsid w:val="00C41183"/>
    <w:rsid w:val="00C4146C"/>
    <w:rsid w:val="00C414EF"/>
    <w:rsid w:val="00C41B0A"/>
    <w:rsid w:val="00C41CA7"/>
    <w:rsid w:val="00C42D0C"/>
    <w:rsid w:val="00C430B8"/>
    <w:rsid w:val="00C430C2"/>
    <w:rsid w:val="00C43409"/>
    <w:rsid w:val="00C43590"/>
    <w:rsid w:val="00C43C7C"/>
    <w:rsid w:val="00C440C0"/>
    <w:rsid w:val="00C44152"/>
    <w:rsid w:val="00C4455F"/>
    <w:rsid w:val="00C4499F"/>
    <w:rsid w:val="00C466FD"/>
    <w:rsid w:val="00C46990"/>
    <w:rsid w:val="00C46C29"/>
    <w:rsid w:val="00C47089"/>
    <w:rsid w:val="00C47303"/>
    <w:rsid w:val="00C473BF"/>
    <w:rsid w:val="00C47545"/>
    <w:rsid w:val="00C4795A"/>
    <w:rsid w:val="00C47C2B"/>
    <w:rsid w:val="00C503A2"/>
    <w:rsid w:val="00C507F4"/>
    <w:rsid w:val="00C50BEF"/>
    <w:rsid w:val="00C50DD6"/>
    <w:rsid w:val="00C50F5C"/>
    <w:rsid w:val="00C51592"/>
    <w:rsid w:val="00C51BD7"/>
    <w:rsid w:val="00C51E23"/>
    <w:rsid w:val="00C51EF5"/>
    <w:rsid w:val="00C52155"/>
    <w:rsid w:val="00C5290E"/>
    <w:rsid w:val="00C52C8A"/>
    <w:rsid w:val="00C5370A"/>
    <w:rsid w:val="00C53860"/>
    <w:rsid w:val="00C53AF5"/>
    <w:rsid w:val="00C54350"/>
    <w:rsid w:val="00C544DC"/>
    <w:rsid w:val="00C548D5"/>
    <w:rsid w:val="00C55506"/>
    <w:rsid w:val="00C55C38"/>
    <w:rsid w:val="00C56072"/>
    <w:rsid w:val="00C5657A"/>
    <w:rsid w:val="00C56C62"/>
    <w:rsid w:val="00C5701F"/>
    <w:rsid w:val="00C57763"/>
    <w:rsid w:val="00C57CE6"/>
    <w:rsid w:val="00C6026A"/>
    <w:rsid w:val="00C60374"/>
    <w:rsid w:val="00C607C5"/>
    <w:rsid w:val="00C6080B"/>
    <w:rsid w:val="00C6111C"/>
    <w:rsid w:val="00C61737"/>
    <w:rsid w:val="00C618BE"/>
    <w:rsid w:val="00C61D96"/>
    <w:rsid w:val="00C6200C"/>
    <w:rsid w:val="00C6215F"/>
    <w:rsid w:val="00C634ED"/>
    <w:rsid w:val="00C6379F"/>
    <w:rsid w:val="00C6469D"/>
    <w:rsid w:val="00C64A56"/>
    <w:rsid w:val="00C64D82"/>
    <w:rsid w:val="00C65185"/>
    <w:rsid w:val="00C65187"/>
    <w:rsid w:val="00C656C1"/>
    <w:rsid w:val="00C65A61"/>
    <w:rsid w:val="00C65FA8"/>
    <w:rsid w:val="00C667A9"/>
    <w:rsid w:val="00C67441"/>
    <w:rsid w:val="00C6751B"/>
    <w:rsid w:val="00C67745"/>
    <w:rsid w:val="00C677E8"/>
    <w:rsid w:val="00C706F2"/>
    <w:rsid w:val="00C71099"/>
    <w:rsid w:val="00C7114C"/>
    <w:rsid w:val="00C7178E"/>
    <w:rsid w:val="00C7198D"/>
    <w:rsid w:val="00C72926"/>
    <w:rsid w:val="00C73368"/>
    <w:rsid w:val="00C73EBE"/>
    <w:rsid w:val="00C74464"/>
    <w:rsid w:val="00C74C44"/>
    <w:rsid w:val="00C74D0C"/>
    <w:rsid w:val="00C75EA4"/>
    <w:rsid w:val="00C768F2"/>
    <w:rsid w:val="00C76EF0"/>
    <w:rsid w:val="00C77031"/>
    <w:rsid w:val="00C7756A"/>
    <w:rsid w:val="00C779F0"/>
    <w:rsid w:val="00C8024B"/>
    <w:rsid w:val="00C809F4"/>
    <w:rsid w:val="00C80AF5"/>
    <w:rsid w:val="00C8202D"/>
    <w:rsid w:val="00C82979"/>
    <w:rsid w:val="00C830D1"/>
    <w:rsid w:val="00C8347B"/>
    <w:rsid w:val="00C837EE"/>
    <w:rsid w:val="00C85B22"/>
    <w:rsid w:val="00C868E2"/>
    <w:rsid w:val="00C8692C"/>
    <w:rsid w:val="00C86F42"/>
    <w:rsid w:val="00C8774F"/>
    <w:rsid w:val="00C87AC7"/>
    <w:rsid w:val="00C87C44"/>
    <w:rsid w:val="00C90166"/>
    <w:rsid w:val="00C90B81"/>
    <w:rsid w:val="00C90E6C"/>
    <w:rsid w:val="00C90FAF"/>
    <w:rsid w:val="00C9123E"/>
    <w:rsid w:val="00C91906"/>
    <w:rsid w:val="00C91BF8"/>
    <w:rsid w:val="00C91CFB"/>
    <w:rsid w:val="00C91F8E"/>
    <w:rsid w:val="00C92419"/>
    <w:rsid w:val="00C92BD8"/>
    <w:rsid w:val="00C931E4"/>
    <w:rsid w:val="00C932DA"/>
    <w:rsid w:val="00C93384"/>
    <w:rsid w:val="00C944EA"/>
    <w:rsid w:val="00C953FB"/>
    <w:rsid w:val="00C955DE"/>
    <w:rsid w:val="00C95F76"/>
    <w:rsid w:val="00C9617E"/>
    <w:rsid w:val="00C96922"/>
    <w:rsid w:val="00C96CF1"/>
    <w:rsid w:val="00C96ECD"/>
    <w:rsid w:val="00C97C93"/>
    <w:rsid w:val="00CA0306"/>
    <w:rsid w:val="00CA06AB"/>
    <w:rsid w:val="00CA1A5B"/>
    <w:rsid w:val="00CA3315"/>
    <w:rsid w:val="00CA373A"/>
    <w:rsid w:val="00CA39C2"/>
    <w:rsid w:val="00CA3A59"/>
    <w:rsid w:val="00CA3CC2"/>
    <w:rsid w:val="00CA40C7"/>
    <w:rsid w:val="00CA4795"/>
    <w:rsid w:val="00CA59F3"/>
    <w:rsid w:val="00CA5A77"/>
    <w:rsid w:val="00CA6A99"/>
    <w:rsid w:val="00CA7E43"/>
    <w:rsid w:val="00CB0428"/>
    <w:rsid w:val="00CB0604"/>
    <w:rsid w:val="00CB0925"/>
    <w:rsid w:val="00CB17D9"/>
    <w:rsid w:val="00CB1819"/>
    <w:rsid w:val="00CB2909"/>
    <w:rsid w:val="00CB3945"/>
    <w:rsid w:val="00CB3EA2"/>
    <w:rsid w:val="00CB3FD0"/>
    <w:rsid w:val="00CB4E0D"/>
    <w:rsid w:val="00CB5136"/>
    <w:rsid w:val="00CB532E"/>
    <w:rsid w:val="00CB58B2"/>
    <w:rsid w:val="00CB5DDB"/>
    <w:rsid w:val="00CB5E05"/>
    <w:rsid w:val="00CB6B1B"/>
    <w:rsid w:val="00CB7AC4"/>
    <w:rsid w:val="00CB7AFE"/>
    <w:rsid w:val="00CB7FA2"/>
    <w:rsid w:val="00CC02C8"/>
    <w:rsid w:val="00CC10A5"/>
    <w:rsid w:val="00CC18EE"/>
    <w:rsid w:val="00CC2488"/>
    <w:rsid w:val="00CC2C9E"/>
    <w:rsid w:val="00CC3040"/>
    <w:rsid w:val="00CC3120"/>
    <w:rsid w:val="00CC36B6"/>
    <w:rsid w:val="00CC3A21"/>
    <w:rsid w:val="00CC431E"/>
    <w:rsid w:val="00CC481E"/>
    <w:rsid w:val="00CC48BE"/>
    <w:rsid w:val="00CC49FB"/>
    <w:rsid w:val="00CC4F24"/>
    <w:rsid w:val="00CC553B"/>
    <w:rsid w:val="00CC5732"/>
    <w:rsid w:val="00CC6F34"/>
    <w:rsid w:val="00CC72C3"/>
    <w:rsid w:val="00CC7630"/>
    <w:rsid w:val="00CC785E"/>
    <w:rsid w:val="00CC7FF0"/>
    <w:rsid w:val="00CD0130"/>
    <w:rsid w:val="00CD09D3"/>
    <w:rsid w:val="00CD105F"/>
    <w:rsid w:val="00CD2029"/>
    <w:rsid w:val="00CD2ACE"/>
    <w:rsid w:val="00CD2D7C"/>
    <w:rsid w:val="00CD3A8A"/>
    <w:rsid w:val="00CD52B4"/>
    <w:rsid w:val="00CD5308"/>
    <w:rsid w:val="00CD5993"/>
    <w:rsid w:val="00CD5AF3"/>
    <w:rsid w:val="00CD6911"/>
    <w:rsid w:val="00CD6E1D"/>
    <w:rsid w:val="00CD7962"/>
    <w:rsid w:val="00CD7A68"/>
    <w:rsid w:val="00CD7F98"/>
    <w:rsid w:val="00CE02D4"/>
    <w:rsid w:val="00CE074E"/>
    <w:rsid w:val="00CE0B19"/>
    <w:rsid w:val="00CE12BA"/>
    <w:rsid w:val="00CE19CE"/>
    <w:rsid w:val="00CE1A70"/>
    <w:rsid w:val="00CE1CCD"/>
    <w:rsid w:val="00CE2432"/>
    <w:rsid w:val="00CE25EE"/>
    <w:rsid w:val="00CE395A"/>
    <w:rsid w:val="00CE3B91"/>
    <w:rsid w:val="00CE3F2C"/>
    <w:rsid w:val="00CE5204"/>
    <w:rsid w:val="00CE537D"/>
    <w:rsid w:val="00CE5AC7"/>
    <w:rsid w:val="00CE6940"/>
    <w:rsid w:val="00CE695D"/>
    <w:rsid w:val="00CE7A29"/>
    <w:rsid w:val="00CF0EBB"/>
    <w:rsid w:val="00CF1F04"/>
    <w:rsid w:val="00CF24FC"/>
    <w:rsid w:val="00CF263E"/>
    <w:rsid w:val="00CF2B4F"/>
    <w:rsid w:val="00CF2E99"/>
    <w:rsid w:val="00CF2F83"/>
    <w:rsid w:val="00CF3446"/>
    <w:rsid w:val="00CF35E2"/>
    <w:rsid w:val="00CF3820"/>
    <w:rsid w:val="00CF3C49"/>
    <w:rsid w:val="00CF4004"/>
    <w:rsid w:val="00CF4405"/>
    <w:rsid w:val="00CF52CB"/>
    <w:rsid w:val="00CF58A4"/>
    <w:rsid w:val="00CF5FA7"/>
    <w:rsid w:val="00CF61C5"/>
    <w:rsid w:val="00CF663C"/>
    <w:rsid w:val="00D01414"/>
    <w:rsid w:val="00D018AA"/>
    <w:rsid w:val="00D01AD8"/>
    <w:rsid w:val="00D0237C"/>
    <w:rsid w:val="00D024CF"/>
    <w:rsid w:val="00D025C4"/>
    <w:rsid w:val="00D02A43"/>
    <w:rsid w:val="00D02D0D"/>
    <w:rsid w:val="00D0302A"/>
    <w:rsid w:val="00D03847"/>
    <w:rsid w:val="00D03E20"/>
    <w:rsid w:val="00D04BB1"/>
    <w:rsid w:val="00D063C6"/>
    <w:rsid w:val="00D06D52"/>
    <w:rsid w:val="00D10053"/>
    <w:rsid w:val="00D10737"/>
    <w:rsid w:val="00D12283"/>
    <w:rsid w:val="00D123BA"/>
    <w:rsid w:val="00D123E9"/>
    <w:rsid w:val="00D125ED"/>
    <w:rsid w:val="00D12B60"/>
    <w:rsid w:val="00D12F0E"/>
    <w:rsid w:val="00D130F7"/>
    <w:rsid w:val="00D14158"/>
    <w:rsid w:val="00D14EC2"/>
    <w:rsid w:val="00D168E0"/>
    <w:rsid w:val="00D16F23"/>
    <w:rsid w:val="00D171CB"/>
    <w:rsid w:val="00D1744F"/>
    <w:rsid w:val="00D17B17"/>
    <w:rsid w:val="00D17D5A"/>
    <w:rsid w:val="00D203C1"/>
    <w:rsid w:val="00D209D0"/>
    <w:rsid w:val="00D20DDD"/>
    <w:rsid w:val="00D21D6A"/>
    <w:rsid w:val="00D221FC"/>
    <w:rsid w:val="00D223FA"/>
    <w:rsid w:val="00D22BD6"/>
    <w:rsid w:val="00D2420E"/>
    <w:rsid w:val="00D24718"/>
    <w:rsid w:val="00D24792"/>
    <w:rsid w:val="00D24945"/>
    <w:rsid w:val="00D2591B"/>
    <w:rsid w:val="00D26185"/>
    <w:rsid w:val="00D26D5F"/>
    <w:rsid w:val="00D27E87"/>
    <w:rsid w:val="00D3090C"/>
    <w:rsid w:val="00D30F8E"/>
    <w:rsid w:val="00D31765"/>
    <w:rsid w:val="00D319F2"/>
    <w:rsid w:val="00D31CE1"/>
    <w:rsid w:val="00D324D6"/>
    <w:rsid w:val="00D3360F"/>
    <w:rsid w:val="00D33685"/>
    <w:rsid w:val="00D3417F"/>
    <w:rsid w:val="00D34C1A"/>
    <w:rsid w:val="00D35546"/>
    <w:rsid w:val="00D35CA0"/>
    <w:rsid w:val="00D35CE3"/>
    <w:rsid w:val="00D35E94"/>
    <w:rsid w:val="00D36C0D"/>
    <w:rsid w:val="00D36CF4"/>
    <w:rsid w:val="00D3781C"/>
    <w:rsid w:val="00D40424"/>
    <w:rsid w:val="00D41CEA"/>
    <w:rsid w:val="00D42316"/>
    <w:rsid w:val="00D423E0"/>
    <w:rsid w:val="00D42424"/>
    <w:rsid w:val="00D42849"/>
    <w:rsid w:val="00D42875"/>
    <w:rsid w:val="00D42A5A"/>
    <w:rsid w:val="00D42B97"/>
    <w:rsid w:val="00D42C24"/>
    <w:rsid w:val="00D43CD7"/>
    <w:rsid w:val="00D44002"/>
    <w:rsid w:val="00D44967"/>
    <w:rsid w:val="00D45BF7"/>
    <w:rsid w:val="00D45EBF"/>
    <w:rsid w:val="00D46651"/>
    <w:rsid w:val="00D50883"/>
    <w:rsid w:val="00D5130D"/>
    <w:rsid w:val="00D52275"/>
    <w:rsid w:val="00D52B7D"/>
    <w:rsid w:val="00D5300C"/>
    <w:rsid w:val="00D535C4"/>
    <w:rsid w:val="00D55A13"/>
    <w:rsid w:val="00D55BF7"/>
    <w:rsid w:val="00D56843"/>
    <w:rsid w:val="00D5718C"/>
    <w:rsid w:val="00D602BB"/>
    <w:rsid w:val="00D605F5"/>
    <w:rsid w:val="00D60DEA"/>
    <w:rsid w:val="00D6121B"/>
    <w:rsid w:val="00D619D9"/>
    <w:rsid w:val="00D62495"/>
    <w:rsid w:val="00D62DFA"/>
    <w:rsid w:val="00D63A3A"/>
    <w:rsid w:val="00D63CCE"/>
    <w:rsid w:val="00D63F79"/>
    <w:rsid w:val="00D640B2"/>
    <w:rsid w:val="00D64457"/>
    <w:rsid w:val="00D64CAA"/>
    <w:rsid w:val="00D65DA2"/>
    <w:rsid w:val="00D673B6"/>
    <w:rsid w:val="00D677CD"/>
    <w:rsid w:val="00D67DA2"/>
    <w:rsid w:val="00D7079F"/>
    <w:rsid w:val="00D71569"/>
    <w:rsid w:val="00D7156E"/>
    <w:rsid w:val="00D71591"/>
    <w:rsid w:val="00D716A3"/>
    <w:rsid w:val="00D71913"/>
    <w:rsid w:val="00D71B32"/>
    <w:rsid w:val="00D72B28"/>
    <w:rsid w:val="00D72FE9"/>
    <w:rsid w:val="00D732AF"/>
    <w:rsid w:val="00D73570"/>
    <w:rsid w:val="00D73E02"/>
    <w:rsid w:val="00D745B9"/>
    <w:rsid w:val="00D7476C"/>
    <w:rsid w:val="00D7572F"/>
    <w:rsid w:val="00D7612E"/>
    <w:rsid w:val="00D7640E"/>
    <w:rsid w:val="00D76A75"/>
    <w:rsid w:val="00D76FE6"/>
    <w:rsid w:val="00D77E5D"/>
    <w:rsid w:val="00D80221"/>
    <w:rsid w:val="00D8027C"/>
    <w:rsid w:val="00D80382"/>
    <w:rsid w:val="00D80525"/>
    <w:rsid w:val="00D80A4D"/>
    <w:rsid w:val="00D80C76"/>
    <w:rsid w:val="00D812C3"/>
    <w:rsid w:val="00D8131F"/>
    <w:rsid w:val="00D81B5F"/>
    <w:rsid w:val="00D829BC"/>
    <w:rsid w:val="00D82BC5"/>
    <w:rsid w:val="00D82C6B"/>
    <w:rsid w:val="00D82D70"/>
    <w:rsid w:val="00D839CD"/>
    <w:rsid w:val="00D83CEB"/>
    <w:rsid w:val="00D83E67"/>
    <w:rsid w:val="00D84E24"/>
    <w:rsid w:val="00D85458"/>
    <w:rsid w:val="00D854B0"/>
    <w:rsid w:val="00D854DA"/>
    <w:rsid w:val="00D8578B"/>
    <w:rsid w:val="00D865CC"/>
    <w:rsid w:val="00D86FD5"/>
    <w:rsid w:val="00D870FC"/>
    <w:rsid w:val="00D8793B"/>
    <w:rsid w:val="00D87F3D"/>
    <w:rsid w:val="00D91311"/>
    <w:rsid w:val="00D91969"/>
    <w:rsid w:val="00D919B0"/>
    <w:rsid w:val="00D91B68"/>
    <w:rsid w:val="00D91D61"/>
    <w:rsid w:val="00D92FA6"/>
    <w:rsid w:val="00D9338E"/>
    <w:rsid w:val="00D94374"/>
    <w:rsid w:val="00D9523F"/>
    <w:rsid w:val="00D96114"/>
    <w:rsid w:val="00D96246"/>
    <w:rsid w:val="00D96411"/>
    <w:rsid w:val="00D96975"/>
    <w:rsid w:val="00D97080"/>
    <w:rsid w:val="00D97626"/>
    <w:rsid w:val="00DA02BA"/>
    <w:rsid w:val="00DA094A"/>
    <w:rsid w:val="00DA0D0B"/>
    <w:rsid w:val="00DA0D33"/>
    <w:rsid w:val="00DA18E7"/>
    <w:rsid w:val="00DA2066"/>
    <w:rsid w:val="00DA2E82"/>
    <w:rsid w:val="00DA33F7"/>
    <w:rsid w:val="00DA5319"/>
    <w:rsid w:val="00DA5559"/>
    <w:rsid w:val="00DA5CF8"/>
    <w:rsid w:val="00DA6022"/>
    <w:rsid w:val="00DA6655"/>
    <w:rsid w:val="00DA6D64"/>
    <w:rsid w:val="00DA6EEF"/>
    <w:rsid w:val="00DB0219"/>
    <w:rsid w:val="00DB04FE"/>
    <w:rsid w:val="00DB0CF0"/>
    <w:rsid w:val="00DB0F68"/>
    <w:rsid w:val="00DB108D"/>
    <w:rsid w:val="00DB1F18"/>
    <w:rsid w:val="00DB2C63"/>
    <w:rsid w:val="00DB38E0"/>
    <w:rsid w:val="00DB41E3"/>
    <w:rsid w:val="00DB56B5"/>
    <w:rsid w:val="00DB71F4"/>
    <w:rsid w:val="00DB756B"/>
    <w:rsid w:val="00DB783E"/>
    <w:rsid w:val="00DC0326"/>
    <w:rsid w:val="00DC0E75"/>
    <w:rsid w:val="00DC1017"/>
    <w:rsid w:val="00DC27CC"/>
    <w:rsid w:val="00DC29CF"/>
    <w:rsid w:val="00DC327B"/>
    <w:rsid w:val="00DC35FD"/>
    <w:rsid w:val="00DC3798"/>
    <w:rsid w:val="00DC3A1B"/>
    <w:rsid w:val="00DC4617"/>
    <w:rsid w:val="00DC461B"/>
    <w:rsid w:val="00DC5164"/>
    <w:rsid w:val="00DC5EE0"/>
    <w:rsid w:val="00DC66DB"/>
    <w:rsid w:val="00DC73A8"/>
    <w:rsid w:val="00DC7520"/>
    <w:rsid w:val="00DC7A4E"/>
    <w:rsid w:val="00DC7A6B"/>
    <w:rsid w:val="00DC7A8E"/>
    <w:rsid w:val="00DC7E88"/>
    <w:rsid w:val="00DC7F4B"/>
    <w:rsid w:val="00DC7FA4"/>
    <w:rsid w:val="00DD1019"/>
    <w:rsid w:val="00DD15BE"/>
    <w:rsid w:val="00DD1ABB"/>
    <w:rsid w:val="00DD1E9D"/>
    <w:rsid w:val="00DD28D7"/>
    <w:rsid w:val="00DD29A9"/>
    <w:rsid w:val="00DD2B78"/>
    <w:rsid w:val="00DD2CBF"/>
    <w:rsid w:val="00DD2E94"/>
    <w:rsid w:val="00DD3262"/>
    <w:rsid w:val="00DD4AA6"/>
    <w:rsid w:val="00DD5017"/>
    <w:rsid w:val="00DD50F2"/>
    <w:rsid w:val="00DD54AE"/>
    <w:rsid w:val="00DD707D"/>
    <w:rsid w:val="00DD7175"/>
    <w:rsid w:val="00DD7EB5"/>
    <w:rsid w:val="00DE07F6"/>
    <w:rsid w:val="00DE1713"/>
    <w:rsid w:val="00DE219E"/>
    <w:rsid w:val="00DE2605"/>
    <w:rsid w:val="00DE36EC"/>
    <w:rsid w:val="00DE37DA"/>
    <w:rsid w:val="00DE39A0"/>
    <w:rsid w:val="00DE3D5C"/>
    <w:rsid w:val="00DE4060"/>
    <w:rsid w:val="00DE4E23"/>
    <w:rsid w:val="00DE6019"/>
    <w:rsid w:val="00DE6146"/>
    <w:rsid w:val="00DE65EB"/>
    <w:rsid w:val="00DE71C3"/>
    <w:rsid w:val="00DE79E3"/>
    <w:rsid w:val="00DE7F2E"/>
    <w:rsid w:val="00DF03A1"/>
    <w:rsid w:val="00DF042C"/>
    <w:rsid w:val="00DF0F8A"/>
    <w:rsid w:val="00DF1421"/>
    <w:rsid w:val="00DF17B4"/>
    <w:rsid w:val="00DF1807"/>
    <w:rsid w:val="00DF2E7E"/>
    <w:rsid w:val="00DF6C6A"/>
    <w:rsid w:val="00DF7273"/>
    <w:rsid w:val="00DF7AF8"/>
    <w:rsid w:val="00DF7C4B"/>
    <w:rsid w:val="00E003B5"/>
    <w:rsid w:val="00E003EF"/>
    <w:rsid w:val="00E0153A"/>
    <w:rsid w:val="00E016ED"/>
    <w:rsid w:val="00E01953"/>
    <w:rsid w:val="00E025BA"/>
    <w:rsid w:val="00E02F9A"/>
    <w:rsid w:val="00E03188"/>
    <w:rsid w:val="00E0465B"/>
    <w:rsid w:val="00E0526D"/>
    <w:rsid w:val="00E05555"/>
    <w:rsid w:val="00E05741"/>
    <w:rsid w:val="00E062E3"/>
    <w:rsid w:val="00E069C7"/>
    <w:rsid w:val="00E06C37"/>
    <w:rsid w:val="00E06E67"/>
    <w:rsid w:val="00E06F3C"/>
    <w:rsid w:val="00E0798F"/>
    <w:rsid w:val="00E07A0C"/>
    <w:rsid w:val="00E07D74"/>
    <w:rsid w:val="00E07EF9"/>
    <w:rsid w:val="00E1050F"/>
    <w:rsid w:val="00E10CB7"/>
    <w:rsid w:val="00E112E6"/>
    <w:rsid w:val="00E1149E"/>
    <w:rsid w:val="00E126FC"/>
    <w:rsid w:val="00E139ED"/>
    <w:rsid w:val="00E13CF0"/>
    <w:rsid w:val="00E13FA3"/>
    <w:rsid w:val="00E14466"/>
    <w:rsid w:val="00E148E5"/>
    <w:rsid w:val="00E14957"/>
    <w:rsid w:val="00E14E7A"/>
    <w:rsid w:val="00E160CB"/>
    <w:rsid w:val="00E168B5"/>
    <w:rsid w:val="00E1690E"/>
    <w:rsid w:val="00E169E2"/>
    <w:rsid w:val="00E16D59"/>
    <w:rsid w:val="00E175EC"/>
    <w:rsid w:val="00E178A4"/>
    <w:rsid w:val="00E1795C"/>
    <w:rsid w:val="00E20ADC"/>
    <w:rsid w:val="00E20D50"/>
    <w:rsid w:val="00E2139D"/>
    <w:rsid w:val="00E22C8A"/>
    <w:rsid w:val="00E2337F"/>
    <w:rsid w:val="00E23650"/>
    <w:rsid w:val="00E23835"/>
    <w:rsid w:val="00E239C4"/>
    <w:rsid w:val="00E239EF"/>
    <w:rsid w:val="00E23A2A"/>
    <w:rsid w:val="00E23E5D"/>
    <w:rsid w:val="00E23F86"/>
    <w:rsid w:val="00E24704"/>
    <w:rsid w:val="00E24EAE"/>
    <w:rsid w:val="00E250B0"/>
    <w:rsid w:val="00E25251"/>
    <w:rsid w:val="00E25669"/>
    <w:rsid w:val="00E2688D"/>
    <w:rsid w:val="00E27993"/>
    <w:rsid w:val="00E279FE"/>
    <w:rsid w:val="00E27A0B"/>
    <w:rsid w:val="00E27C63"/>
    <w:rsid w:val="00E3028A"/>
    <w:rsid w:val="00E312A7"/>
    <w:rsid w:val="00E315E9"/>
    <w:rsid w:val="00E316E4"/>
    <w:rsid w:val="00E317F6"/>
    <w:rsid w:val="00E31910"/>
    <w:rsid w:val="00E32028"/>
    <w:rsid w:val="00E33403"/>
    <w:rsid w:val="00E341B6"/>
    <w:rsid w:val="00E34640"/>
    <w:rsid w:val="00E34F5F"/>
    <w:rsid w:val="00E3512E"/>
    <w:rsid w:val="00E35DE3"/>
    <w:rsid w:val="00E361C9"/>
    <w:rsid w:val="00E36464"/>
    <w:rsid w:val="00E367CD"/>
    <w:rsid w:val="00E36C40"/>
    <w:rsid w:val="00E37BC9"/>
    <w:rsid w:val="00E37D5B"/>
    <w:rsid w:val="00E40698"/>
    <w:rsid w:val="00E40CB1"/>
    <w:rsid w:val="00E40F07"/>
    <w:rsid w:val="00E4151F"/>
    <w:rsid w:val="00E418B4"/>
    <w:rsid w:val="00E4204B"/>
    <w:rsid w:val="00E429B7"/>
    <w:rsid w:val="00E42B25"/>
    <w:rsid w:val="00E42DB7"/>
    <w:rsid w:val="00E43230"/>
    <w:rsid w:val="00E447A2"/>
    <w:rsid w:val="00E44D47"/>
    <w:rsid w:val="00E44F09"/>
    <w:rsid w:val="00E450E3"/>
    <w:rsid w:val="00E479F2"/>
    <w:rsid w:val="00E5043C"/>
    <w:rsid w:val="00E507BB"/>
    <w:rsid w:val="00E50F62"/>
    <w:rsid w:val="00E52141"/>
    <w:rsid w:val="00E526F7"/>
    <w:rsid w:val="00E5272E"/>
    <w:rsid w:val="00E53E31"/>
    <w:rsid w:val="00E547A1"/>
    <w:rsid w:val="00E54B45"/>
    <w:rsid w:val="00E54D23"/>
    <w:rsid w:val="00E5622B"/>
    <w:rsid w:val="00E56462"/>
    <w:rsid w:val="00E565CD"/>
    <w:rsid w:val="00E57408"/>
    <w:rsid w:val="00E6074A"/>
    <w:rsid w:val="00E60A15"/>
    <w:rsid w:val="00E61948"/>
    <w:rsid w:val="00E621B9"/>
    <w:rsid w:val="00E62254"/>
    <w:rsid w:val="00E627B2"/>
    <w:rsid w:val="00E62AF7"/>
    <w:rsid w:val="00E62B77"/>
    <w:rsid w:val="00E62CD4"/>
    <w:rsid w:val="00E62F23"/>
    <w:rsid w:val="00E647B0"/>
    <w:rsid w:val="00E65964"/>
    <w:rsid w:val="00E65C2C"/>
    <w:rsid w:val="00E71608"/>
    <w:rsid w:val="00E717C9"/>
    <w:rsid w:val="00E71971"/>
    <w:rsid w:val="00E7285E"/>
    <w:rsid w:val="00E7429B"/>
    <w:rsid w:val="00E7442A"/>
    <w:rsid w:val="00E74AF1"/>
    <w:rsid w:val="00E7515C"/>
    <w:rsid w:val="00E756F9"/>
    <w:rsid w:val="00E763FE"/>
    <w:rsid w:val="00E76942"/>
    <w:rsid w:val="00E77B12"/>
    <w:rsid w:val="00E801CD"/>
    <w:rsid w:val="00E806B9"/>
    <w:rsid w:val="00E818DD"/>
    <w:rsid w:val="00E82849"/>
    <w:rsid w:val="00E83721"/>
    <w:rsid w:val="00E83C27"/>
    <w:rsid w:val="00E84B38"/>
    <w:rsid w:val="00E84ED4"/>
    <w:rsid w:val="00E84FE3"/>
    <w:rsid w:val="00E85529"/>
    <w:rsid w:val="00E8552C"/>
    <w:rsid w:val="00E862FF"/>
    <w:rsid w:val="00E868B9"/>
    <w:rsid w:val="00E86F88"/>
    <w:rsid w:val="00E87128"/>
    <w:rsid w:val="00E8714A"/>
    <w:rsid w:val="00E87590"/>
    <w:rsid w:val="00E900DE"/>
    <w:rsid w:val="00E90293"/>
    <w:rsid w:val="00E90762"/>
    <w:rsid w:val="00E90D52"/>
    <w:rsid w:val="00E911AC"/>
    <w:rsid w:val="00E911BF"/>
    <w:rsid w:val="00E917E6"/>
    <w:rsid w:val="00E91E42"/>
    <w:rsid w:val="00E923B6"/>
    <w:rsid w:val="00E9254A"/>
    <w:rsid w:val="00E927B9"/>
    <w:rsid w:val="00E92FD2"/>
    <w:rsid w:val="00E930A0"/>
    <w:rsid w:val="00E930DF"/>
    <w:rsid w:val="00E9325F"/>
    <w:rsid w:val="00E934E2"/>
    <w:rsid w:val="00E93557"/>
    <w:rsid w:val="00E9389F"/>
    <w:rsid w:val="00E93908"/>
    <w:rsid w:val="00E9562A"/>
    <w:rsid w:val="00E95866"/>
    <w:rsid w:val="00E972C1"/>
    <w:rsid w:val="00E97C35"/>
    <w:rsid w:val="00EA0AB1"/>
    <w:rsid w:val="00EA15ED"/>
    <w:rsid w:val="00EA19B7"/>
    <w:rsid w:val="00EA2ABE"/>
    <w:rsid w:val="00EA458B"/>
    <w:rsid w:val="00EA45CB"/>
    <w:rsid w:val="00EA5640"/>
    <w:rsid w:val="00EA5674"/>
    <w:rsid w:val="00EA5806"/>
    <w:rsid w:val="00EA5C05"/>
    <w:rsid w:val="00EA5E21"/>
    <w:rsid w:val="00EA5EAB"/>
    <w:rsid w:val="00EA5EF0"/>
    <w:rsid w:val="00EA6372"/>
    <w:rsid w:val="00EA6D11"/>
    <w:rsid w:val="00EB00CA"/>
    <w:rsid w:val="00EB04EF"/>
    <w:rsid w:val="00EB1881"/>
    <w:rsid w:val="00EB1AD3"/>
    <w:rsid w:val="00EB2CF8"/>
    <w:rsid w:val="00EB2E9C"/>
    <w:rsid w:val="00EB3F5C"/>
    <w:rsid w:val="00EB4072"/>
    <w:rsid w:val="00EB46CC"/>
    <w:rsid w:val="00EB4C08"/>
    <w:rsid w:val="00EB4CEC"/>
    <w:rsid w:val="00EB5050"/>
    <w:rsid w:val="00EB50EA"/>
    <w:rsid w:val="00EB52B2"/>
    <w:rsid w:val="00EB562C"/>
    <w:rsid w:val="00EB61FC"/>
    <w:rsid w:val="00EB6507"/>
    <w:rsid w:val="00EB7333"/>
    <w:rsid w:val="00EB738D"/>
    <w:rsid w:val="00EB747E"/>
    <w:rsid w:val="00EB7A52"/>
    <w:rsid w:val="00EB7CB1"/>
    <w:rsid w:val="00EB7E0C"/>
    <w:rsid w:val="00EB7E7C"/>
    <w:rsid w:val="00EC05EC"/>
    <w:rsid w:val="00EC09A7"/>
    <w:rsid w:val="00EC2B4B"/>
    <w:rsid w:val="00EC2C6A"/>
    <w:rsid w:val="00EC37CA"/>
    <w:rsid w:val="00EC3D1C"/>
    <w:rsid w:val="00EC41AE"/>
    <w:rsid w:val="00EC52EA"/>
    <w:rsid w:val="00EC5439"/>
    <w:rsid w:val="00EC5992"/>
    <w:rsid w:val="00EC5B4D"/>
    <w:rsid w:val="00EC5F5F"/>
    <w:rsid w:val="00EC645B"/>
    <w:rsid w:val="00EC673C"/>
    <w:rsid w:val="00EC7399"/>
    <w:rsid w:val="00EC781D"/>
    <w:rsid w:val="00EC7B3F"/>
    <w:rsid w:val="00EC7F46"/>
    <w:rsid w:val="00ED016D"/>
    <w:rsid w:val="00ED01EF"/>
    <w:rsid w:val="00ED036F"/>
    <w:rsid w:val="00ED0408"/>
    <w:rsid w:val="00ED0C4B"/>
    <w:rsid w:val="00ED0DC2"/>
    <w:rsid w:val="00ED1216"/>
    <w:rsid w:val="00ED150E"/>
    <w:rsid w:val="00ED16E3"/>
    <w:rsid w:val="00ED28AB"/>
    <w:rsid w:val="00ED2AC8"/>
    <w:rsid w:val="00ED2ADB"/>
    <w:rsid w:val="00ED2B6E"/>
    <w:rsid w:val="00ED3A40"/>
    <w:rsid w:val="00ED3C67"/>
    <w:rsid w:val="00ED4AF9"/>
    <w:rsid w:val="00ED4CAA"/>
    <w:rsid w:val="00ED4E9A"/>
    <w:rsid w:val="00ED5EC4"/>
    <w:rsid w:val="00ED653E"/>
    <w:rsid w:val="00ED6BAF"/>
    <w:rsid w:val="00EE03EE"/>
    <w:rsid w:val="00EE21E5"/>
    <w:rsid w:val="00EE25BB"/>
    <w:rsid w:val="00EE2832"/>
    <w:rsid w:val="00EE3784"/>
    <w:rsid w:val="00EE3B28"/>
    <w:rsid w:val="00EE3B82"/>
    <w:rsid w:val="00EE421C"/>
    <w:rsid w:val="00EE4FF1"/>
    <w:rsid w:val="00EE54B2"/>
    <w:rsid w:val="00EE5AFF"/>
    <w:rsid w:val="00EE5C7F"/>
    <w:rsid w:val="00EF02EC"/>
    <w:rsid w:val="00EF0D12"/>
    <w:rsid w:val="00EF11C0"/>
    <w:rsid w:val="00EF2A89"/>
    <w:rsid w:val="00EF304D"/>
    <w:rsid w:val="00EF4049"/>
    <w:rsid w:val="00EF4703"/>
    <w:rsid w:val="00EF4716"/>
    <w:rsid w:val="00EF478B"/>
    <w:rsid w:val="00EF56C4"/>
    <w:rsid w:val="00EF60E7"/>
    <w:rsid w:val="00EF692E"/>
    <w:rsid w:val="00EF69BA"/>
    <w:rsid w:val="00EF7CA1"/>
    <w:rsid w:val="00F0105F"/>
    <w:rsid w:val="00F017C9"/>
    <w:rsid w:val="00F03F82"/>
    <w:rsid w:val="00F0446A"/>
    <w:rsid w:val="00F04DFC"/>
    <w:rsid w:val="00F05918"/>
    <w:rsid w:val="00F0598C"/>
    <w:rsid w:val="00F0681F"/>
    <w:rsid w:val="00F06890"/>
    <w:rsid w:val="00F06BC8"/>
    <w:rsid w:val="00F06C6F"/>
    <w:rsid w:val="00F10191"/>
    <w:rsid w:val="00F11685"/>
    <w:rsid w:val="00F11F9A"/>
    <w:rsid w:val="00F13B71"/>
    <w:rsid w:val="00F13EFA"/>
    <w:rsid w:val="00F14ACA"/>
    <w:rsid w:val="00F15CE7"/>
    <w:rsid w:val="00F163B1"/>
    <w:rsid w:val="00F1658B"/>
    <w:rsid w:val="00F17117"/>
    <w:rsid w:val="00F17261"/>
    <w:rsid w:val="00F1731B"/>
    <w:rsid w:val="00F1735C"/>
    <w:rsid w:val="00F178DB"/>
    <w:rsid w:val="00F17B44"/>
    <w:rsid w:val="00F17C67"/>
    <w:rsid w:val="00F243D1"/>
    <w:rsid w:val="00F24FD8"/>
    <w:rsid w:val="00F258FD"/>
    <w:rsid w:val="00F264BA"/>
    <w:rsid w:val="00F264E2"/>
    <w:rsid w:val="00F276DE"/>
    <w:rsid w:val="00F276E4"/>
    <w:rsid w:val="00F27A3F"/>
    <w:rsid w:val="00F27C87"/>
    <w:rsid w:val="00F27D7B"/>
    <w:rsid w:val="00F27EA3"/>
    <w:rsid w:val="00F30212"/>
    <w:rsid w:val="00F30AE3"/>
    <w:rsid w:val="00F315F0"/>
    <w:rsid w:val="00F3170F"/>
    <w:rsid w:val="00F32738"/>
    <w:rsid w:val="00F328EA"/>
    <w:rsid w:val="00F32D95"/>
    <w:rsid w:val="00F32E01"/>
    <w:rsid w:val="00F32FA8"/>
    <w:rsid w:val="00F333E4"/>
    <w:rsid w:val="00F3345B"/>
    <w:rsid w:val="00F335C3"/>
    <w:rsid w:val="00F34182"/>
    <w:rsid w:val="00F34CD1"/>
    <w:rsid w:val="00F35A31"/>
    <w:rsid w:val="00F36EE0"/>
    <w:rsid w:val="00F37D91"/>
    <w:rsid w:val="00F403E2"/>
    <w:rsid w:val="00F40B50"/>
    <w:rsid w:val="00F40BA5"/>
    <w:rsid w:val="00F40C69"/>
    <w:rsid w:val="00F40C90"/>
    <w:rsid w:val="00F41417"/>
    <w:rsid w:val="00F41B29"/>
    <w:rsid w:val="00F41BD6"/>
    <w:rsid w:val="00F425AF"/>
    <w:rsid w:val="00F42A22"/>
    <w:rsid w:val="00F42CFA"/>
    <w:rsid w:val="00F42E2F"/>
    <w:rsid w:val="00F432DD"/>
    <w:rsid w:val="00F43402"/>
    <w:rsid w:val="00F43DA2"/>
    <w:rsid w:val="00F452B7"/>
    <w:rsid w:val="00F4531B"/>
    <w:rsid w:val="00F459ED"/>
    <w:rsid w:val="00F45C0B"/>
    <w:rsid w:val="00F46786"/>
    <w:rsid w:val="00F46CD6"/>
    <w:rsid w:val="00F4727A"/>
    <w:rsid w:val="00F47752"/>
    <w:rsid w:val="00F47DAA"/>
    <w:rsid w:val="00F5033B"/>
    <w:rsid w:val="00F5177D"/>
    <w:rsid w:val="00F51E67"/>
    <w:rsid w:val="00F5217F"/>
    <w:rsid w:val="00F522A7"/>
    <w:rsid w:val="00F522B9"/>
    <w:rsid w:val="00F523F9"/>
    <w:rsid w:val="00F529AA"/>
    <w:rsid w:val="00F53281"/>
    <w:rsid w:val="00F53596"/>
    <w:rsid w:val="00F5443D"/>
    <w:rsid w:val="00F544B3"/>
    <w:rsid w:val="00F546B0"/>
    <w:rsid w:val="00F555AD"/>
    <w:rsid w:val="00F5571D"/>
    <w:rsid w:val="00F565ED"/>
    <w:rsid w:val="00F56640"/>
    <w:rsid w:val="00F57311"/>
    <w:rsid w:val="00F57A51"/>
    <w:rsid w:val="00F614C8"/>
    <w:rsid w:val="00F61664"/>
    <w:rsid w:val="00F61893"/>
    <w:rsid w:val="00F62410"/>
    <w:rsid w:val="00F62451"/>
    <w:rsid w:val="00F63592"/>
    <w:rsid w:val="00F638B5"/>
    <w:rsid w:val="00F638D7"/>
    <w:rsid w:val="00F63A8E"/>
    <w:rsid w:val="00F63C79"/>
    <w:rsid w:val="00F64386"/>
    <w:rsid w:val="00F64AFB"/>
    <w:rsid w:val="00F64E6F"/>
    <w:rsid w:val="00F64E7C"/>
    <w:rsid w:val="00F650FA"/>
    <w:rsid w:val="00F659C5"/>
    <w:rsid w:val="00F65B73"/>
    <w:rsid w:val="00F6646B"/>
    <w:rsid w:val="00F665FB"/>
    <w:rsid w:val="00F66794"/>
    <w:rsid w:val="00F667F2"/>
    <w:rsid w:val="00F66956"/>
    <w:rsid w:val="00F66A63"/>
    <w:rsid w:val="00F676A7"/>
    <w:rsid w:val="00F67BAD"/>
    <w:rsid w:val="00F70650"/>
    <w:rsid w:val="00F709AE"/>
    <w:rsid w:val="00F70BE0"/>
    <w:rsid w:val="00F70E14"/>
    <w:rsid w:val="00F71266"/>
    <w:rsid w:val="00F7203F"/>
    <w:rsid w:val="00F73148"/>
    <w:rsid w:val="00F733A1"/>
    <w:rsid w:val="00F73D08"/>
    <w:rsid w:val="00F74926"/>
    <w:rsid w:val="00F74A94"/>
    <w:rsid w:val="00F75102"/>
    <w:rsid w:val="00F75988"/>
    <w:rsid w:val="00F764C1"/>
    <w:rsid w:val="00F766D9"/>
    <w:rsid w:val="00F76EF0"/>
    <w:rsid w:val="00F77A13"/>
    <w:rsid w:val="00F80858"/>
    <w:rsid w:val="00F80B6E"/>
    <w:rsid w:val="00F80F44"/>
    <w:rsid w:val="00F8134D"/>
    <w:rsid w:val="00F81375"/>
    <w:rsid w:val="00F81A29"/>
    <w:rsid w:val="00F82BF0"/>
    <w:rsid w:val="00F83025"/>
    <w:rsid w:val="00F83D19"/>
    <w:rsid w:val="00F83EB1"/>
    <w:rsid w:val="00F8424F"/>
    <w:rsid w:val="00F85A15"/>
    <w:rsid w:val="00F85E83"/>
    <w:rsid w:val="00F85F47"/>
    <w:rsid w:val="00F8639A"/>
    <w:rsid w:val="00F8652E"/>
    <w:rsid w:val="00F86CAE"/>
    <w:rsid w:val="00F86DBB"/>
    <w:rsid w:val="00F90292"/>
    <w:rsid w:val="00F90D64"/>
    <w:rsid w:val="00F910EF"/>
    <w:rsid w:val="00F91A68"/>
    <w:rsid w:val="00F92060"/>
    <w:rsid w:val="00F921A5"/>
    <w:rsid w:val="00F92EBF"/>
    <w:rsid w:val="00F92EEE"/>
    <w:rsid w:val="00F93931"/>
    <w:rsid w:val="00F93D5A"/>
    <w:rsid w:val="00F93D91"/>
    <w:rsid w:val="00F93DEA"/>
    <w:rsid w:val="00F93F1B"/>
    <w:rsid w:val="00F943B6"/>
    <w:rsid w:val="00F945DD"/>
    <w:rsid w:val="00F948D3"/>
    <w:rsid w:val="00F94E22"/>
    <w:rsid w:val="00F950DB"/>
    <w:rsid w:val="00F95342"/>
    <w:rsid w:val="00F9577A"/>
    <w:rsid w:val="00F959C5"/>
    <w:rsid w:val="00F959F8"/>
    <w:rsid w:val="00F96735"/>
    <w:rsid w:val="00F968F1"/>
    <w:rsid w:val="00F978EB"/>
    <w:rsid w:val="00F97A76"/>
    <w:rsid w:val="00FA12D0"/>
    <w:rsid w:val="00FA1394"/>
    <w:rsid w:val="00FA1EE4"/>
    <w:rsid w:val="00FA242E"/>
    <w:rsid w:val="00FA26C7"/>
    <w:rsid w:val="00FA270B"/>
    <w:rsid w:val="00FA4821"/>
    <w:rsid w:val="00FA5931"/>
    <w:rsid w:val="00FA5E97"/>
    <w:rsid w:val="00FA6A8B"/>
    <w:rsid w:val="00FA74B2"/>
    <w:rsid w:val="00FB0027"/>
    <w:rsid w:val="00FB174A"/>
    <w:rsid w:val="00FB1C54"/>
    <w:rsid w:val="00FB2AB1"/>
    <w:rsid w:val="00FB361A"/>
    <w:rsid w:val="00FB3AEE"/>
    <w:rsid w:val="00FB3D24"/>
    <w:rsid w:val="00FB4405"/>
    <w:rsid w:val="00FB44E6"/>
    <w:rsid w:val="00FB4F24"/>
    <w:rsid w:val="00FB590E"/>
    <w:rsid w:val="00FB5E97"/>
    <w:rsid w:val="00FB7D41"/>
    <w:rsid w:val="00FB7F08"/>
    <w:rsid w:val="00FC0237"/>
    <w:rsid w:val="00FC0909"/>
    <w:rsid w:val="00FC0BD5"/>
    <w:rsid w:val="00FC0CFE"/>
    <w:rsid w:val="00FC285A"/>
    <w:rsid w:val="00FC2DDD"/>
    <w:rsid w:val="00FC31C5"/>
    <w:rsid w:val="00FC357C"/>
    <w:rsid w:val="00FC38CE"/>
    <w:rsid w:val="00FC4311"/>
    <w:rsid w:val="00FC6075"/>
    <w:rsid w:val="00FC6149"/>
    <w:rsid w:val="00FC678B"/>
    <w:rsid w:val="00FC7318"/>
    <w:rsid w:val="00FC769A"/>
    <w:rsid w:val="00FC7ABC"/>
    <w:rsid w:val="00FC7FB8"/>
    <w:rsid w:val="00FD1508"/>
    <w:rsid w:val="00FD15B6"/>
    <w:rsid w:val="00FD15CB"/>
    <w:rsid w:val="00FD1954"/>
    <w:rsid w:val="00FD22FD"/>
    <w:rsid w:val="00FD24C3"/>
    <w:rsid w:val="00FD2572"/>
    <w:rsid w:val="00FD2CDD"/>
    <w:rsid w:val="00FD2E6D"/>
    <w:rsid w:val="00FD30D7"/>
    <w:rsid w:val="00FD3824"/>
    <w:rsid w:val="00FD555E"/>
    <w:rsid w:val="00FD5BE1"/>
    <w:rsid w:val="00FD6AA9"/>
    <w:rsid w:val="00FD714A"/>
    <w:rsid w:val="00FD7599"/>
    <w:rsid w:val="00FD7650"/>
    <w:rsid w:val="00FD7AEF"/>
    <w:rsid w:val="00FE03D2"/>
    <w:rsid w:val="00FE04D2"/>
    <w:rsid w:val="00FE10E7"/>
    <w:rsid w:val="00FE1374"/>
    <w:rsid w:val="00FE1621"/>
    <w:rsid w:val="00FE181E"/>
    <w:rsid w:val="00FE2A85"/>
    <w:rsid w:val="00FE2AF9"/>
    <w:rsid w:val="00FE3578"/>
    <w:rsid w:val="00FE3B3F"/>
    <w:rsid w:val="00FE428E"/>
    <w:rsid w:val="00FE4383"/>
    <w:rsid w:val="00FE4B7B"/>
    <w:rsid w:val="00FE4C2F"/>
    <w:rsid w:val="00FE4F75"/>
    <w:rsid w:val="00FE5F31"/>
    <w:rsid w:val="00FE748D"/>
    <w:rsid w:val="00FE792E"/>
    <w:rsid w:val="00FE7971"/>
    <w:rsid w:val="00FF01CB"/>
    <w:rsid w:val="00FF03E5"/>
    <w:rsid w:val="00FF0687"/>
    <w:rsid w:val="00FF0688"/>
    <w:rsid w:val="00FF0925"/>
    <w:rsid w:val="00FF0EEC"/>
    <w:rsid w:val="00FF12EA"/>
    <w:rsid w:val="00FF148C"/>
    <w:rsid w:val="00FF1623"/>
    <w:rsid w:val="00FF271C"/>
    <w:rsid w:val="00FF2744"/>
    <w:rsid w:val="00FF2ADC"/>
    <w:rsid w:val="00FF3CCC"/>
    <w:rsid w:val="00FF4A67"/>
    <w:rsid w:val="00FF5335"/>
    <w:rsid w:val="00FF5A29"/>
    <w:rsid w:val="00FF5BA7"/>
    <w:rsid w:val="00FF6127"/>
    <w:rsid w:val="00FF62E3"/>
    <w:rsid w:val="00FF7229"/>
    <w:rsid w:val="00FF7AC1"/>
    <w:rsid w:val="00FF7D38"/>
    <w:rsid w:val="04E08690"/>
    <w:rsid w:val="05DE611D"/>
    <w:rsid w:val="0621F8A6"/>
    <w:rsid w:val="0985CB41"/>
    <w:rsid w:val="0AEC1922"/>
    <w:rsid w:val="0BD76EED"/>
    <w:rsid w:val="0D6C1C11"/>
    <w:rsid w:val="0EC98148"/>
    <w:rsid w:val="15E88AEF"/>
    <w:rsid w:val="162DB4AF"/>
    <w:rsid w:val="1AF96B1D"/>
    <w:rsid w:val="1B3E94DD"/>
    <w:rsid w:val="1B8358FB"/>
    <w:rsid w:val="1B9E13B1"/>
    <w:rsid w:val="1E953A73"/>
    <w:rsid w:val="2A1B9A1E"/>
    <w:rsid w:val="2D58B2B0"/>
    <w:rsid w:val="31035BD8"/>
    <w:rsid w:val="31E4E6F0"/>
    <w:rsid w:val="35884A14"/>
    <w:rsid w:val="3AE6F0BB"/>
    <w:rsid w:val="3C71DD11"/>
    <w:rsid w:val="3D68BC57"/>
    <w:rsid w:val="45F4AB7A"/>
    <w:rsid w:val="4A0815C2"/>
    <w:rsid w:val="5A950E55"/>
    <w:rsid w:val="5C05A9B7"/>
    <w:rsid w:val="5C8CB6FD"/>
    <w:rsid w:val="5EB9F245"/>
    <w:rsid w:val="61B38946"/>
    <w:rsid w:val="625A392C"/>
    <w:rsid w:val="62B60573"/>
    <w:rsid w:val="62E7EFC2"/>
    <w:rsid w:val="676D1D6E"/>
    <w:rsid w:val="68E99E54"/>
    <w:rsid w:val="6AF66707"/>
    <w:rsid w:val="6B2ACB67"/>
    <w:rsid w:val="70A05FD6"/>
    <w:rsid w:val="768F199E"/>
    <w:rsid w:val="77A75515"/>
    <w:rsid w:val="7C07A995"/>
    <w:rsid w:val="7E8D00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4E7A4"/>
  <w15:docId w15:val="{0B846B54-C52E-48F0-910A-4A4D8336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4E65"/>
    <w:pPr>
      <w:spacing w:after="120"/>
    </w:pPr>
    <w:rPr>
      <w:lang w:val="en-US"/>
    </w:rPr>
  </w:style>
  <w:style w:type="paragraph" w:styleId="1">
    <w:name w:val="heading 1"/>
    <w:basedOn w:val="BaseHeading"/>
    <w:next w:val="a1"/>
    <w:link w:val="10"/>
    <w:uiPriority w:val="9"/>
    <w:qFormat/>
    <w:rsid w:val="00E93557"/>
    <w:pPr>
      <w:pageBreakBefore/>
      <w:spacing w:before="240" w:after="600"/>
      <w:outlineLvl w:val="0"/>
    </w:pPr>
    <w:rPr>
      <w:rFonts w:eastAsiaTheme="majorEastAsia" w:cstheme="majorBidi"/>
      <w:sz w:val="36"/>
      <w:szCs w:val="32"/>
    </w:rPr>
  </w:style>
  <w:style w:type="paragraph" w:styleId="2">
    <w:name w:val="heading 2"/>
    <w:basedOn w:val="BaseHeading"/>
    <w:next w:val="a1"/>
    <w:link w:val="20"/>
    <w:uiPriority w:val="9"/>
    <w:qFormat/>
    <w:rsid w:val="005E292E"/>
    <w:pPr>
      <w:spacing w:before="240" w:after="240"/>
      <w:outlineLvl w:val="1"/>
    </w:pPr>
    <w:rPr>
      <w:rFonts w:eastAsiaTheme="majorEastAsia" w:cstheme="majorBidi"/>
      <w:sz w:val="24"/>
      <w:szCs w:val="26"/>
    </w:rPr>
  </w:style>
  <w:style w:type="paragraph" w:styleId="3">
    <w:name w:val="heading 3"/>
    <w:basedOn w:val="BaseHeading"/>
    <w:next w:val="a1"/>
    <w:link w:val="30"/>
    <w:uiPriority w:val="9"/>
    <w:qFormat/>
    <w:rsid w:val="005E292E"/>
    <w:pPr>
      <w:spacing w:before="40"/>
      <w:outlineLvl w:val="2"/>
    </w:pPr>
    <w:rPr>
      <w:rFonts w:eastAsiaTheme="majorEastAsia" w:cstheme="majorBidi"/>
      <w:sz w:val="24"/>
      <w:szCs w:val="24"/>
    </w:rPr>
  </w:style>
  <w:style w:type="paragraph" w:styleId="4">
    <w:name w:val="heading 4"/>
    <w:basedOn w:val="BaseHeading"/>
    <w:next w:val="a1"/>
    <w:link w:val="40"/>
    <w:uiPriority w:val="9"/>
    <w:qFormat/>
    <w:rsid w:val="005E292E"/>
    <w:pPr>
      <w:outlineLvl w:val="3"/>
    </w:pPr>
    <w:rPr>
      <w:rFonts w:asciiTheme="minorHAnsi" w:eastAsiaTheme="majorEastAsia" w:hAnsiTheme="minorHAnsi" w:cstheme="majorBidi"/>
      <w:b/>
      <w:iCs/>
      <w:sz w:val="24"/>
    </w:rPr>
  </w:style>
  <w:style w:type="paragraph" w:styleId="5">
    <w:name w:val="heading 5"/>
    <w:basedOn w:val="BaseHeading"/>
    <w:next w:val="a1"/>
    <w:link w:val="50"/>
    <w:uiPriority w:val="9"/>
    <w:qFormat/>
    <w:rsid w:val="005E292E"/>
    <w:pPr>
      <w:outlineLvl w:val="4"/>
    </w:pPr>
    <w:rPr>
      <w:rFonts w:asciiTheme="minorHAnsi" w:eastAsiaTheme="majorEastAsia" w:hAnsiTheme="minorHAnsi" w:cstheme="majorBidi"/>
      <w:i/>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BaseText"/>
    <w:link w:val="a5"/>
    <w:qFormat/>
    <w:rsid w:val="005E292E"/>
    <w:pPr>
      <w:spacing w:after="120"/>
    </w:pPr>
  </w:style>
  <w:style w:type="character" w:customStyle="1" w:styleId="a5">
    <w:name w:val="Основной текст Знак"/>
    <w:basedOn w:val="a2"/>
    <w:link w:val="a1"/>
    <w:rsid w:val="00504E65"/>
    <w:rPr>
      <w:sz w:val="24"/>
    </w:rPr>
  </w:style>
  <w:style w:type="character" w:customStyle="1" w:styleId="10">
    <w:name w:val="Заголовок 1 Знак"/>
    <w:basedOn w:val="a2"/>
    <w:link w:val="1"/>
    <w:uiPriority w:val="9"/>
    <w:rsid w:val="005E292E"/>
    <w:rPr>
      <w:rFonts w:asciiTheme="majorHAnsi" w:eastAsiaTheme="majorEastAsia" w:hAnsiTheme="majorHAnsi" w:cstheme="majorBidi"/>
      <w:color w:val="000000" w:themeColor="text1"/>
      <w:sz w:val="36"/>
      <w:szCs w:val="32"/>
    </w:rPr>
  </w:style>
  <w:style w:type="character" w:customStyle="1" w:styleId="20">
    <w:name w:val="Заголовок 2 Знак"/>
    <w:basedOn w:val="a2"/>
    <w:link w:val="2"/>
    <w:uiPriority w:val="9"/>
    <w:rsid w:val="005E292E"/>
    <w:rPr>
      <w:rFonts w:asciiTheme="majorHAnsi" w:eastAsiaTheme="majorEastAsia" w:hAnsiTheme="majorHAnsi" w:cstheme="majorBidi"/>
      <w:color w:val="000000" w:themeColor="text1"/>
      <w:sz w:val="24"/>
      <w:szCs w:val="26"/>
    </w:rPr>
  </w:style>
  <w:style w:type="character" w:customStyle="1" w:styleId="30">
    <w:name w:val="Заголовок 3 Знак"/>
    <w:basedOn w:val="a2"/>
    <w:link w:val="3"/>
    <w:uiPriority w:val="9"/>
    <w:rsid w:val="005E292E"/>
    <w:rPr>
      <w:rFonts w:asciiTheme="majorHAnsi" w:eastAsiaTheme="majorEastAsia" w:hAnsiTheme="majorHAnsi" w:cstheme="majorBidi"/>
      <w:color w:val="000000" w:themeColor="text1"/>
      <w:sz w:val="24"/>
      <w:szCs w:val="24"/>
    </w:rPr>
  </w:style>
  <w:style w:type="character" w:customStyle="1" w:styleId="40">
    <w:name w:val="Заголовок 4 Знак"/>
    <w:basedOn w:val="a2"/>
    <w:link w:val="4"/>
    <w:uiPriority w:val="9"/>
    <w:rsid w:val="005E292E"/>
    <w:rPr>
      <w:rFonts w:eastAsiaTheme="majorEastAsia" w:cstheme="majorBidi"/>
      <w:b/>
      <w:iCs/>
      <w:color w:val="000000" w:themeColor="text1"/>
      <w:sz w:val="24"/>
    </w:rPr>
  </w:style>
  <w:style w:type="paragraph" w:styleId="a6">
    <w:name w:val="Title"/>
    <w:basedOn w:val="BaseHeading"/>
    <w:next w:val="a7"/>
    <w:link w:val="a8"/>
    <w:uiPriority w:val="37"/>
    <w:qFormat/>
    <w:rsid w:val="00D24718"/>
    <w:pPr>
      <w:spacing w:line="192" w:lineRule="auto"/>
      <w:contextualSpacing/>
    </w:pPr>
    <w:rPr>
      <w:rFonts w:eastAsiaTheme="majorEastAsia" w:cstheme="majorBidi"/>
      <w:sz w:val="40"/>
      <w:szCs w:val="56"/>
    </w:rPr>
  </w:style>
  <w:style w:type="character" w:customStyle="1" w:styleId="a8">
    <w:name w:val="Заголовок Знак"/>
    <w:basedOn w:val="a2"/>
    <w:link w:val="a6"/>
    <w:uiPriority w:val="37"/>
    <w:rsid w:val="00D24718"/>
    <w:rPr>
      <w:rFonts w:asciiTheme="majorHAnsi" w:eastAsiaTheme="majorEastAsia" w:hAnsiTheme="majorHAnsi" w:cstheme="majorBidi"/>
      <w:color w:val="000000" w:themeColor="text1"/>
      <w:sz w:val="40"/>
      <w:szCs w:val="56"/>
    </w:rPr>
  </w:style>
  <w:style w:type="paragraph" w:styleId="a7">
    <w:name w:val="Subtitle"/>
    <w:basedOn w:val="BaseHeading"/>
    <w:next w:val="a1"/>
    <w:link w:val="a9"/>
    <w:uiPriority w:val="38"/>
    <w:qFormat/>
    <w:rsid w:val="00E9389F"/>
    <w:pPr>
      <w:numPr>
        <w:ilvl w:val="1"/>
      </w:numPr>
      <w:spacing w:after="360"/>
    </w:pPr>
    <w:rPr>
      <w:rFonts w:asciiTheme="minorHAnsi" w:eastAsiaTheme="minorEastAsia" w:hAnsiTheme="minorHAnsi"/>
      <w:sz w:val="28"/>
    </w:rPr>
  </w:style>
  <w:style w:type="character" w:customStyle="1" w:styleId="a9">
    <w:name w:val="Подзаголовок Знак"/>
    <w:basedOn w:val="a2"/>
    <w:link w:val="a7"/>
    <w:uiPriority w:val="38"/>
    <w:rsid w:val="00E9389F"/>
    <w:rPr>
      <w:rFonts w:eastAsiaTheme="minorEastAsia"/>
      <w:color w:val="000000" w:themeColor="text1"/>
      <w:sz w:val="28"/>
    </w:rPr>
  </w:style>
  <w:style w:type="paragraph" w:customStyle="1" w:styleId="BaseStyle">
    <w:name w:val="___Base Style"/>
    <w:semiHidden/>
    <w:rsid w:val="005E292E"/>
    <w:pPr>
      <w:spacing w:after="0" w:line="276" w:lineRule="auto"/>
    </w:pPr>
  </w:style>
  <w:style w:type="paragraph" w:customStyle="1" w:styleId="BaseTable">
    <w:name w:val="___Base Table"/>
    <w:semiHidden/>
    <w:rsid w:val="005E292E"/>
  </w:style>
  <w:style w:type="paragraph" w:customStyle="1" w:styleId="BaseText">
    <w:name w:val="__Base Text"/>
    <w:basedOn w:val="BaseStyle"/>
    <w:semiHidden/>
    <w:rsid w:val="005E292E"/>
    <w:pPr>
      <w:spacing w:line="264" w:lineRule="auto"/>
    </w:pPr>
    <w:rPr>
      <w:sz w:val="24"/>
    </w:rPr>
  </w:style>
  <w:style w:type="paragraph" w:customStyle="1" w:styleId="BaseHeading">
    <w:name w:val="__Base Heading"/>
    <w:basedOn w:val="BaseStyle"/>
    <w:next w:val="a1"/>
    <w:semiHidden/>
    <w:rsid w:val="005E292E"/>
    <w:pPr>
      <w:keepNext/>
      <w:keepLines/>
      <w:spacing w:line="240" w:lineRule="auto"/>
    </w:pPr>
    <w:rPr>
      <w:rFonts w:asciiTheme="majorHAnsi" w:hAnsiTheme="majorHAnsi"/>
      <w:color w:val="000000" w:themeColor="text1"/>
    </w:rPr>
  </w:style>
  <w:style w:type="table" w:customStyle="1" w:styleId="Plain">
    <w:name w:val="Plain"/>
    <w:basedOn w:val="a3"/>
    <w:rsid w:val="005E292E"/>
    <w:pPr>
      <w:spacing w:after="0" w:line="240" w:lineRule="auto"/>
    </w:pPr>
    <w:tblPr/>
    <w:tcPr>
      <w:shd w:val="clear" w:color="auto" w:fill="auto"/>
      <w:tcMar>
        <w:left w:w="0" w:type="dxa"/>
        <w:right w:w="0" w:type="dxa"/>
      </w:tcMar>
    </w:tcPr>
  </w:style>
  <w:style w:type="paragraph" w:customStyle="1" w:styleId="1ptspacer">
    <w:name w:val="__1pt spacer"/>
    <w:basedOn w:val="BaseStyle"/>
    <w:next w:val="a1"/>
    <w:semiHidden/>
    <w:rsid w:val="005E292E"/>
    <w:pPr>
      <w:spacing w:line="20" w:lineRule="exact"/>
    </w:pPr>
    <w:rPr>
      <w:sz w:val="2"/>
    </w:rPr>
  </w:style>
  <w:style w:type="paragraph" w:customStyle="1" w:styleId="Placeholder">
    <w:name w:val="__Placeholder"/>
    <w:basedOn w:val="BaseText"/>
    <w:next w:val="a1"/>
    <w:semiHidden/>
    <w:rsid w:val="005E292E"/>
    <w:pPr>
      <w:spacing w:line="240" w:lineRule="auto"/>
      <w:jc w:val="center"/>
    </w:pPr>
  </w:style>
  <w:style w:type="paragraph" w:customStyle="1" w:styleId="TableSpaceAfter">
    <w:name w:val="__TableSpaceAfter"/>
    <w:basedOn w:val="BaseStyle"/>
    <w:next w:val="a1"/>
    <w:rsid w:val="005E292E"/>
    <w:pPr>
      <w:spacing w:line="20" w:lineRule="exact"/>
    </w:pPr>
    <w:rPr>
      <w:sz w:val="2"/>
    </w:rPr>
  </w:style>
  <w:style w:type="paragraph" w:styleId="aa">
    <w:name w:val="List Bullet"/>
    <w:basedOn w:val="a1"/>
    <w:uiPriority w:val="99"/>
    <w:qFormat/>
    <w:rsid w:val="005E292E"/>
    <w:pPr>
      <w:ind w:left="397" w:hanging="397"/>
    </w:pPr>
  </w:style>
  <w:style w:type="paragraph" w:customStyle="1" w:styleId="TableText">
    <w:name w:val="Table Text"/>
    <w:basedOn w:val="BaseTable"/>
    <w:uiPriority w:val="2"/>
    <w:qFormat/>
    <w:rsid w:val="005E292E"/>
  </w:style>
  <w:style w:type="character" w:styleId="ab">
    <w:name w:val="Book Title"/>
    <w:basedOn w:val="a2"/>
    <w:uiPriority w:val="33"/>
    <w:semiHidden/>
    <w:qFormat/>
    <w:rsid w:val="005E292E"/>
    <w:rPr>
      <w:b/>
      <w:bCs/>
      <w:i/>
      <w:iCs/>
      <w:spacing w:val="5"/>
    </w:rPr>
  </w:style>
  <w:style w:type="character" w:styleId="ac">
    <w:name w:val="Emphasis"/>
    <w:basedOn w:val="a2"/>
    <w:uiPriority w:val="20"/>
    <w:semiHidden/>
    <w:qFormat/>
    <w:rsid w:val="005E292E"/>
    <w:rPr>
      <w:i/>
      <w:iCs/>
    </w:rPr>
  </w:style>
  <w:style w:type="character" w:styleId="ad">
    <w:name w:val="Intense Emphasis"/>
    <w:basedOn w:val="a2"/>
    <w:uiPriority w:val="21"/>
    <w:semiHidden/>
    <w:qFormat/>
    <w:rsid w:val="005E292E"/>
    <w:rPr>
      <w:i/>
      <w:iCs/>
      <w:color w:val="EE0C3D" w:themeColor="accent1"/>
    </w:rPr>
  </w:style>
  <w:style w:type="paragraph" w:styleId="ae">
    <w:name w:val="Intense Quote"/>
    <w:basedOn w:val="a0"/>
    <w:next w:val="a0"/>
    <w:link w:val="af"/>
    <w:uiPriority w:val="30"/>
    <w:semiHidden/>
    <w:qFormat/>
    <w:rsid w:val="005E292E"/>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af">
    <w:name w:val="Выделенная цитата Знак"/>
    <w:basedOn w:val="a2"/>
    <w:link w:val="ae"/>
    <w:uiPriority w:val="30"/>
    <w:semiHidden/>
    <w:rsid w:val="005E292E"/>
    <w:rPr>
      <w:i/>
      <w:iCs/>
      <w:color w:val="EE0C3D" w:themeColor="accent1"/>
      <w:lang w:val="en-US"/>
    </w:rPr>
  </w:style>
  <w:style w:type="character" w:styleId="af0">
    <w:name w:val="Intense Reference"/>
    <w:basedOn w:val="a2"/>
    <w:uiPriority w:val="32"/>
    <w:semiHidden/>
    <w:qFormat/>
    <w:rsid w:val="005E292E"/>
    <w:rPr>
      <w:b/>
      <w:bCs/>
      <w:smallCaps/>
      <w:color w:val="EE0C3D" w:themeColor="accent1"/>
      <w:spacing w:val="5"/>
    </w:rPr>
  </w:style>
  <w:style w:type="paragraph" w:styleId="af1">
    <w:name w:val="List Paragraph"/>
    <w:aliases w:val="Paragraph,Header 2,Head1.1,References,Paragraphe de liste1,List Paragraph1,Liste couleur - Accent 11,Liste couleur - Accent 111,Paragraphe de liste3,List Paragraph2,Bullets,List Paragraph nowy,Numbered List Paragraph,titre_kely,Liste 1"/>
    <w:basedOn w:val="a0"/>
    <w:link w:val="af2"/>
    <w:uiPriority w:val="34"/>
    <w:qFormat/>
    <w:rsid w:val="005E292E"/>
    <w:pPr>
      <w:ind w:left="720"/>
      <w:contextualSpacing/>
    </w:pPr>
  </w:style>
  <w:style w:type="paragraph" w:styleId="af3">
    <w:name w:val="No Spacing"/>
    <w:link w:val="af4"/>
    <w:uiPriority w:val="1"/>
    <w:qFormat/>
    <w:rsid w:val="005E292E"/>
    <w:pPr>
      <w:spacing w:after="0" w:line="240" w:lineRule="auto"/>
    </w:pPr>
  </w:style>
  <w:style w:type="paragraph" w:styleId="21">
    <w:name w:val="Quote"/>
    <w:basedOn w:val="BaseText"/>
    <w:link w:val="22"/>
    <w:uiPriority w:val="29"/>
    <w:qFormat/>
    <w:rsid w:val="005E292E"/>
    <w:pPr>
      <w:spacing w:before="240" w:after="240"/>
      <w:ind w:left="567"/>
    </w:pPr>
    <w:rPr>
      <w:iCs/>
      <w:color w:val="A6A6A6" w:themeColor="background1" w:themeShade="A6"/>
    </w:rPr>
  </w:style>
  <w:style w:type="character" w:customStyle="1" w:styleId="22">
    <w:name w:val="Цитата 2 Знак"/>
    <w:basedOn w:val="a2"/>
    <w:link w:val="21"/>
    <w:uiPriority w:val="29"/>
    <w:rsid w:val="005E292E"/>
    <w:rPr>
      <w:iCs/>
      <w:color w:val="A6A6A6" w:themeColor="background1" w:themeShade="A6"/>
      <w:sz w:val="24"/>
    </w:rPr>
  </w:style>
  <w:style w:type="character" w:styleId="af5">
    <w:name w:val="Strong"/>
    <w:basedOn w:val="a2"/>
    <w:uiPriority w:val="22"/>
    <w:qFormat/>
    <w:rsid w:val="005E292E"/>
    <w:rPr>
      <w:b/>
      <w:bCs/>
    </w:rPr>
  </w:style>
  <w:style w:type="character" w:styleId="af6">
    <w:name w:val="Subtle Emphasis"/>
    <w:basedOn w:val="a2"/>
    <w:uiPriority w:val="19"/>
    <w:semiHidden/>
    <w:qFormat/>
    <w:rsid w:val="005E292E"/>
    <w:rPr>
      <w:i/>
      <w:iCs/>
      <w:color w:val="404040" w:themeColor="text1" w:themeTint="BF"/>
    </w:rPr>
  </w:style>
  <w:style w:type="character" w:styleId="af7">
    <w:name w:val="Subtle Reference"/>
    <w:basedOn w:val="a2"/>
    <w:uiPriority w:val="31"/>
    <w:semiHidden/>
    <w:qFormat/>
    <w:rsid w:val="005E292E"/>
    <w:rPr>
      <w:smallCaps/>
      <w:color w:val="5A5A5A" w:themeColor="text1" w:themeTint="A5"/>
    </w:rPr>
  </w:style>
  <w:style w:type="numbering" w:customStyle="1" w:styleId="ListBullets">
    <w:name w:val="__List Bullets"/>
    <w:rsid w:val="005E292E"/>
    <w:pPr>
      <w:numPr>
        <w:numId w:val="1"/>
      </w:numPr>
    </w:pPr>
  </w:style>
  <w:style w:type="numbering" w:customStyle="1" w:styleId="ListNumbers">
    <w:name w:val="__List Numbers"/>
    <w:rsid w:val="005E292E"/>
    <w:pPr>
      <w:numPr>
        <w:numId w:val="2"/>
      </w:numPr>
    </w:pPr>
  </w:style>
  <w:style w:type="paragraph" w:styleId="a">
    <w:name w:val="List Number"/>
    <w:basedOn w:val="a1"/>
    <w:uiPriority w:val="1"/>
    <w:rsid w:val="005E292E"/>
    <w:pPr>
      <w:numPr>
        <w:numId w:val="3"/>
      </w:numPr>
    </w:pPr>
  </w:style>
  <w:style w:type="paragraph" w:customStyle="1" w:styleId="BodyTextNoSpace">
    <w:name w:val="Body Text_No Space"/>
    <w:basedOn w:val="a1"/>
    <w:qFormat/>
    <w:rsid w:val="005E292E"/>
    <w:pPr>
      <w:spacing w:after="0"/>
    </w:pPr>
  </w:style>
  <w:style w:type="table" w:customStyle="1" w:styleId="GlobalFundSolidHeader">
    <w:name w:val="Global Fund_Solid Header"/>
    <w:basedOn w:val="a3"/>
    <w:uiPriority w:val="99"/>
    <w:rsid w:val="005E292E"/>
    <w:pPr>
      <w:keepNext/>
      <w:spacing w:before="60" w:after="60" w:line="240" w:lineRule="auto"/>
      <w:ind w:left="57" w:right="57"/>
    </w:pPr>
    <w:rPr>
      <w:color w:val="000000" w:themeColor="text1"/>
      <w:szCs w:val="20"/>
    </w:rPr>
    <w:tblPr>
      <w:tblStyleRowBandSize w:val="1"/>
      <w:tblBorders>
        <w:top w:val="single" w:sz="4" w:space="0" w:color="808080" w:themeColor="background1" w:themeShade="80"/>
        <w:bottom w:val="single" w:sz="4" w:space="0" w:color="808080" w:themeColor="background1" w:themeShade="80"/>
        <w:insideH w:val="single" w:sz="4" w:space="0" w:color="808080" w:themeColor="background1" w:themeShade="80"/>
      </w:tblBorders>
      <w:tblCellMar>
        <w:left w:w="0" w:type="dxa"/>
        <w:right w:w="0" w:type="dxa"/>
      </w:tblCellMar>
    </w:tblPr>
    <w:trPr>
      <w:cantSplit/>
    </w:trPr>
    <w:tblStylePr w:type="firstRow">
      <w:pPr>
        <w:wordWrap/>
        <w:spacing w:beforeLines="0" w:before="90" w:beforeAutospacing="0" w:afterLines="0" w:after="90" w:afterAutospacing="0" w:line="240" w:lineRule="auto"/>
        <w:ind w:leftChars="0" w:left="57" w:rightChars="0" w:right="57" w:firstLineChars="0" w:firstLine="0"/>
        <w:contextualSpacing w:val="0"/>
        <w:mirrorIndents w:val="0"/>
      </w:pPr>
      <w:rPr>
        <w:b/>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rPr>
        <w:color w:val="000000" w:themeColor="text1"/>
      </w:rPr>
      <w:tblPr/>
      <w:tcPr>
        <w:tcBorders>
          <w:top w:val="single" w:sz="4" w:space="0" w:color="939393" w:themeColor="text2"/>
          <w:bottom w:val="single" w:sz="4" w:space="0" w:color="939393" w:themeColor="text2"/>
        </w:tcBorders>
      </w:tcPr>
    </w:tblStylePr>
    <w:tblStylePr w:type="firstCol">
      <w:pPr>
        <w:jc w:val="left"/>
      </w:pPr>
    </w:tblStylePr>
    <w:tblStylePr w:type="band1Horz">
      <w:tblPr/>
      <w:tcPr>
        <w:shd w:val="clear" w:color="auto" w:fill="FFFFFF" w:themeFill="background1"/>
      </w:tcPr>
    </w:tblStylePr>
    <w:tblStylePr w:type="band2Horz">
      <w:rPr>
        <w:color w:val="404040" w:themeColor="text1" w:themeTint="BF"/>
      </w:rPr>
      <w:tblPr/>
      <w:tcPr>
        <w:tcBorders>
          <w:top w:val="nil"/>
          <w:left w:val="nil"/>
          <w:bottom w:val="nil"/>
          <w:right w:val="nil"/>
          <w:insideH w:val="nil"/>
          <w:insideV w:val="nil"/>
          <w:tl2br w:val="nil"/>
          <w:tr2bl w:val="nil"/>
        </w:tcBorders>
      </w:tcPr>
    </w:tblStylePr>
  </w:style>
  <w:style w:type="character" w:customStyle="1" w:styleId="Accent1">
    <w:name w:val="Accent 1"/>
    <w:basedOn w:val="a2"/>
    <w:uiPriority w:val="36"/>
    <w:semiHidden/>
    <w:qFormat/>
    <w:rsid w:val="005E292E"/>
    <w:rPr>
      <w:color w:val="EE0C3D" w:themeColor="accent1"/>
    </w:rPr>
  </w:style>
  <w:style w:type="character" w:customStyle="1" w:styleId="Accent2">
    <w:name w:val="Accent 2"/>
    <w:basedOn w:val="a2"/>
    <w:uiPriority w:val="36"/>
    <w:semiHidden/>
    <w:qFormat/>
    <w:rsid w:val="005E292E"/>
    <w:rPr>
      <w:color w:val="2E4DF9" w:themeColor="accent2"/>
    </w:rPr>
  </w:style>
  <w:style w:type="character" w:customStyle="1" w:styleId="Accent3">
    <w:name w:val="Accent 3"/>
    <w:basedOn w:val="a2"/>
    <w:uiPriority w:val="36"/>
    <w:semiHidden/>
    <w:qFormat/>
    <w:rsid w:val="005E292E"/>
    <w:rPr>
      <w:color w:val="F6DE00" w:themeColor="accent3"/>
    </w:rPr>
  </w:style>
  <w:style w:type="character" w:customStyle="1" w:styleId="Accent4">
    <w:name w:val="Accent 4"/>
    <w:basedOn w:val="a2"/>
    <w:uiPriority w:val="36"/>
    <w:semiHidden/>
    <w:qFormat/>
    <w:rsid w:val="005E292E"/>
    <w:rPr>
      <w:color w:val="44CC36" w:themeColor="accent4"/>
    </w:rPr>
  </w:style>
  <w:style w:type="character" w:customStyle="1" w:styleId="Accent5">
    <w:name w:val="Accent 5"/>
    <w:basedOn w:val="a2"/>
    <w:uiPriority w:val="36"/>
    <w:semiHidden/>
    <w:qFormat/>
    <w:rsid w:val="005E292E"/>
    <w:rPr>
      <w:color w:val="FC9B00" w:themeColor="accent5"/>
    </w:rPr>
  </w:style>
  <w:style w:type="character" w:customStyle="1" w:styleId="Accent6">
    <w:name w:val="Accent 6"/>
    <w:basedOn w:val="a2"/>
    <w:uiPriority w:val="36"/>
    <w:semiHidden/>
    <w:qFormat/>
    <w:rsid w:val="005E292E"/>
    <w:rPr>
      <w:color w:val="8C29D3" w:themeColor="accent6"/>
    </w:rPr>
  </w:style>
  <w:style w:type="character" w:customStyle="1" w:styleId="50">
    <w:name w:val="Заголовок 5 Знак"/>
    <w:basedOn w:val="a2"/>
    <w:link w:val="5"/>
    <w:uiPriority w:val="9"/>
    <w:rsid w:val="005E292E"/>
    <w:rPr>
      <w:rFonts w:eastAsiaTheme="majorEastAsia" w:cstheme="majorBidi"/>
      <w:i/>
      <w:color w:val="000000" w:themeColor="text1"/>
      <w:sz w:val="24"/>
    </w:rPr>
  </w:style>
  <w:style w:type="paragraph" w:customStyle="1" w:styleId="ListHeading1">
    <w:name w:val="List Heading 1"/>
    <w:basedOn w:val="1"/>
    <w:next w:val="a1"/>
    <w:uiPriority w:val="9"/>
    <w:qFormat/>
    <w:rsid w:val="00FF12EA"/>
  </w:style>
  <w:style w:type="paragraph" w:customStyle="1" w:styleId="ListHeading2">
    <w:name w:val="List Heading 2"/>
    <w:basedOn w:val="2"/>
    <w:next w:val="a1"/>
    <w:uiPriority w:val="9"/>
    <w:qFormat/>
    <w:rsid w:val="00C10F68"/>
  </w:style>
  <w:style w:type="paragraph" w:customStyle="1" w:styleId="ListHeading3">
    <w:name w:val="List Heading 3"/>
    <w:basedOn w:val="3"/>
    <w:next w:val="a1"/>
    <w:uiPriority w:val="9"/>
    <w:qFormat/>
    <w:rsid w:val="005E292E"/>
    <w:pPr>
      <w:spacing w:before="0"/>
      <w:ind w:left="851" w:hanging="851"/>
    </w:pPr>
  </w:style>
  <w:style w:type="paragraph" w:customStyle="1" w:styleId="ListHeading4">
    <w:name w:val="List Heading 4"/>
    <w:basedOn w:val="4"/>
    <w:next w:val="a1"/>
    <w:uiPriority w:val="9"/>
    <w:qFormat/>
    <w:rsid w:val="005E292E"/>
    <w:pPr>
      <w:ind w:left="964" w:hanging="964"/>
    </w:pPr>
  </w:style>
  <w:style w:type="paragraph" w:customStyle="1" w:styleId="ListHeading5">
    <w:name w:val="List Heading 5"/>
    <w:basedOn w:val="5"/>
    <w:next w:val="a1"/>
    <w:uiPriority w:val="9"/>
    <w:qFormat/>
    <w:rsid w:val="005E292E"/>
    <w:pPr>
      <w:ind w:left="1191" w:hanging="1191"/>
    </w:pPr>
  </w:style>
  <w:style w:type="numbering" w:customStyle="1" w:styleId="ListHeading">
    <w:name w:val="List Heading"/>
    <w:uiPriority w:val="99"/>
    <w:rsid w:val="005E292E"/>
    <w:pPr>
      <w:numPr>
        <w:numId w:val="4"/>
      </w:numPr>
    </w:pPr>
  </w:style>
  <w:style w:type="paragraph" w:styleId="af8">
    <w:name w:val="header"/>
    <w:basedOn w:val="a0"/>
    <w:link w:val="af9"/>
    <w:uiPriority w:val="99"/>
    <w:unhideWhenUsed/>
    <w:rsid w:val="005E292E"/>
    <w:pPr>
      <w:tabs>
        <w:tab w:val="center" w:pos="4513"/>
        <w:tab w:val="right" w:pos="9026"/>
      </w:tabs>
      <w:spacing w:after="0" w:line="240" w:lineRule="auto"/>
    </w:pPr>
    <w:rPr>
      <w:sz w:val="14"/>
    </w:rPr>
  </w:style>
  <w:style w:type="character" w:customStyle="1" w:styleId="af9">
    <w:name w:val="Верхний колонтитул Знак"/>
    <w:basedOn w:val="a2"/>
    <w:link w:val="af8"/>
    <w:uiPriority w:val="99"/>
    <w:rsid w:val="005E292E"/>
    <w:rPr>
      <w:sz w:val="14"/>
      <w:lang w:val="en-US"/>
    </w:rPr>
  </w:style>
  <w:style w:type="paragraph" w:styleId="afa">
    <w:name w:val="footer"/>
    <w:basedOn w:val="a0"/>
    <w:link w:val="afb"/>
    <w:uiPriority w:val="99"/>
    <w:unhideWhenUsed/>
    <w:rsid w:val="005E292E"/>
    <w:pPr>
      <w:tabs>
        <w:tab w:val="center" w:pos="4513"/>
        <w:tab w:val="right" w:pos="9026"/>
      </w:tabs>
      <w:spacing w:after="0" w:line="240" w:lineRule="auto"/>
    </w:pPr>
    <w:rPr>
      <w:sz w:val="14"/>
    </w:rPr>
  </w:style>
  <w:style w:type="character" w:customStyle="1" w:styleId="afb">
    <w:name w:val="Нижний колонтитул Знак"/>
    <w:basedOn w:val="a2"/>
    <w:link w:val="afa"/>
    <w:uiPriority w:val="99"/>
    <w:rsid w:val="005E292E"/>
    <w:rPr>
      <w:sz w:val="14"/>
      <w:lang w:val="en-US"/>
    </w:rPr>
  </w:style>
  <w:style w:type="table" w:styleId="afc">
    <w:name w:val="Table Grid"/>
    <w:aliases w:val="Thesis"/>
    <w:basedOn w:val="a3"/>
    <w:uiPriority w:val="39"/>
    <w:rsid w:val="005E292E"/>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TOC Heading"/>
    <w:basedOn w:val="1"/>
    <w:next w:val="a0"/>
    <w:uiPriority w:val="39"/>
    <w:unhideWhenUsed/>
    <w:qFormat/>
    <w:rsid w:val="005E292E"/>
    <w:pPr>
      <w:pageBreakBefore w:val="0"/>
      <w:spacing w:before="0" w:after="2160"/>
      <w:contextualSpacing/>
      <w:outlineLvl w:val="9"/>
    </w:pPr>
    <w:rPr>
      <w:lang w:val="en-US"/>
    </w:rPr>
  </w:style>
  <w:style w:type="paragraph" w:styleId="11">
    <w:name w:val="toc 1"/>
    <w:basedOn w:val="a0"/>
    <w:next w:val="a0"/>
    <w:autoRedefine/>
    <w:uiPriority w:val="39"/>
    <w:unhideWhenUsed/>
    <w:rsid w:val="005E292E"/>
    <w:pPr>
      <w:pBdr>
        <w:top w:val="single" w:sz="4" w:space="1" w:color="auto"/>
      </w:pBdr>
      <w:tabs>
        <w:tab w:val="left" w:pos="454"/>
        <w:tab w:val="right" w:pos="10194"/>
      </w:tabs>
      <w:spacing w:after="0" w:line="240" w:lineRule="auto"/>
    </w:pPr>
    <w:rPr>
      <w:rFonts w:asciiTheme="majorHAnsi" w:hAnsiTheme="majorHAnsi"/>
      <w:color w:val="000000" w:themeColor="text1"/>
      <w:sz w:val="28"/>
    </w:rPr>
  </w:style>
  <w:style w:type="paragraph" w:styleId="23">
    <w:name w:val="toc 2"/>
    <w:basedOn w:val="a0"/>
    <w:next w:val="a0"/>
    <w:autoRedefine/>
    <w:uiPriority w:val="39"/>
    <w:unhideWhenUsed/>
    <w:rsid w:val="005E292E"/>
    <w:pPr>
      <w:tabs>
        <w:tab w:val="left" w:pos="680"/>
        <w:tab w:val="right" w:pos="10195"/>
      </w:tabs>
      <w:spacing w:after="240" w:line="240" w:lineRule="auto"/>
      <w:ind w:left="680" w:hanging="680"/>
      <w:contextualSpacing/>
    </w:pPr>
    <w:rPr>
      <w:color w:val="000000" w:themeColor="text1"/>
      <w:sz w:val="24"/>
    </w:rPr>
  </w:style>
  <w:style w:type="paragraph" w:styleId="31">
    <w:name w:val="toc 3"/>
    <w:basedOn w:val="a0"/>
    <w:next w:val="a0"/>
    <w:autoRedefine/>
    <w:uiPriority w:val="39"/>
    <w:unhideWhenUsed/>
    <w:rsid w:val="005E292E"/>
    <w:pPr>
      <w:tabs>
        <w:tab w:val="left" w:pos="907"/>
        <w:tab w:val="right" w:pos="10194"/>
      </w:tabs>
      <w:spacing w:after="100"/>
    </w:pPr>
    <w:rPr>
      <w:color w:val="000000" w:themeColor="text1"/>
      <w:sz w:val="24"/>
    </w:rPr>
  </w:style>
  <w:style w:type="character" w:styleId="afe">
    <w:name w:val="Hyperlink"/>
    <w:basedOn w:val="a2"/>
    <w:uiPriority w:val="99"/>
    <w:unhideWhenUsed/>
    <w:rsid w:val="005E292E"/>
    <w:rPr>
      <w:color w:val="2E4DF9" w:themeColor="hyperlink"/>
      <w:u w:val="single"/>
    </w:rPr>
  </w:style>
  <w:style w:type="paragraph" w:customStyle="1" w:styleId="Heading1NoContents">
    <w:name w:val="Heading 1 No Contents"/>
    <w:basedOn w:val="1"/>
    <w:next w:val="a1"/>
    <w:uiPriority w:val="10"/>
    <w:qFormat/>
    <w:rsid w:val="005E292E"/>
    <w:pPr>
      <w:spacing w:before="0"/>
      <w:outlineLvl w:val="9"/>
    </w:pPr>
  </w:style>
  <w:style w:type="table" w:customStyle="1" w:styleId="GlobalFundNoSpace">
    <w:name w:val="Global Fund_No Space"/>
    <w:basedOn w:val="a3"/>
    <w:uiPriority w:val="99"/>
    <w:rsid w:val="005E292E"/>
    <w:pPr>
      <w:keepNext/>
      <w:spacing w:after="0" w:line="240" w:lineRule="auto"/>
    </w:pPr>
    <w:rPr>
      <w:color w:val="000000" w:themeColor="text1"/>
    </w:rPr>
    <w:tblPr>
      <w:tblStyleRowBandSize w:val="1"/>
      <w:tblCellMar>
        <w:left w:w="0" w:type="dxa"/>
      </w:tblCellMar>
    </w:tblPr>
    <w:tcPr>
      <w:vAlign w:val="center"/>
    </w:tc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table" w:customStyle="1" w:styleId="GlobalFundLined">
    <w:name w:val="Global Fund_Lined"/>
    <w:basedOn w:val="GlobalFundNoSpace"/>
    <w:uiPriority w:val="99"/>
    <w:rsid w:val="005E292E"/>
    <w:rPr>
      <w:color w:val="404040" w:themeColor="text1" w:themeTint="BF"/>
    </w:rPr>
    <w:tblPr>
      <w:tblCellMar>
        <w:top w:w="108" w:type="dxa"/>
        <w:bottom w:w="108" w:type="dxa"/>
      </w:tblCellMar>
    </w:tbl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ImageCaption">
    <w:name w:val="Image Caption"/>
    <w:basedOn w:val="BaseText"/>
    <w:uiPriority w:val="29"/>
    <w:qFormat/>
    <w:rsid w:val="00416A18"/>
    <w:pPr>
      <w:spacing w:before="120"/>
      <w:contextualSpacing/>
    </w:pPr>
    <w:rPr>
      <w:color w:val="000000" w:themeColor="text1"/>
      <w:sz w:val="12"/>
      <w:szCs w:val="12"/>
    </w:rPr>
  </w:style>
  <w:style w:type="character" w:customStyle="1" w:styleId="ImageCaptionHeading">
    <w:name w:val="Image Caption Heading"/>
    <w:basedOn w:val="a2"/>
    <w:uiPriority w:val="29"/>
    <w:qFormat/>
    <w:rsid w:val="005E292E"/>
    <w:rPr>
      <w:rFonts w:asciiTheme="majorHAnsi" w:hAnsiTheme="majorHAnsi"/>
      <w:color w:val="000000" w:themeColor="text1"/>
    </w:rPr>
  </w:style>
  <w:style w:type="paragraph" w:customStyle="1" w:styleId="Note">
    <w:name w:val="Note"/>
    <w:basedOn w:val="a1"/>
    <w:uiPriority w:val="29"/>
    <w:qFormat/>
    <w:rsid w:val="005E292E"/>
    <w:pPr>
      <w:spacing w:after="0"/>
    </w:pPr>
    <w:rPr>
      <w:sz w:val="16"/>
      <w:szCs w:val="16"/>
    </w:rPr>
  </w:style>
  <w:style w:type="paragraph" w:styleId="aff">
    <w:name w:val="footnote text"/>
    <w:aliases w:val="fn,Footnote ak,footnote text,fn Char,footnote text Char,Footnotes Char,Footnote ak Char,ft,fn cafc,Footnotes Char Char,Footnote Text Char Char,fn Char Char,footnote text Char Char Char Ch,Footnote Text English,single space,FOOTNOTES,ADB"/>
    <w:basedOn w:val="a0"/>
    <w:link w:val="aff0"/>
    <w:uiPriority w:val="99"/>
    <w:unhideWhenUsed/>
    <w:rsid w:val="005E292E"/>
    <w:pPr>
      <w:spacing w:after="0" w:line="240" w:lineRule="auto"/>
    </w:pPr>
    <w:rPr>
      <w:color w:val="000000" w:themeColor="text1"/>
      <w:sz w:val="16"/>
      <w:szCs w:val="20"/>
    </w:rPr>
  </w:style>
  <w:style w:type="character" w:customStyle="1" w:styleId="aff0">
    <w:name w:val="Текст сноски Знак"/>
    <w:aliases w:val="fn Знак,Footnote ak Знак,footnote text Знак,fn Char Знак,footnote text Char Знак,Footnotes Char Знак,Footnote ak Char Знак,ft Знак,fn cafc Знак,Footnotes Char Char Знак,Footnote Text Char Char Знак,fn Char Char Знак,single space Знак"/>
    <w:basedOn w:val="a2"/>
    <w:link w:val="aff"/>
    <w:uiPriority w:val="99"/>
    <w:rsid w:val="005E292E"/>
    <w:rPr>
      <w:color w:val="000000" w:themeColor="text1"/>
      <w:sz w:val="16"/>
      <w:szCs w:val="20"/>
      <w:lang w:val="en-US"/>
    </w:rPr>
  </w:style>
  <w:style w:type="character" w:styleId="aff1">
    <w:name w:val="footnote reference"/>
    <w:aliases w:val="ftref,BVI fnr,16 Point,Superscript 6 Point,Fußnotenzeichen DISS,fr,(NECG) Footnote Reference,footnote ref,Char Char Char Char Car Char, BVI fnr,Footnote number,Footnote Reference Number,Times 10 Point,Exposant 3 Point,Footnote symbol"/>
    <w:basedOn w:val="a2"/>
    <w:link w:val="Char2"/>
    <w:uiPriority w:val="99"/>
    <w:unhideWhenUsed/>
    <w:qFormat/>
    <w:rsid w:val="005E292E"/>
    <w:rPr>
      <w:vertAlign w:val="superscript"/>
    </w:rPr>
  </w:style>
  <w:style w:type="numbering" w:customStyle="1" w:styleId="AlphaList">
    <w:name w:val="Alpha List"/>
    <w:uiPriority w:val="99"/>
    <w:rsid w:val="005E292E"/>
    <w:pPr>
      <w:numPr>
        <w:numId w:val="5"/>
      </w:numPr>
    </w:pPr>
  </w:style>
  <w:style w:type="paragraph" w:customStyle="1" w:styleId="ListAlpha">
    <w:name w:val="List Alpha"/>
    <w:basedOn w:val="a1"/>
    <w:uiPriority w:val="1"/>
    <w:qFormat/>
    <w:rsid w:val="005E292E"/>
    <w:pPr>
      <w:numPr>
        <w:numId w:val="6"/>
      </w:numPr>
      <w:contextualSpacing/>
    </w:pPr>
  </w:style>
  <w:style w:type="paragraph" w:customStyle="1" w:styleId="PageNo">
    <w:name w:val="Page No"/>
    <w:basedOn w:val="a1"/>
    <w:uiPriority w:val="49"/>
    <w:qFormat/>
    <w:rsid w:val="005E292E"/>
    <w:pPr>
      <w:spacing w:after="0" w:line="240" w:lineRule="auto"/>
      <w:jc w:val="right"/>
    </w:pPr>
    <w:rPr>
      <w:rFonts w:asciiTheme="majorHAnsi" w:hAnsiTheme="majorHAnsi"/>
      <w:color w:val="000000" w:themeColor="text1"/>
      <w:sz w:val="18"/>
      <w:szCs w:val="16"/>
    </w:rPr>
  </w:style>
  <w:style w:type="character" w:styleId="aff2">
    <w:name w:val="Placeholder Text"/>
    <w:basedOn w:val="a2"/>
    <w:uiPriority w:val="99"/>
    <w:semiHidden/>
    <w:rsid w:val="005E292E"/>
    <w:rPr>
      <w:color w:val="808080"/>
    </w:rPr>
  </w:style>
  <w:style w:type="paragraph" w:customStyle="1" w:styleId="Table-ChartHeading">
    <w:name w:val="Table - Chart Heading"/>
    <w:basedOn w:val="BaseHeading"/>
    <w:next w:val="a0"/>
    <w:uiPriority w:val="11"/>
    <w:qFormat/>
    <w:rsid w:val="005E292E"/>
    <w:pPr>
      <w:contextualSpacing/>
    </w:pPr>
    <w:rPr>
      <w:sz w:val="24"/>
    </w:rPr>
  </w:style>
  <w:style w:type="paragraph" w:customStyle="1" w:styleId="Table-ChartSubheading">
    <w:name w:val="Table - Chart Subheading"/>
    <w:basedOn w:val="BaseText"/>
    <w:uiPriority w:val="11"/>
    <w:qFormat/>
    <w:rsid w:val="005E292E"/>
    <w:pPr>
      <w:contextualSpacing/>
    </w:pPr>
  </w:style>
  <w:style w:type="table" w:customStyle="1" w:styleId="110">
    <w:name w:val="Таблица простая 11"/>
    <w:basedOn w:val="a3"/>
    <w:uiPriority w:val="41"/>
    <w:rsid w:val="00416A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f3">
    <w:name w:val="annotation reference"/>
    <w:basedOn w:val="a2"/>
    <w:uiPriority w:val="99"/>
    <w:semiHidden/>
    <w:unhideWhenUsed/>
    <w:rsid w:val="00416A18"/>
    <w:rPr>
      <w:sz w:val="16"/>
      <w:szCs w:val="16"/>
      <w:lang w:val="en-US"/>
    </w:rPr>
  </w:style>
  <w:style w:type="paragraph" w:styleId="aff4">
    <w:name w:val="annotation text"/>
    <w:basedOn w:val="a0"/>
    <w:link w:val="aff5"/>
    <w:uiPriority w:val="99"/>
    <w:unhideWhenUsed/>
    <w:rsid w:val="00416A18"/>
    <w:pPr>
      <w:spacing w:after="240" w:line="240" w:lineRule="auto"/>
    </w:pPr>
    <w:rPr>
      <w:rFonts w:ascii="Arial" w:hAnsi="Arial"/>
      <w:sz w:val="20"/>
      <w:szCs w:val="20"/>
    </w:rPr>
  </w:style>
  <w:style w:type="character" w:customStyle="1" w:styleId="aff5">
    <w:name w:val="Текст примечания Знак"/>
    <w:basedOn w:val="a2"/>
    <w:link w:val="aff4"/>
    <w:uiPriority w:val="99"/>
    <w:rsid w:val="00416A18"/>
    <w:rPr>
      <w:rFonts w:ascii="Arial" w:hAnsi="Arial"/>
      <w:sz w:val="20"/>
      <w:szCs w:val="20"/>
      <w:lang w:val="en-US"/>
    </w:rPr>
  </w:style>
  <w:style w:type="character" w:styleId="aff6">
    <w:name w:val="FollowedHyperlink"/>
    <w:basedOn w:val="a2"/>
    <w:uiPriority w:val="99"/>
    <w:semiHidden/>
    <w:unhideWhenUsed/>
    <w:rsid w:val="00416A18"/>
    <w:rPr>
      <w:color w:val="2E4DF9" w:themeColor="followedHyperlink"/>
      <w:u w:val="single"/>
    </w:rPr>
  </w:style>
  <w:style w:type="paragraph" w:customStyle="1" w:styleId="SECTIONBackCover">
    <w:name w:val="__SECTION BackCover"/>
    <w:basedOn w:val="a0"/>
    <w:next w:val="a1"/>
    <w:semiHidden/>
    <w:rsid w:val="006536CC"/>
    <w:pPr>
      <w:spacing w:after="0" w:line="160" w:lineRule="exact"/>
    </w:pPr>
    <w:rPr>
      <w:color w:val="0000FF"/>
      <w:sz w:val="18"/>
      <w:lang w:val="en-GB"/>
    </w:rPr>
  </w:style>
  <w:style w:type="paragraph" w:customStyle="1" w:styleId="CoverInformation">
    <w:name w:val="Cover Information"/>
    <w:basedOn w:val="a1"/>
    <w:uiPriority w:val="39"/>
    <w:qFormat/>
    <w:rsid w:val="00E9389F"/>
    <w:pPr>
      <w:spacing w:after="0"/>
    </w:pPr>
    <w:rPr>
      <w:sz w:val="16"/>
      <w:szCs w:val="16"/>
    </w:rPr>
  </w:style>
  <w:style w:type="paragraph" w:styleId="aff7">
    <w:name w:val="annotation subject"/>
    <w:basedOn w:val="aff4"/>
    <w:next w:val="aff4"/>
    <w:link w:val="aff8"/>
    <w:uiPriority w:val="99"/>
    <w:semiHidden/>
    <w:unhideWhenUsed/>
    <w:rsid w:val="00D31CE1"/>
    <w:pPr>
      <w:spacing w:after="120"/>
    </w:pPr>
    <w:rPr>
      <w:rFonts w:asciiTheme="minorHAnsi" w:hAnsiTheme="minorHAnsi"/>
      <w:b/>
      <w:bCs/>
    </w:rPr>
  </w:style>
  <w:style w:type="character" w:customStyle="1" w:styleId="aff8">
    <w:name w:val="Тема примечания Знак"/>
    <w:basedOn w:val="aff5"/>
    <w:link w:val="aff7"/>
    <w:uiPriority w:val="99"/>
    <w:semiHidden/>
    <w:rsid w:val="00D31CE1"/>
    <w:rPr>
      <w:rFonts w:ascii="Arial" w:hAnsi="Arial"/>
      <w:b/>
      <w:bCs/>
      <w:sz w:val="20"/>
      <w:szCs w:val="20"/>
      <w:lang w:val="en-US"/>
    </w:rPr>
  </w:style>
  <w:style w:type="table" w:customStyle="1" w:styleId="TableGrid3">
    <w:name w:val="Table Grid3"/>
    <w:basedOn w:val="a3"/>
    <w:next w:val="afc"/>
    <w:uiPriority w:val="39"/>
    <w:rsid w:val="00512CF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Revision"/>
    <w:hidden/>
    <w:uiPriority w:val="99"/>
    <w:semiHidden/>
    <w:rsid w:val="002C4F5C"/>
    <w:pPr>
      <w:spacing w:after="0" w:line="240" w:lineRule="auto"/>
    </w:pPr>
    <w:rPr>
      <w:lang w:val="en-US"/>
    </w:rPr>
  </w:style>
  <w:style w:type="character" w:customStyle="1" w:styleId="af2">
    <w:name w:val="Абзац списка Знак"/>
    <w:aliases w:val="Paragraph Знак,Header 2 Знак,Head1.1 Знак,References Знак,Paragraphe de liste1 Знак,List Paragraph1 Знак,Liste couleur - Accent 11 Знак,Liste couleur - Accent 111 Знак,Paragraphe de liste3 Знак,List Paragraph2 Знак,Bullets Знак"/>
    <w:basedOn w:val="a2"/>
    <w:link w:val="af1"/>
    <w:uiPriority w:val="34"/>
    <w:locked/>
    <w:rsid w:val="009F6F17"/>
    <w:rPr>
      <w:lang w:val="en-US"/>
    </w:rPr>
  </w:style>
  <w:style w:type="character" w:customStyle="1" w:styleId="12">
    <w:name w:val="Неразрешенное упоминание1"/>
    <w:basedOn w:val="a2"/>
    <w:uiPriority w:val="99"/>
    <w:unhideWhenUsed/>
    <w:rsid w:val="00F565ED"/>
    <w:rPr>
      <w:color w:val="605E5C"/>
      <w:shd w:val="clear" w:color="auto" w:fill="E1DFDD"/>
    </w:rPr>
  </w:style>
  <w:style w:type="character" w:customStyle="1" w:styleId="13">
    <w:name w:val="Упомянуть1"/>
    <w:basedOn w:val="a2"/>
    <w:uiPriority w:val="99"/>
    <w:unhideWhenUsed/>
    <w:rsid w:val="00F565ED"/>
    <w:rPr>
      <w:color w:val="2B579A"/>
      <w:shd w:val="clear" w:color="auto" w:fill="E1DFDD"/>
    </w:rPr>
  </w:style>
  <w:style w:type="paragraph" w:styleId="affa">
    <w:name w:val="Normal (Web)"/>
    <w:basedOn w:val="a0"/>
    <w:uiPriority w:val="99"/>
    <w:semiHidden/>
    <w:unhideWhenUsed/>
    <w:rsid w:val="007D400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10">
    <w:name w:val="Таблица простая 31"/>
    <w:basedOn w:val="a3"/>
    <w:uiPriority w:val="43"/>
    <w:rsid w:val="00070AD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ormaltextrun">
    <w:name w:val="normaltextrun"/>
    <w:basedOn w:val="a2"/>
    <w:rsid w:val="00A86253"/>
  </w:style>
  <w:style w:type="paragraph" w:styleId="affb">
    <w:name w:val="Balloon Text"/>
    <w:basedOn w:val="a0"/>
    <w:link w:val="affc"/>
    <w:uiPriority w:val="99"/>
    <w:semiHidden/>
    <w:unhideWhenUsed/>
    <w:rsid w:val="004E5CD1"/>
    <w:pPr>
      <w:spacing w:after="0" w:line="240" w:lineRule="auto"/>
    </w:pPr>
    <w:rPr>
      <w:rFonts w:ascii="Tahoma" w:hAnsi="Tahoma" w:cs="Tahoma"/>
      <w:sz w:val="16"/>
      <w:szCs w:val="16"/>
    </w:rPr>
  </w:style>
  <w:style w:type="character" w:customStyle="1" w:styleId="affc">
    <w:name w:val="Текст выноски Знак"/>
    <w:basedOn w:val="a2"/>
    <w:link w:val="affb"/>
    <w:uiPriority w:val="99"/>
    <w:semiHidden/>
    <w:rsid w:val="004E5CD1"/>
    <w:rPr>
      <w:rFonts w:ascii="Tahoma" w:hAnsi="Tahoma" w:cs="Tahoma"/>
      <w:sz w:val="16"/>
      <w:szCs w:val="16"/>
      <w:lang w:val="en-US"/>
    </w:rPr>
  </w:style>
  <w:style w:type="paragraph" w:styleId="affd">
    <w:name w:val="endnote text"/>
    <w:basedOn w:val="a0"/>
    <w:link w:val="affe"/>
    <w:uiPriority w:val="99"/>
    <w:unhideWhenUsed/>
    <w:rsid w:val="00B36A7C"/>
    <w:pPr>
      <w:spacing w:before="100" w:after="0" w:line="240" w:lineRule="auto"/>
    </w:pPr>
    <w:rPr>
      <w:rFonts w:eastAsiaTheme="minorEastAsia"/>
      <w:sz w:val="20"/>
      <w:szCs w:val="20"/>
      <w:lang w:val="ru-RU"/>
    </w:rPr>
  </w:style>
  <w:style w:type="character" w:customStyle="1" w:styleId="affe">
    <w:name w:val="Текст концевой сноски Знак"/>
    <w:basedOn w:val="a2"/>
    <w:link w:val="affd"/>
    <w:uiPriority w:val="99"/>
    <w:rsid w:val="00B36A7C"/>
    <w:rPr>
      <w:rFonts w:eastAsiaTheme="minorEastAsia"/>
      <w:sz w:val="20"/>
      <w:szCs w:val="20"/>
      <w:lang w:val="ru-RU"/>
    </w:rPr>
  </w:style>
  <w:style w:type="paragraph" w:customStyle="1" w:styleId="Default">
    <w:name w:val="Default"/>
    <w:uiPriority w:val="99"/>
    <w:rsid w:val="0030100B"/>
    <w:pPr>
      <w:autoSpaceDE w:val="0"/>
      <w:autoSpaceDN w:val="0"/>
      <w:adjustRightInd w:val="0"/>
      <w:spacing w:after="0" w:line="240" w:lineRule="auto"/>
    </w:pPr>
    <w:rPr>
      <w:rFonts w:ascii="Myriad Pro" w:eastAsia="Calibri" w:hAnsi="Myriad Pro" w:cs="Myriad Pro"/>
      <w:color w:val="000000"/>
      <w:sz w:val="24"/>
      <w:szCs w:val="24"/>
    </w:rPr>
  </w:style>
  <w:style w:type="paragraph" w:styleId="afff">
    <w:name w:val="caption"/>
    <w:basedOn w:val="a0"/>
    <w:next w:val="a0"/>
    <w:uiPriority w:val="35"/>
    <w:unhideWhenUsed/>
    <w:qFormat/>
    <w:rsid w:val="00412B33"/>
    <w:pPr>
      <w:keepNext/>
      <w:spacing w:after="40" w:line="240" w:lineRule="auto"/>
    </w:pPr>
    <w:rPr>
      <w:rFonts w:ascii="Arial" w:hAnsi="Arial"/>
      <w:i/>
      <w:iCs/>
      <w:sz w:val="18"/>
      <w:szCs w:val="18"/>
    </w:rPr>
  </w:style>
  <w:style w:type="character" w:customStyle="1" w:styleId="af4">
    <w:name w:val="Без интервала Знак"/>
    <w:link w:val="af3"/>
    <w:uiPriority w:val="1"/>
    <w:rsid w:val="00412B33"/>
  </w:style>
  <w:style w:type="paragraph" w:customStyle="1" w:styleId="Char2">
    <w:name w:val="Char2"/>
    <w:basedOn w:val="a0"/>
    <w:link w:val="aff1"/>
    <w:uiPriority w:val="99"/>
    <w:rsid w:val="00412B33"/>
    <w:pPr>
      <w:spacing w:before="120" w:after="160" w:line="240" w:lineRule="exact"/>
      <w:ind w:left="547"/>
      <w:jc w:val="both"/>
    </w:pPr>
    <w:rPr>
      <w:vertAlign w:val="superscript"/>
      <w:lang w:val="en-GB"/>
    </w:rPr>
  </w:style>
  <w:style w:type="paragraph" w:customStyle="1" w:styleId="Subcaption">
    <w:name w:val="Subcaption"/>
    <w:basedOn w:val="af3"/>
    <w:link w:val="SubcaptionChar"/>
    <w:qFormat/>
    <w:rsid w:val="00412B33"/>
    <w:pPr>
      <w:spacing w:after="120"/>
    </w:pPr>
    <w:rPr>
      <w:sz w:val="18"/>
      <w:szCs w:val="18"/>
      <w:lang w:val="en-US"/>
    </w:rPr>
  </w:style>
  <w:style w:type="character" w:customStyle="1" w:styleId="SubcaptionChar">
    <w:name w:val="Subcaption Char"/>
    <w:basedOn w:val="af4"/>
    <w:link w:val="Subcaption"/>
    <w:rsid w:val="00412B33"/>
    <w:rPr>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9929">
      <w:bodyDiv w:val="1"/>
      <w:marLeft w:val="0"/>
      <w:marRight w:val="0"/>
      <w:marTop w:val="0"/>
      <w:marBottom w:val="0"/>
      <w:divBdr>
        <w:top w:val="none" w:sz="0" w:space="0" w:color="auto"/>
        <w:left w:val="none" w:sz="0" w:space="0" w:color="auto"/>
        <w:bottom w:val="none" w:sz="0" w:space="0" w:color="auto"/>
        <w:right w:val="none" w:sz="0" w:space="0" w:color="auto"/>
      </w:divBdr>
    </w:div>
    <w:div w:id="153420734">
      <w:bodyDiv w:val="1"/>
      <w:marLeft w:val="0"/>
      <w:marRight w:val="0"/>
      <w:marTop w:val="0"/>
      <w:marBottom w:val="0"/>
      <w:divBdr>
        <w:top w:val="none" w:sz="0" w:space="0" w:color="auto"/>
        <w:left w:val="none" w:sz="0" w:space="0" w:color="auto"/>
        <w:bottom w:val="none" w:sz="0" w:space="0" w:color="auto"/>
        <w:right w:val="none" w:sz="0" w:space="0" w:color="auto"/>
      </w:divBdr>
    </w:div>
    <w:div w:id="297492722">
      <w:bodyDiv w:val="1"/>
      <w:marLeft w:val="0"/>
      <w:marRight w:val="0"/>
      <w:marTop w:val="0"/>
      <w:marBottom w:val="0"/>
      <w:divBdr>
        <w:top w:val="none" w:sz="0" w:space="0" w:color="auto"/>
        <w:left w:val="none" w:sz="0" w:space="0" w:color="auto"/>
        <w:bottom w:val="none" w:sz="0" w:space="0" w:color="auto"/>
        <w:right w:val="none" w:sz="0" w:space="0" w:color="auto"/>
      </w:divBdr>
    </w:div>
    <w:div w:id="360715783">
      <w:bodyDiv w:val="1"/>
      <w:marLeft w:val="0"/>
      <w:marRight w:val="0"/>
      <w:marTop w:val="0"/>
      <w:marBottom w:val="0"/>
      <w:divBdr>
        <w:top w:val="none" w:sz="0" w:space="0" w:color="auto"/>
        <w:left w:val="none" w:sz="0" w:space="0" w:color="auto"/>
        <w:bottom w:val="none" w:sz="0" w:space="0" w:color="auto"/>
        <w:right w:val="none" w:sz="0" w:space="0" w:color="auto"/>
      </w:divBdr>
    </w:div>
    <w:div w:id="369258737">
      <w:bodyDiv w:val="1"/>
      <w:marLeft w:val="0"/>
      <w:marRight w:val="0"/>
      <w:marTop w:val="0"/>
      <w:marBottom w:val="0"/>
      <w:divBdr>
        <w:top w:val="none" w:sz="0" w:space="0" w:color="auto"/>
        <w:left w:val="none" w:sz="0" w:space="0" w:color="auto"/>
        <w:bottom w:val="none" w:sz="0" w:space="0" w:color="auto"/>
        <w:right w:val="none" w:sz="0" w:space="0" w:color="auto"/>
      </w:divBdr>
    </w:div>
    <w:div w:id="374815682">
      <w:bodyDiv w:val="1"/>
      <w:marLeft w:val="0"/>
      <w:marRight w:val="0"/>
      <w:marTop w:val="0"/>
      <w:marBottom w:val="0"/>
      <w:divBdr>
        <w:top w:val="none" w:sz="0" w:space="0" w:color="auto"/>
        <w:left w:val="none" w:sz="0" w:space="0" w:color="auto"/>
        <w:bottom w:val="none" w:sz="0" w:space="0" w:color="auto"/>
        <w:right w:val="none" w:sz="0" w:space="0" w:color="auto"/>
      </w:divBdr>
    </w:div>
    <w:div w:id="562567564">
      <w:bodyDiv w:val="1"/>
      <w:marLeft w:val="0"/>
      <w:marRight w:val="0"/>
      <w:marTop w:val="0"/>
      <w:marBottom w:val="0"/>
      <w:divBdr>
        <w:top w:val="none" w:sz="0" w:space="0" w:color="auto"/>
        <w:left w:val="none" w:sz="0" w:space="0" w:color="auto"/>
        <w:bottom w:val="none" w:sz="0" w:space="0" w:color="auto"/>
        <w:right w:val="none" w:sz="0" w:space="0" w:color="auto"/>
      </w:divBdr>
    </w:div>
    <w:div w:id="572815591">
      <w:bodyDiv w:val="1"/>
      <w:marLeft w:val="0"/>
      <w:marRight w:val="0"/>
      <w:marTop w:val="0"/>
      <w:marBottom w:val="0"/>
      <w:divBdr>
        <w:top w:val="none" w:sz="0" w:space="0" w:color="auto"/>
        <w:left w:val="none" w:sz="0" w:space="0" w:color="auto"/>
        <w:bottom w:val="none" w:sz="0" w:space="0" w:color="auto"/>
        <w:right w:val="none" w:sz="0" w:space="0" w:color="auto"/>
      </w:divBdr>
    </w:div>
    <w:div w:id="732002010">
      <w:bodyDiv w:val="1"/>
      <w:marLeft w:val="0"/>
      <w:marRight w:val="0"/>
      <w:marTop w:val="0"/>
      <w:marBottom w:val="0"/>
      <w:divBdr>
        <w:top w:val="none" w:sz="0" w:space="0" w:color="auto"/>
        <w:left w:val="none" w:sz="0" w:space="0" w:color="auto"/>
        <w:bottom w:val="none" w:sz="0" w:space="0" w:color="auto"/>
        <w:right w:val="none" w:sz="0" w:space="0" w:color="auto"/>
      </w:divBdr>
    </w:div>
    <w:div w:id="757946335">
      <w:bodyDiv w:val="1"/>
      <w:marLeft w:val="0"/>
      <w:marRight w:val="0"/>
      <w:marTop w:val="0"/>
      <w:marBottom w:val="0"/>
      <w:divBdr>
        <w:top w:val="none" w:sz="0" w:space="0" w:color="auto"/>
        <w:left w:val="none" w:sz="0" w:space="0" w:color="auto"/>
        <w:bottom w:val="none" w:sz="0" w:space="0" w:color="auto"/>
        <w:right w:val="none" w:sz="0" w:space="0" w:color="auto"/>
      </w:divBdr>
    </w:div>
    <w:div w:id="1084765039">
      <w:bodyDiv w:val="1"/>
      <w:marLeft w:val="0"/>
      <w:marRight w:val="0"/>
      <w:marTop w:val="0"/>
      <w:marBottom w:val="0"/>
      <w:divBdr>
        <w:top w:val="none" w:sz="0" w:space="0" w:color="auto"/>
        <w:left w:val="none" w:sz="0" w:space="0" w:color="auto"/>
        <w:bottom w:val="none" w:sz="0" w:space="0" w:color="auto"/>
        <w:right w:val="none" w:sz="0" w:space="0" w:color="auto"/>
      </w:divBdr>
    </w:div>
    <w:div w:id="1114833805">
      <w:bodyDiv w:val="1"/>
      <w:marLeft w:val="0"/>
      <w:marRight w:val="0"/>
      <w:marTop w:val="0"/>
      <w:marBottom w:val="0"/>
      <w:divBdr>
        <w:top w:val="none" w:sz="0" w:space="0" w:color="auto"/>
        <w:left w:val="none" w:sz="0" w:space="0" w:color="auto"/>
        <w:bottom w:val="none" w:sz="0" w:space="0" w:color="auto"/>
        <w:right w:val="none" w:sz="0" w:space="0" w:color="auto"/>
      </w:divBdr>
    </w:div>
    <w:div w:id="1212034967">
      <w:bodyDiv w:val="1"/>
      <w:marLeft w:val="0"/>
      <w:marRight w:val="0"/>
      <w:marTop w:val="0"/>
      <w:marBottom w:val="0"/>
      <w:divBdr>
        <w:top w:val="none" w:sz="0" w:space="0" w:color="auto"/>
        <w:left w:val="none" w:sz="0" w:space="0" w:color="auto"/>
        <w:bottom w:val="none" w:sz="0" w:space="0" w:color="auto"/>
        <w:right w:val="none" w:sz="0" w:space="0" w:color="auto"/>
      </w:divBdr>
    </w:div>
    <w:div w:id="1225605138">
      <w:bodyDiv w:val="1"/>
      <w:marLeft w:val="0"/>
      <w:marRight w:val="0"/>
      <w:marTop w:val="0"/>
      <w:marBottom w:val="0"/>
      <w:divBdr>
        <w:top w:val="none" w:sz="0" w:space="0" w:color="auto"/>
        <w:left w:val="none" w:sz="0" w:space="0" w:color="auto"/>
        <w:bottom w:val="none" w:sz="0" w:space="0" w:color="auto"/>
        <w:right w:val="none" w:sz="0" w:space="0" w:color="auto"/>
      </w:divBdr>
    </w:div>
    <w:div w:id="1274092719">
      <w:bodyDiv w:val="1"/>
      <w:marLeft w:val="0"/>
      <w:marRight w:val="0"/>
      <w:marTop w:val="0"/>
      <w:marBottom w:val="0"/>
      <w:divBdr>
        <w:top w:val="none" w:sz="0" w:space="0" w:color="auto"/>
        <w:left w:val="none" w:sz="0" w:space="0" w:color="auto"/>
        <w:bottom w:val="none" w:sz="0" w:space="0" w:color="auto"/>
        <w:right w:val="none" w:sz="0" w:space="0" w:color="auto"/>
      </w:divBdr>
    </w:div>
    <w:div w:id="1285887466">
      <w:bodyDiv w:val="1"/>
      <w:marLeft w:val="0"/>
      <w:marRight w:val="0"/>
      <w:marTop w:val="0"/>
      <w:marBottom w:val="0"/>
      <w:divBdr>
        <w:top w:val="none" w:sz="0" w:space="0" w:color="auto"/>
        <w:left w:val="none" w:sz="0" w:space="0" w:color="auto"/>
        <w:bottom w:val="none" w:sz="0" w:space="0" w:color="auto"/>
        <w:right w:val="none" w:sz="0" w:space="0" w:color="auto"/>
      </w:divBdr>
    </w:div>
    <w:div w:id="1299871646">
      <w:bodyDiv w:val="1"/>
      <w:marLeft w:val="0"/>
      <w:marRight w:val="0"/>
      <w:marTop w:val="0"/>
      <w:marBottom w:val="0"/>
      <w:divBdr>
        <w:top w:val="none" w:sz="0" w:space="0" w:color="auto"/>
        <w:left w:val="none" w:sz="0" w:space="0" w:color="auto"/>
        <w:bottom w:val="none" w:sz="0" w:space="0" w:color="auto"/>
        <w:right w:val="none" w:sz="0" w:space="0" w:color="auto"/>
      </w:divBdr>
    </w:div>
    <w:div w:id="1360930951">
      <w:bodyDiv w:val="1"/>
      <w:marLeft w:val="0"/>
      <w:marRight w:val="0"/>
      <w:marTop w:val="0"/>
      <w:marBottom w:val="0"/>
      <w:divBdr>
        <w:top w:val="none" w:sz="0" w:space="0" w:color="auto"/>
        <w:left w:val="none" w:sz="0" w:space="0" w:color="auto"/>
        <w:bottom w:val="none" w:sz="0" w:space="0" w:color="auto"/>
        <w:right w:val="none" w:sz="0" w:space="0" w:color="auto"/>
      </w:divBdr>
    </w:div>
    <w:div w:id="1409578468">
      <w:bodyDiv w:val="1"/>
      <w:marLeft w:val="0"/>
      <w:marRight w:val="0"/>
      <w:marTop w:val="0"/>
      <w:marBottom w:val="0"/>
      <w:divBdr>
        <w:top w:val="none" w:sz="0" w:space="0" w:color="auto"/>
        <w:left w:val="none" w:sz="0" w:space="0" w:color="auto"/>
        <w:bottom w:val="none" w:sz="0" w:space="0" w:color="auto"/>
        <w:right w:val="none" w:sz="0" w:space="0" w:color="auto"/>
      </w:divBdr>
    </w:div>
    <w:div w:id="1453283267">
      <w:bodyDiv w:val="1"/>
      <w:marLeft w:val="0"/>
      <w:marRight w:val="0"/>
      <w:marTop w:val="0"/>
      <w:marBottom w:val="0"/>
      <w:divBdr>
        <w:top w:val="none" w:sz="0" w:space="0" w:color="auto"/>
        <w:left w:val="none" w:sz="0" w:space="0" w:color="auto"/>
        <w:bottom w:val="none" w:sz="0" w:space="0" w:color="auto"/>
        <w:right w:val="none" w:sz="0" w:space="0" w:color="auto"/>
      </w:divBdr>
    </w:div>
    <w:div w:id="1557743641">
      <w:bodyDiv w:val="1"/>
      <w:marLeft w:val="0"/>
      <w:marRight w:val="0"/>
      <w:marTop w:val="0"/>
      <w:marBottom w:val="0"/>
      <w:divBdr>
        <w:top w:val="none" w:sz="0" w:space="0" w:color="auto"/>
        <w:left w:val="none" w:sz="0" w:space="0" w:color="auto"/>
        <w:bottom w:val="none" w:sz="0" w:space="0" w:color="auto"/>
        <w:right w:val="none" w:sz="0" w:space="0" w:color="auto"/>
      </w:divBdr>
    </w:div>
    <w:div w:id="1651861983">
      <w:bodyDiv w:val="1"/>
      <w:marLeft w:val="0"/>
      <w:marRight w:val="0"/>
      <w:marTop w:val="0"/>
      <w:marBottom w:val="0"/>
      <w:divBdr>
        <w:top w:val="none" w:sz="0" w:space="0" w:color="auto"/>
        <w:left w:val="none" w:sz="0" w:space="0" w:color="auto"/>
        <w:bottom w:val="none" w:sz="0" w:space="0" w:color="auto"/>
        <w:right w:val="none" w:sz="0" w:space="0" w:color="auto"/>
      </w:divBdr>
    </w:div>
    <w:div w:id="1664045774">
      <w:bodyDiv w:val="1"/>
      <w:marLeft w:val="0"/>
      <w:marRight w:val="0"/>
      <w:marTop w:val="0"/>
      <w:marBottom w:val="0"/>
      <w:divBdr>
        <w:top w:val="none" w:sz="0" w:space="0" w:color="auto"/>
        <w:left w:val="none" w:sz="0" w:space="0" w:color="auto"/>
        <w:bottom w:val="none" w:sz="0" w:space="0" w:color="auto"/>
        <w:right w:val="none" w:sz="0" w:space="0" w:color="auto"/>
      </w:divBdr>
    </w:div>
    <w:div w:id="1693604179">
      <w:bodyDiv w:val="1"/>
      <w:marLeft w:val="0"/>
      <w:marRight w:val="0"/>
      <w:marTop w:val="0"/>
      <w:marBottom w:val="0"/>
      <w:divBdr>
        <w:top w:val="none" w:sz="0" w:space="0" w:color="auto"/>
        <w:left w:val="none" w:sz="0" w:space="0" w:color="auto"/>
        <w:bottom w:val="none" w:sz="0" w:space="0" w:color="auto"/>
        <w:right w:val="none" w:sz="0" w:space="0" w:color="auto"/>
      </w:divBdr>
    </w:div>
    <w:div w:id="1823816736">
      <w:bodyDiv w:val="1"/>
      <w:marLeft w:val="0"/>
      <w:marRight w:val="0"/>
      <w:marTop w:val="0"/>
      <w:marBottom w:val="0"/>
      <w:divBdr>
        <w:top w:val="none" w:sz="0" w:space="0" w:color="auto"/>
        <w:left w:val="none" w:sz="0" w:space="0" w:color="auto"/>
        <w:bottom w:val="none" w:sz="0" w:space="0" w:color="auto"/>
        <w:right w:val="none" w:sz="0" w:space="0" w:color="auto"/>
      </w:divBdr>
    </w:div>
    <w:div w:id="1848404117">
      <w:bodyDiv w:val="1"/>
      <w:marLeft w:val="0"/>
      <w:marRight w:val="0"/>
      <w:marTop w:val="0"/>
      <w:marBottom w:val="0"/>
      <w:divBdr>
        <w:top w:val="none" w:sz="0" w:space="0" w:color="auto"/>
        <w:left w:val="none" w:sz="0" w:space="0" w:color="auto"/>
        <w:bottom w:val="none" w:sz="0" w:space="0" w:color="auto"/>
        <w:right w:val="none" w:sz="0" w:space="0" w:color="auto"/>
      </w:divBdr>
    </w:div>
    <w:div w:id="1884629433">
      <w:bodyDiv w:val="1"/>
      <w:marLeft w:val="0"/>
      <w:marRight w:val="0"/>
      <w:marTop w:val="0"/>
      <w:marBottom w:val="0"/>
      <w:divBdr>
        <w:top w:val="none" w:sz="0" w:space="0" w:color="auto"/>
        <w:left w:val="none" w:sz="0" w:space="0" w:color="auto"/>
        <w:bottom w:val="none" w:sz="0" w:space="0" w:color="auto"/>
        <w:right w:val="none" w:sz="0" w:space="0" w:color="auto"/>
      </w:divBdr>
    </w:div>
    <w:div w:id="194421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image" Target="media/image4.png"/><Relationship Id="rId39" Type="http://schemas.microsoft.com/office/2011/relationships/commentsExtended" Target="commentsExtended.xml"/><Relationship Id="rId21" Type="http://schemas.openxmlformats.org/officeDocument/2006/relationships/footer" Target="footer4.xml"/><Relationship Id="rId34" Type="http://schemas.openxmlformats.org/officeDocument/2006/relationships/chart" Target="charts/chart3.xm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32" Type="http://schemas.openxmlformats.org/officeDocument/2006/relationships/image" Target="media/image6.png"/><Relationship Id="rId37" Type="http://schemas.openxmlformats.org/officeDocument/2006/relationships/chart" Target="charts/chart5.xml"/><Relationship Id="rId40" Type="http://schemas.openxmlformats.org/officeDocument/2006/relationships/hyperlink" Target="https://www.theglobalfund.org/media/4221/bm35_04-sustainabilitytransitionandcofinancing_policy_en.pdf" TargetMode="External"/><Relationship Id="rId45"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chart" Target="charts/chart1.xml"/><Relationship Id="rId36" Type="http://schemas.openxmlformats.org/officeDocument/2006/relationships/chart" Target="charts/chart4.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oter" Target="footer7.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theglobalfund.org/media/8598/fundingrequest_focusedportfolio_instructions_en.pdf" TargetMode="External"/><Relationship Id="rId22" Type="http://schemas.openxmlformats.org/officeDocument/2006/relationships/header" Target="header4.xml"/><Relationship Id="rId27" Type="http://schemas.openxmlformats.org/officeDocument/2006/relationships/image" Target="media/image5.png"/><Relationship Id="rId30" Type="http://schemas.openxmlformats.org/officeDocument/2006/relationships/header" Target="header6.xml"/><Relationship Id="rId35" Type="http://schemas.openxmlformats.org/officeDocument/2006/relationships/image" Target="media/image8.png"/><Relationship Id="rId43"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image" Target="media/image7.png"/><Relationship Id="rId38" Type="http://schemas.openxmlformats.org/officeDocument/2006/relationships/comments" Target="comments.xml"/><Relationship Id="rId46" Type="http://schemas.microsoft.com/office/2018/08/relationships/commentsExtensible" Target="commentsExtensible.xml"/><Relationship Id="rId20" Type="http://schemas.openxmlformats.org/officeDocument/2006/relationships/header" Target="header3.xml"/><Relationship Id="rId41" Type="http://schemas.openxmlformats.org/officeDocument/2006/relationships/hyperlink" Target="https://www.theglobalfund.org/media/8598/fundingrequest_focusedportfolio_instructions_en.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theglobalfund.org/media/8598/fundingrequest_focusedportfolio_instructions_en.pdf" TargetMode="External"/><Relationship Id="rId1" Type="http://schemas.openxmlformats.org/officeDocument/2006/relationships/hyperlink" Target="https://www.theglobalfund.org/media/5648/core_sustainabilityandtransition_guidancenote_en.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Lenovo\Documents\(a)%20Work\2023-2025_Global%20Fund\2022_12_GF-KGZ\2022_KG_dat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36108786409422"/>
          <c:y val="0.15165544575384451"/>
          <c:w val="0.76884715660405756"/>
          <c:h val="0.54618155318263573"/>
        </c:manualLayout>
      </c:layout>
      <c:barChart>
        <c:barDir val="col"/>
        <c:grouping val="stacked"/>
        <c:varyColors val="0"/>
        <c:ser>
          <c:idx val="0"/>
          <c:order val="0"/>
          <c:tx>
            <c:strRef>
              <c:f>Лист1!$B$1</c:f>
              <c:strCache>
                <c:ptCount val="1"/>
                <c:pt idx="0">
                  <c:v>половой(гетеросексуальный, гомосексуальный)</c:v>
                </c:pt>
              </c:strCache>
            </c:strRef>
          </c:tx>
          <c:spPr>
            <a:solidFill>
              <a:srgbClr val="DADADA"/>
            </a:solidFill>
            <a:ln>
              <a:noFill/>
            </a:ln>
            <a:effectLst/>
          </c:spPr>
          <c:invertIfNegative val="0"/>
          <c:dLbls>
            <c:spPr>
              <a:noFill/>
              <a:ln>
                <a:noFill/>
              </a:ln>
              <a:effectLst/>
            </c:spPr>
            <c:txPr>
              <a:bodyPr rot="-5400000" spcFirstLastPara="1" vertOverflow="ellipsis" wrap="square" anchor="ctr" anchorCtr="1"/>
              <a:lstStyle/>
              <a:p>
                <a:pPr>
                  <a:defRPr sz="800" b="1" i="0" u="none" strike="noStrike" kern="1200" baseline="0">
                    <a:solidFill>
                      <a:schemeClr val="tx1">
                        <a:lumMod val="95000"/>
                        <a:lumOff val="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2018</c:v>
                </c:pt>
                <c:pt idx="1">
                  <c:v>2019</c:v>
                </c:pt>
                <c:pt idx="2">
                  <c:v>2020</c:v>
                </c:pt>
                <c:pt idx="3">
                  <c:v>2021</c:v>
                </c:pt>
                <c:pt idx="4">
                  <c:v>2022</c:v>
                </c:pt>
              </c:numCache>
            </c:numRef>
          </c:cat>
          <c:val>
            <c:numRef>
              <c:f>Лист1!$B$2:$B$6</c:f>
              <c:numCache>
                <c:formatCode>0%</c:formatCode>
                <c:ptCount val="5"/>
                <c:pt idx="0">
                  <c:v>0.81041968162083933</c:v>
                </c:pt>
                <c:pt idx="1">
                  <c:v>0.85303030303030303</c:v>
                </c:pt>
                <c:pt idx="2">
                  <c:v>0.91263940520446096</c:v>
                </c:pt>
                <c:pt idx="3">
                  <c:v>0.95362318840579707</c:v>
                </c:pt>
                <c:pt idx="4">
                  <c:v>0.96</c:v>
                </c:pt>
              </c:numCache>
            </c:numRef>
          </c:val>
          <c:extLst>
            <c:ext xmlns:c16="http://schemas.microsoft.com/office/drawing/2014/chart" uri="{C3380CC4-5D6E-409C-BE32-E72D297353CC}">
              <c16:uniqueId val="{00000000-9BC8-8648-A5F2-66B1E1B09FDE}"/>
            </c:ext>
          </c:extLst>
        </c:ser>
        <c:ser>
          <c:idx val="1"/>
          <c:order val="1"/>
          <c:tx>
            <c:strRef>
              <c:f>Лист1!$C$1</c:f>
              <c:strCache>
                <c:ptCount val="1"/>
                <c:pt idx="0">
                  <c:v>инъекционный</c:v>
                </c:pt>
              </c:strCache>
            </c:strRef>
          </c:tx>
          <c:spPr>
            <a:solidFill>
              <a:schemeClr val="accent4">
                <a:lumMod val="60000"/>
                <a:lumOff val="40000"/>
              </a:schemeClr>
            </a:solidFill>
            <a:ln>
              <a:noFill/>
            </a:ln>
            <a:effectLst/>
          </c:spPr>
          <c:invertIfNegative val="0"/>
          <c:dLbls>
            <c:spPr>
              <a:noFill/>
              <a:ln>
                <a:noFill/>
              </a:ln>
              <a:effectLst/>
            </c:spPr>
            <c:txPr>
              <a:bodyPr rot="-5400000" spcFirstLastPara="1" vertOverflow="ellipsis" wrap="square" anchor="ctr" anchorCtr="1"/>
              <a:lstStyle/>
              <a:p>
                <a:pPr>
                  <a:defRPr sz="800" b="1" i="0" u="none" strike="noStrike" kern="1200" baseline="0">
                    <a:solidFill>
                      <a:schemeClr val="tx1">
                        <a:lumMod val="95000"/>
                        <a:lumOff val="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2018</c:v>
                </c:pt>
                <c:pt idx="1">
                  <c:v>2019</c:v>
                </c:pt>
                <c:pt idx="2">
                  <c:v>2020</c:v>
                </c:pt>
                <c:pt idx="3">
                  <c:v>2021</c:v>
                </c:pt>
                <c:pt idx="4">
                  <c:v>2022</c:v>
                </c:pt>
              </c:numCache>
            </c:numRef>
          </c:cat>
          <c:val>
            <c:numRef>
              <c:f>Лист1!$C$2:$C$6</c:f>
              <c:numCache>
                <c:formatCode>0%</c:formatCode>
                <c:ptCount val="5"/>
                <c:pt idx="0">
                  <c:v>0.18958031837916064</c:v>
                </c:pt>
                <c:pt idx="1">
                  <c:v>0.14696969696969697</c:v>
                </c:pt>
                <c:pt idx="2">
                  <c:v>8.7360594795539037E-2</c:v>
                </c:pt>
                <c:pt idx="3">
                  <c:v>4.6376811594202899E-2</c:v>
                </c:pt>
                <c:pt idx="4">
                  <c:v>0.04</c:v>
                </c:pt>
              </c:numCache>
            </c:numRef>
          </c:val>
          <c:extLst>
            <c:ext xmlns:c16="http://schemas.microsoft.com/office/drawing/2014/chart" uri="{C3380CC4-5D6E-409C-BE32-E72D297353CC}">
              <c16:uniqueId val="{00000001-9BC8-8648-A5F2-66B1E1B09FDE}"/>
            </c:ext>
          </c:extLst>
        </c:ser>
        <c:dLbls>
          <c:showLegendKey val="0"/>
          <c:showVal val="0"/>
          <c:showCatName val="0"/>
          <c:showSerName val="0"/>
          <c:showPercent val="0"/>
          <c:showBubbleSize val="0"/>
        </c:dLbls>
        <c:gapWidth val="150"/>
        <c:overlap val="100"/>
        <c:axId val="659616048"/>
        <c:axId val="659616440"/>
      </c:barChart>
      <c:catAx>
        <c:axId val="659616048"/>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1" i="0" u="none" strike="noStrike" kern="1200" baseline="0">
                <a:solidFill>
                  <a:schemeClr val="tx1">
                    <a:lumMod val="95000"/>
                    <a:lumOff val="5000"/>
                  </a:schemeClr>
                </a:solidFill>
                <a:latin typeface="+mn-lt"/>
                <a:ea typeface="+mn-ea"/>
                <a:cs typeface="+mn-cs"/>
              </a:defRPr>
            </a:pPr>
            <a:endParaRPr lang="ru-RU"/>
          </a:p>
        </c:txPr>
        <c:crossAx val="659616440"/>
        <c:crosses val="autoZero"/>
        <c:auto val="1"/>
        <c:lblAlgn val="ctr"/>
        <c:lblOffset val="100"/>
        <c:noMultiLvlLbl val="0"/>
      </c:catAx>
      <c:valAx>
        <c:axId val="659616440"/>
        <c:scaling>
          <c:orientation val="minMax"/>
        </c:scaling>
        <c:delete val="1"/>
        <c:axPos val="l"/>
        <c:numFmt formatCode="0%" sourceLinked="1"/>
        <c:majorTickMark val="none"/>
        <c:minorTickMark val="none"/>
        <c:tickLblPos val="nextTo"/>
        <c:crossAx val="6596160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95000"/>
                  <a:lumOff val="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800" b="1">
          <a:solidFill>
            <a:schemeClr val="tx1">
              <a:lumMod val="95000"/>
              <a:lumOff val="5000"/>
            </a:schemeClr>
          </a:solidFill>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873616341435582E-2"/>
          <c:y val="1.9446658775426871E-2"/>
          <c:w val="0.93797881243105485"/>
          <c:h val="0.74002424386739785"/>
        </c:manualLayout>
      </c:layout>
      <c:barChart>
        <c:barDir val="col"/>
        <c:grouping val="percentStacked"/>
        <c:varyColors val="0"/>
        <c:ser>
          <c:idx val="0"/>
          <c:order val="0"/>
          <c:tx>
            <c:strRef>
              <c:f>Лист1!$B$1</c:f>
              <c:strCache>
                <c:ptCount val="1"/>
                <c:pt idx="0">
                  <c:v>ЛУИН</c:v>
                </c:pt>
              </c:strCache>
            </c:strRef>
          </c:tx>
          <c:spPr>
            <a:solidFill>
              <a:schemeClr val="accent2">
                <a:lumMod val="75000"/>
              </a:schemeClr>
            </a:solidFill>
            <a:ln>
              <a:noFill/>
            </a:ln>
            <a:effectLst/>
          </c:spPr>
          <c:invertIfNegative val="0"/>
          <c:dLbls>
            <c:dLbl>
              <c:idx val="2"/>
              <c:tx>
                <c:rich>
                  <a:bodyPr/>
                  <a:lstStyle/>
                  <a:p>
                    <a:r>
                      <a:rPr lang="en-US" dirty="0"/>
                      <a:t>47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4E5-0D4E-B90F-F6F2D82A58F7}"/>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95000"/>
                        <a:lumOff val="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2018</c:v>
                </c:pt>
                <c:pt idx="1">
                  <c:v>2019</c:v>
                </c:pt>
                <c:pt idx="2">
                  <c:v>2020</c:v>
                </c:pt>
                <c:pt idx="3">
                  <c:v>2021</c:v>
                </c:pt>
                <c:pt idx="4">
                  <c:v>2022</c:v>
                </c:pt>
              </c:numCache>
            </c:numRef>
          </c:cat>
          <c:val>
            <c:numRef>
              <c:f>Лист1!$B$2:$B$6</c:f>
              <c:numCache>
                <c:formatCode>General</c:formatCode>
                <c:ptCount val="5"/>
                <c:pt idx="0">
                  <c:v>144</c:v>
                </c:pt>
                <c:pt idx="1">
                  <c:v>111</c:v>
                </c:pt>
                <c:pt idx="2">
                  <c:v>54</c:v>
                </c:pt>
                <c:pt idx="3">
                  <c:v>38</c:v>
                </c:pt>
                <c:pt idx="4">
                  <c:v>26</c:v>
                </c:pt>
              </c:numCache>
            </c:numRef>
          </c:val>
          <c:extLst>
            <c:ext xmlns:c16="http://schemas.microsoft.com/office/drawing/2014/chart" uri="{C3380CC4-5D6E-409C-BE32-E72D297353CC}">
              <c16:uniqueId val="{00000001-A4E5-0D4E-B90F-F6F2D82A58F7}"/>
            </c:ext>
          </c:extLst>
        </c:ser>
        <c:ser>
          <c:idx val="1"/>
          <c:order val="1"/>
          <c:tx>
            <c:strRef>
              <c:f>Лист1!$C$1</c:f>
              <c:strCache>
                <c:ptCount val="1"/>
                <c:pt idx="0">
                  <c:v>МСМ</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95000"/>
                        <a:lumOff val="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2018</c:v>
                </c:pt>
                <c:pt idx="1">
                  <c:v>2019</c:v>
                </c:pt>
                <c:pt idx="2">
                  <c:v>2020</c:v>
                </c:pt>
                <c:pt idx="3">
                  <c:v>2021</c:v>
                </c:pt>
                <c:pt idx="4">
                  <c:v>2022</c:v>
                </c:pt>
              </c:numCache>
            </c:numRef>
          </c:cat>
          <c:val>
            <c:numRef>
              <c:f>Лист1!$C$2:$C$6</c:f>
              <c:numCache>
                <c:formatCode>General</c:formatCode>
                <c:ptCount val="5"/>
                <c:pt idx="0">
                  <c:v>45</c:v>
                </c:pt>
                <c:pt idx="1">
                  <c:v>37</c:v>
                </c:pt>
                <c:pt idx="2">
                  <c:v>44</c:v>
                </c:pt>
                <c:pt idx="3">
                  <c:v>92</c:v>
                </c:pt>
                <c:pt idx="4">
                  <c:v>95</c:v>
                </c:pt>
              </c:numCache>
            </c:numRef>
          </c:val>
          <c:extLst>
            <c:ext xmlns:c16="http://schemas.microsoft.com/office/drawing/2014/chart" uri="{C3380CC4-5D6E-409C-BE32-E72D297353CC}">
              <c16:uniqueId val="{00000002-A4E5-0D4E-B90F-F6F2D82A58F7}"/>
            </c:ext>
          </c:extLst>
        </c:ser>
        <c:ser>
          <c:idx val="2"/>
          <c:order val="2"/>
          <c:tx>
            <c:strRef>
              <c:f>Лист1!$D$1</c:f>
              <c:strCache>
                <c:ptCount val="1"/>
                <c:pt idx="0">
                  <c:v>СР</c:v>
                </c:pt>
              </c:strCache>
            </c:strRef>
          </c:tx>
          <c:spPr>
            <a:solidFill>
              <a:schemeClr val="accent6"/>
            </a:solidFill>
            <a:ln>
              <a:noFill/>
            </a:ln>
            <a:effectLst/>
          </c:spPr>
          <c:invertIfNegative val="0"/>
          <c:dLbls>
            <c:dLbl>
              <c:idx val="0"/>
              <c:layout>
                <c:manualLayout>
                  <c:x val="-1.2077294685990338E-3"/>
                  <c:y val="-7.024715104935139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4E5-0D4E-B90F-F6F2D82A58F7}"/>
                </c:ext>
              </c:extLst>
            </c:dLbl>
            <c:dLbl>
              <c:idx val="1"/>
              <c:layout>
                <c:manualLayout>
                  <c:x val="-1.2077294685990338E-3"/>
                  <c:y val="-5.853929254112615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4E5-0D4E-B90F-F6F2D82A58F7}"/>
                </c:ext>
              </c:extLst>
            </c:dLbl>
            <c:dLbl>
              <c:idx val="2"/>
              <c:layout>
                <c:manualLayout>
                  <c:x val="3.6231884057971015E-3"/>
                  <c:y val="-5.268536328701354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4E5-0D4E-B90F-F6F2D82A58F7}"/>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95000"/>
                        <a:lumOff val="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2018</c:v>
                </c:pt>
                <c:pt idx="1">
                  <c:v>2019</c:v>
                </c:pt>
                <c:pt idx="2">
                  <c:v>2020</c:v>
                </c:pt>
                <c:pt idx="3">
                  <c:v>2021</c:v>
                </c:pt>
                <c:pt idx="4">
                  <c:v>2022</c:v>
                </c:pt>
              </c:numCache>
            </c:numRef>
          </c:cat>
          <c:val>
            <c:numRef>
              <c:f>Лист1!$D$2:$D$6</c:f>
              <c:numCache>
                <c:formatCode>General</c:formatCode>
                <c:ptCount val="5"/>
                <c:pt idx="0">
                  <c:v>12</c:v>
                </c:pt>
                <c:pt idx="1">
                  <c:v>10</c:v>
                </c:pt>
                <c:pt idx="2">
                  <c:v>10</c:v>
                </c:pt>
                <c:pt idx="3">
                  <c:v>23</c:v>
                </c:pt>
                <c:pt idx="4">
                  <c:v>20</c:v>
                </c:pt>
              </c:numCache>
            </c:numRef>
          </c:val>
          <c:extLst>
            <c:ext xmlns:c16="http://schemas.microsoft.com/office/drawing/2014/chart" uri="{C3380CC4-5D6E-409C-BE32-E72D297353CC}">
              <c16:uniqueId val="{00000006-A4E5-0D4E-B90F-F6F2D82A58F7}"/>
            </c:ext>
          </c:extLst>
        </c:ser>
        <c:ser>
          <c:idx val="3"/>
          <c:order val="3"/>
          <c:tx>
            <c:strRef>
              <c:f>Лист1!$E$1</c:f>
              <c:strCache>
                <c:ptCount val="1"/>
                <c:pt idx="0">
                  <c:v>Общее население</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95000"/>
                        <a:lumOff val="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2018</c:v>
                </c:pt>
                <c:pt idx="1">
                  <c:v>2019</c:v>
                </c:pt>
                <c:pt idx="2">
                  <c:v>2020</c:v>
                </c:pt>
                <c:pt idx="3">
                  <c:v>2021</c:v>
                </c:pt>
                <c:pt idx="4">
                  <c:v>2022</c:v>
                </c:pt>
              </c:numCache>
            </c:numRef>
          </c:cat>
          <c:val>
            <c:numRef>
              <c:f>Лист1!$E$2:$E$6</c:f>
              <c:numCache>
                <c:formatCode>General</c:formatCode>
                <c:ptCount val="5"/>
                <c:pt idx="0">
                  <c:v>668</c:v>
                </c:pt>
                <c:pt idx="1">
                  <c:v>687</c:v>
                </c:pt>
                <c:pt idx="2">
                  <c:v>557</c:v>
                </c:pt>
                <c:pt idx="3">
                  <c:v>690</c:v>
                </c:pt>
                <c:pt idx="4">
                  <c:v>957</c:v>
                </c:pt>
              </c:numCache>
            </c:numRef>
          </c:val>
          <c:extLst>
            <c:ext xmlns:c16="http://schemas.microsoft.com/office/drawing/2014/chart" uri="{C3380CC4-5D6E-409C-BE32-E72D297353CC}">
              <c16:uniqueId val="{00000007-A4E5-0D4E-B90F-F6F2D82A58F7}"/>
            </c:ext>
          </c:extLst>
        </c:ser>
        <c:dLbls>
          <c:showLegendKey val="0"/>
          <c:showVal val="0"/>
          <c:showCatName val="0"/>
          <c:showSerName val="0"/>
          <c:showPercent val="0"/>
          <c:showBubbleSize val="0"/>
        </c:dLbls>
        <c:gapWidth val="90"/>
        <c:overlap val="100"/>
        <c:axId val="659617224"/>
        <c:axId val="659519080"/>
      </c:barChart>
      <c:catAx>
        <c:axId val="659617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95000"/>
                    <a:lumOff val="5000"/>
                  </a:schemeClr>
                </a:solidFill>
                <a:latin typeface="+mn-lt"/>
                <a:ea typeface="+mn-ea"/>
                <a:cs typeface="+mn-cs"/>
              </a:defRPr>
            </a:pPr>
            <a:endParaRPr lang="ru-RU"/>
          </a:p>
        </c:txPr>
        <c:crossAx val="659519080"/>
        <c:crosses val="autoZero"/>
        <c:auto val="1"/>
        <c:lblAlgn val="ctr"/>
        <c:lblOffset val="100"/>
        <c:noMultiLvlLbl val="0"/>
      </c:catAx>
      <c:valAx>
        <c:axId val="65951908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95000"/>
                    <a:lumOff val="5000"/>
                  </a:schemeClr>
                </a:solidFill>
                <a:latin typeface="+mn-lt"/>
                <a:ea typeface="+mn-ea"/>
                <a:cs typeface="+mn-cs"/>
              </a:defRPr>
            </a:pPr>
            <a:endParaRPr lang="ru-RU"/>
          </a:p>
        </c:txPr>
        <c:crossAx val="659617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95000"/>
                  <a:lumOff val="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chemeClr val="tx1">
              <a:lumMod val="95000"/>
              <a:lumOff val="5000"/>
            </a:schemeClr>
          </a:solidFill>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333794350763338E-2"/>
          <c:y val="0.22788932214899715"/>
          <c:w val="0.95355471035693384"/>
          <c:h val="0.67468572372641511"/>
        </c:manualLayout>
      </c:layout>
      <c:barChart>
        <c:barDir val="col"/>
        <c:grouping val="clustered"/>
        <c:varyColors val="0"/>
        <c:ser>
          <c:idx val="0"/>
          <c:order val="0"/>
          <c:tx>
            <c:strRef>
              <c:f>Лист1!$F$5</c:f>
              <c:strCache>
                <c:ptCount val="1"/>
                <c:pt idx="0">
                  <c:v>К-во ЛУИН </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95000"/>
                        <a:lumOff val="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FF0000"/>
                </a:solidFill>
                <a:prstDash val="sysDot"/>
              </a:ln>
              <a:effectLst/>
            </c:spPr>
            <c:trendlineType val="linear"/>
            <c:dispRSqr val="0"/>
            <c:dispEq val="0"/>
          </c:trendline>
          <c:cat>
            <c:numRef>
              <c:f>Лист1!$E$6:$E$10</c:f>
              <c:numCache>
                <c:formatCode>General</c:formatCode>
                <c:ptCount val="5"/>
                <c:pt idx="0">
                  <c:v>2017</c:v>
                </c:pt>
                <c:pt idx="1">
                  <c:v>2018</c:v>
                </c:pt>
                <c:pt idx="2">
                  <c:v>2019</c:v>
                </c:pt>
                <c:pt idx="3">
                  <c:v>2020</c:v>
                </c:pt>
                <c:pt idx="4">
                  <c:v>2021</c:v>
                </c:pt>
              </c:numCache>
            </c:numRef>
          </c:cat>
          <c:val>
            <c:numRef>
              <c:f>Лист1!$F$6:$F$10</c:f>
              <c:numCache>
                <c:formatCode>General</c:formatCode>
                <c:ptCount val="5"/>
                <c:pt idx="0">
                  <c:v>5383</c:v>
                </c:pt>
                <c:pt idx="1">
                  <c:v>5380</c:v>
                </c:pt>
                <c:pt idx="2">
                  <c:v>5265</c:v>
                </c:pt>
                <c:pt idx="3">
                  <c:v>5113</c:v>
                </c:pt>
                <c:pt idx="4">
                  <c:v>5024</c:v>
                </c:pt>
              </c:numCache>
            </c:numRef>
          </c:val>
          <c:extLst>
            <c:ext xmlns:c16="http://schemas.microsoft.com/office/drawing/2014/chart" uri="{C3380CC4-5D6E-409C-BE32-E72D297353CC}">
              <c16:uniqueId val="{00000001-04C9-8847-9AF9-B070F1F15953}"/>
            </c:ext>
          </c:extLst>
        </c:ser>
        <c:dLbls>
          <c:showLegendKey val="0"/>
          <c:showVal val="0"/>
          <c:showCatName val="0"/>
          <c:showSerName val="0"/>
          <c:showPercent val="0"/>
          <c:showBubbleSize val="0"/>
        </c:dLbls>
        <c:gapWidth val="219"/>
        <c:overlap val="-27"/>
        <c:axId val="659519864"/>
        <c:axId val="659520256"/>
      </c:barChart>
      <c:catAx>
        <c:axId val="6595198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95000"/>
                    <a:lumOff val="5000"/>
                  </a:schemeClr>
                </a:solidFill>
                <a:latin typeface="+mn-lt"/>
                <a:ea typeface="+mn-ea"/>
                <a:cs typeface="+mn-cs"/>
              </a:defRPr>
            </a:pPr>
            <a:endParaRPr lang="ru-RU"/>
          </a:p>
        </c:txPr>
        <c:crossAx val="659520256"/>
        <c:crosses val="autoZero"/>
        <c:auto val="1"/>
        <c:lblAlgn val="ctr"/>
        <c:lblOffset val="100"/>
        <c:noMultiLvlLbl val="0"/>
      </c:catAx>
      <c:valAx>
        <c:axId val="659520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lumMod val="95000"/>
                    <a:lumOff val="5000"/>
                  </a:schemeClr>
                </a:solidFill>
                <a:latin typeface="+mn-lt"/>
                <a:ea typeface="+mn-ea"/>
                <a:cs typeface="+mn-cs"/>
              </a:defRPr>
            </a:pPr>
            <a:endParaRPr lang="ru-RU"/>
          </a:p>
        </c:txPr>
        <c:crossAx val="659519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b="1">
          <a:solidFill>
            <a:schemeClr val="tx1">
              <a:lumMod val="95000"/>
              <a:lumOff val="5000"/>
            </a:schemeClr>
          </a:solidFill>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Regions!$F$50</c:f>
              <c:strCache>
                <c:ptCount val="1"/>
                <c:pt idx="0">
                  <c:v>2019</c:v>
                </c:pt>
              </c:strCache>
            </c:strRef>
          </c:tx>
          <c:spPr>
            <a:solidFill>
              <a:schemeClr val="accent1"/>
            </a:solidFill>
            <a:ln>
              <a:noFill/>
            </a:ln>
            <a:effectLst/>
          </c:spPr>
          <c:invertIfNegative val="0"/>
          <c:cat>
            <c:strRef>
              <c:f>Regions!$A$51:$A$59</c:f>
              <c:strCache>
                <c:ptCount val="9"/>
                <c:pt idx="0">
                  <c:v>RTBC, Bishkek</c:v>
                </c:pt>
                <c:pt idx="1">
                  <c:v>Chuy region</c:v>
                </c:pt>
                <c:pt idx="2">
                  <c:v>Naryn region </c:v>
                </c:pt>
                <c:pt idx="3">
                  <c:v>Talas region</c:v>
                </c:pt>
                <c:pt idx="4">
                  <c:v>Ysykkul region</c:v>
                </c:pt>
                <c:pt idx="5">
                  <c:v>Osh region</c:v>
                </c:pt>
                <c:pt idx="6">
                  <c:v>Djalal-abad region</c:v>
                </c:pt>
                <c:pt idx="7">
                  <c:v>Batken region</c:v>
                </c:pt>
                <c:pt idx="8">
                  <c:v>Penitentiary system</c:v>
                </c:pt>
              </c:strCache>
            </c:strRef>
          </c:cat>
          <c:val>
            <c:numRef>
              <c:f>Regions!$F$51:$F$59</c:f>
              <c:numCache>
                <c:formatCode>#,##0</c:formatCode>
                <c:ptCount val="9"/>
                <c:pt idx="0">
                  <c:v>1962</c:v>
                </c:pt>
                <c:pt idx="1">
                  <c:v>3642</c:v>
                </c:pt>
                <c:pt idx="2">
                  <c:v>1019</c:v>
                </c:pt>
                <c:pt idx="3" formatCode="General">
                  <c:v>450</c:v>
                </c:pt>
                <c:pt idx="4">
                  <c:v>1351</c:v>
                </c:pt>
                <c:pt idx="5">
                  <c:v>4518</c:v>
                </c:pt>
                <c:pt idx="6">
                  <c:v>3701</c:v>
                </c:pt>
                <c:pt idx="7">
                  <c:v>1305</c:v>
                </c:pt>
                <c:pt idx="8" formatCode="General">
                  <c:v>0</c:v>
                </c:pt>
              </c:numCache>
            </c:numRef>
          </c:val>
          <c:extLst>
            <c:ext xmlns:c16="http://schemas.microsoft.com/office/drawing/2014/chart" uri="{C3380CC4-5D6E-409C-BE32-E72D297353CC}">
              <c16:uniqueId val="{00000000-EDEE-4DCF-869F-2C4777D0D38C}"/>
            </c:ext>
          </c:extLst>
        </c:ser>
        <c:ser>
          <c:idx val="1"/>
          <c:order val="1"/>
          <c:tx>
            <c:strRef>
              <c:f>Regions!$G$50</c:f>
              <c:strCache>
                <c:ptCount val="1"/>
                <c:pt idx="0">
                  <c:v>2020</c:v>
                </c:pt>
              </c:strCache>
            </c:strRef>
          </c:tx>
          <c:spPr>
            <a:solidFill>
              <a:schemeClr val="accent2"/>
            </a:solidFill>
            <a:ln>
              <a:noFill/>
            </a:ln>
            <a:effectLst/>
          </c:spPr>
          <c:invertIfNegative val="0"/>
          <c:cat>
            <c:strRef>
              <c:f>Regions!$A$51:$A$59</c:f>
              <c:strCache>
                <c:ptCount val="9"/>
                <c:pt idx="0">
                  <c:v>RTBC, Bishkek</c:v>
                </c:pt>
                <c:pt idx="1">
                  <c:v>Chuy region</c:v>
                </c:pt>
                <c:pt idx="2">
                  <c:v>Naryn region </c:v>
                </c:pt>
                <c:pt idx="3">
                  <c:v>Talas region</c:v>
                </c:pt>
                <c:pt idx="4">
                  <c:v>Ysykkul region</c:v>
                </c:pt>
                <c:pt idx="5">
                  <c:v>Osh region</c:v>
                </c:pt>
                <c:pt idx="6">
                  <c:v>Djalal-abad region</c:v>
                </c:pt>
                <c:pt idx="7">
                  <c:v>Batken region</c:v>
                </c:pt>
                <c:pt idx="8">
                  <c:v>Penitentiary system</c:v>
                </c:pt>
              </c:strCache>
            </c:strRef>
          </c:cat>
          <c:val>
            <c:numRef>
              <c:f>Regions!$G$51:$G$59</c:f>
              <c:numCache>
                <c:formatCode>#,##0</c:formatCode>
                <c:ptCount val="9"/>
                <c:pt idx="0">
                  <c:v>1365</c:v>
                </c:pt>
                <c:pt idx="1">
                  <c:v>2828</c:v>
                </c:pt>
                <c:pt idx="2" formatCode="General">
                  <c:v>974</c:v>
                </c:pt>
                <c:pt idx="3" formatCode="General">
                  <c:v>600</c:v>
                </c:pt>
                <c:pt idx="4">
                  <c:v>1250</c:v>
                </c:pt>
                <c:pt idx="5">
                  <c:v>3445</c:v>
                </c:pt>
                <c:pt idx="6">
                  <c:v>3003</c:v>
                </c:pt>
                <c:pt idx="7">
                  <c:v>1073</c:v>
                </c:pt>
                <c:pt idx="8">
                  <c:v>1440</c:v>
                </c:pt>
              </c:numCache>
            </c:numRef>
          </c:val>
          <c:extLst>
            <c:ext xmlns:c16="http://schemas.microsoft.com/office/drawing/2014/chart" uri="{C3380CC4-5D6E-409C-BE32-E72D297353CC}">
              <c16:uniqueId val="{00000001-EDEE-4DCF-869F-2C4777D0D38C}"/>
            </c:ext>
          </c:extLst>
        </c:ser>
        <c:ser>
          <c:idx val="2"/>
          <c:order val="2"/>
          <c:tx>
            <c:strRef>
              <c:f>Regions!$H$50</c:f>
              <c:strCache>
                <c:ptCount val="1"/>
                <c:pt idx="0">
                  <c:v>2021</c:v>
                </c:pt>
              </c:strCache>
            </c:strRef>
          </c:tx>
          <c:spPr>
            <a:solidFill>
              <a:schemeClr val="accent3"/>
            </a:solidFill>
            <a:ln>
              <a:noFill/>
            </a:ln>
            <a:effectLst/>
          </c:spPr>
          <c:invertIfNegative val="0"/>
          <c:cat>
            <c:strRef>
              <c:f>Regions!$A$51:$A$59</c:f>
              <c:strCache>
                <c:ptCount val="9"/>
                <c:pt idx="0">
                  <c:v>RTBC, Bishkek</c:v>
                </c:pt>
                <c:pt idx="1">
                  <c:v>Chuy region</c:v>
                </c:pt>
                <c:pt idx="2">
                  <c:v>Naryn region </c:v>
                </c:pt>
                <c:pt idx="3">
                  <c:v>Talas region</c:v>
                </c:pt>
                <c:pt idx="4">
                  <c:v>Ysykkul region</c:v>
                </c:pt>
                <c:pt idx="5">
                  <c:v>Osh region</c:v>
                </c:pt>
                <c:pt idx="6">
                  <c:v>Djalal-abad region</c:v>
                </c:pt>
                <c:pt idx="7">
                  <c:v>Batken region</c:v>
                </c:pt>
                <c:pt idx="8">
                  <c:v>Penitentiary system</c:v>
                </c:pt>
              </c:strCache>
            </c:strRef>
          </c:cat>
          <c:val>
            <c:numRef>
              <c:f>Regions!$H$51:$H$59</c:f>
              <c:numCache>
                <c:formatCode>#,##0</c:formatCode>
                <c:ptCount val="9"/>
                <c:pt idx="0" formatCode="General">
                  <c:v>931</c:v>
                </c:pt>
                <c:pt idx="1">
                  <c:v>3034</c:v>
                </c:pt>
                <c:pt idx="2" formatCode="General">
                  <c:v>449</c:v>
                </c:pt>
                <c:pt idx="3" formatCode="General">
                  <c:v>596</c:v>
                </c:pt>
                <c:pt idx="4">
                  <c:v>1355</c:v>
                </c:pt>
                <c:pt idx="5">
                  <c:v>3316</c:v>
                </c:pt>
                <c:pt idx="6">
                  <c:v>1821</c:v>
                </c:pt>
                <c:pt idx="7" formatCode="General">
                  <c:v>523</c:v>
                </c:pt>
                <c:pt idx="8">
                  <c:v>1382</c:v>
                </c:pt>
              </c:numCache>
            </c:numRef>
          </c:val>
          <c:extLst>
            <c:ext xmlns:c16="http://schemas.microsoft.com/office/drawing/2014/chart" uri="{C3380CC4-5D6E-409C-BE32-E72D297353CC}">
              <c16:uniqueId val="{00000002-EDEE-4DCF-869F-2C4777D0D38C}"/>
            </c:ext>
          </c:extLst>
        </c:ser>
        <c:dLbls>
          <c:showLegendKey val="0"/>
          <c:showVal val="0"/>
          <c:showCatName val="0"/>
          <c:showSerName val="0"/>
          <c:showPercent val="0"/>
          <c:showBubbleSize val="0"/>
        </c:dLbls>
        <c:gapWidth val="219"/>
        <c:overlap val="-27"/>
        <c:axId val="704260784"/>
        <c:axId val="704255792"/>
      </c:barChart>
      <c:catAx>
        <c:axId val="704260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704255792"/>
        <c:crosses val="autoZero"/>
        <c:auto val="1"/>
        <c:lblAlgn val="ctr"/>
        <c:lblOffset val="100"/>
        <c:noMultiLvlLbl val="0"/>
      </c:catAx>
      <c:valAx>
        <c:axId val="70425579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04260784"/>
        <c:crosses val="autoZero"/>
        <c:crossBetween val="between"/>
        <c:majorUnit val="1000"/>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2021</c:v>
                </c:pt>
              </c:strCache>
            </c:strRef>
          </c:tx>
          <c:spPr>
            <a:solidFill>
              <a:schemeClr val="accent1"/>
            </a:solidFill>
            <a:ln>
              <a:noFill/>
            </a:ln>
            <a:effectLst/>
          </c:spPr>
          <c:invertIfNegative val="0"/>
          <c:dPt>
            <c:idx val="5"/>
            <c:invertIfNegative val="0"/>
            <c:bubble3D val="0"/>
            <c:spPr>
              <a:solidFill>
                <a:srgbClr val="FFC000"/>
              </a:solidFill>
              <a:ln>
                <a:noFill/>
              </a:ln>
              <a:effectLst/>
            </c:spPr>
            <c:extLst>
              <c:ext xmlns:c16="http://schemas.microsoft.com/office/drawing/2014/chart" uri="{C3380CC4-5D6E-409C-BE32-E72D297353CC}">
                <c16:uniqueId val="{00000001-08DB-4AA6-96D1-D2CF50E9116A}"/>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Лист1!$A$2:$A$12</c:f>
              <c:strCache>
                <c:ptCount val="11"/>
                <c:pt idx="0">
                  <c:v>Osh city</c:v>
                </c:pt>
                <c:pt idx="1">
                  <c:v>Bishkek</c:v>
                </c:pt>
                <c:pt idx="2">
                  <c:v>Ysykkul</c:v>
                </c:pt>
                <c:pt idx="3">
                  <c:v>Chui</c:v>
                </c:pt>
                <c:pt idx="4">
                  <c:v>Prisons</c:v>
                </c:pt>
                <c:pt idx="5">
                  <c:v>Country</c:v>
                </c:pt>
                <c:pt idx="6">
                  <c:v>Naryn</c:v>
                </c:pt>
                <c:pt idx="7">
                  <c:v>Djalal-abad</c:v>
                </c:pt>
                <c:pt idx="8">
                  <c:v>Talas</c:v>
                </c:pt>
                <c:pt idx="9">
                  <c:v>Batken</c:v>
                </c:pt>
                <c:pt idx="10">
                  <c:v>Osh region</c:v>
                </c:pt>
              </c:strCache>
            </c:strRef>
          </c:cat>
          <c:val>
            <c:numRef>
              <c:f>Лист1!$B$2:$B$12</c:f>
              <c:numCache>
                <c:formatCode>0%</c:formatCode>
                <c:ptCount val="11"/>
                <c:pt idx="0">
                  <c:v>0.79</c:v>
                </c:pt>
                <c:pt idx="1">
                  <c:v>0.76</c:v>
                </c:pt>
                <c:pt idx="2">
                  <c:v>0.75</c:v>
                </c:pt>
                <c:pt idx="3">
                  <c:v>0.72</c:v>
                </c:pt>
                <c:pt idx="4">
                  <c:v>0.67</c:v>
                </c:pt>
                <c:pt idx="5">
                  <c:v>0.67</c:v>
                </c:pt>
                <c:pt idx="6">
                  <c:v>0.64</c:v>
                </c:pt>
                <c:pt idx="7">
                  <c:v>0.64</c:v>
                </c:pt>
                <c:pt idx="8">
                  <c:v>0.63</c:v>
                </c:pt>
                <c:pt idx="9">
                  <c:v>0.62</c:v>
                </c:pt>
                <c:pt idx="10">
                  <c:v>0.56000000000000005</c:v>
                </c:pt>
              </c:numCache>
            </c:numRef>
          </c:val>
          <c:extLst>
            <c:ext xmlns:c16="http://schemas.microsoft.com/office/drawing/2014/chart" uri="{C3380CC4-5D6E-409C-BE32-E72D297353CC}">
              <c16:uniqueId val="{00000002-08DB-4AA6-96D1-D2CF50E9116A}"/>
            </c:ext>
          </c:extLst>
        </c:ser>
        <c:dLbls>
          <c:showLegendKey val="0"/>
          <c:showVal val="0"/>
          <c:showCatName val="0"/>
          <c:showSerName val="0"/>
          <c:showPercent val="0"/>
          <c:showBubbleSize val="0"/>
        </c:dLbls>
        <c:gapWidth val="219"/>
        <c:overlap val="-27"/>
        <c:axId val="550657263"/>
        <c:axId val="550646447"/>
      </c:barChart>
      <c:catAx>
        <c:axId val="550657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ru-RU"/>
          </a:p>
        </c:txPr>
        <c:crossAx val="550646447"/>
        <c:crosses val="autoZero"/>
        <c:auto val="1"/>
        <c:lblAlgn val="ctr"/>
        <c:lblOffset val="100"/>
        <c:noMultiLvlLbl val="0"/>
      </c:catAx>
      <c:valAx>
        <c:axId val="550646447"/>
        <c:scaling>
          <c:orientation val="minMax"/>
          <c:max val="1"/>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550657263"/>
        <c:crosses val="autoZero"/>
        <c:crossBetween val="between"/>
        <c:majorUnit val="0.2"/>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ysClr val="windowText" lastClr="000000"/>
          </a:solidFill>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_TGF">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TGF">
      <a:majorFont>
        <a:latin typeface="Arial Black"/>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Note xmlns="2219519e-2df8-4e68-9bc8-47ece53c639c" xsi:nil="true"/>
    <_dlc_DocId xmlns="a03ac030-8fc0-429e-a59d-aec15056182b">3NAZ7T4E3CZ3-539361286-28624</_dlc_DocId>
    <_dlc_DocIdUrl xmlns="a03ac030-8fc0-429e-a59d-aec15056182b">
      <Url>https://tgf.sharepoint.com/sites/TSA2F1/A2FD/_layouts/15/DocIdRedir.aspx?ID=3NAZ7T4E3CZ3-539361286-28624</Url>
      <Description>3NAZ7T4E3CZ3-539361286-28624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mplafyTemplateConfiguration><![CDATA[{"elementsMetadata":[{"type":"pictureContentControl","id":"49598a8a-1609-4e0f-877c-71289e796f97","elementConfiguration":{"inheritDimensions":"inheritHeight","binding":"Form.DocLang.Logo_stacked_black","removeAndKeepContent":false,"disableUpdates":false,"type":"image"}},{"type":"pictureContentControl","id":"aa521240-03a2-4021-b98d-f2768856db37","elementConfiguration":{"inheritDimensions":"inheritHeight","binding":"Form.DocLang.Logo_horizontal","removeAndKeepContent":false,"disableUpdates":false,"type":"image"}}],"transformationConfigurations":[],"isBaseTemplate":false,"templateName":"Funding Request","templateDescription":"","enableDocumentContentUpdater":false,"version":"1.10"}]]></TemplafyTemplateConfiguration>
</file>

<file path=customXml/item4.xml><?xml version="1.0" encoding="utf-8"?>
<TemplafyFormConfiguration><![CDATA[{"formFields":[{"dataSource":"Languages","displayColumn":"language","defaultValue":"{{UserProfile.DocumentLanguage.Id}}","hideIfNoUserInteractionRequired":false,"distinct":true,"required":true,"autoSelectFirstOption":false,"helpTexts":{"prefix":"","postfix":""},"spacing":{},"type":"dropDown","name":"DocLang","label":"Document Language","fullyQualifiedName":"DocLang"}],"formDataEntries":[{"name":"DocLang","value":"Yq4f8ikL1FlYGwH8CgaazA=="}]}]]></TemplafyFormConfigura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Working Document" ma:contentTypeID="0x010100DB1926E75FE6D448A94BA4FC7E9CAC0400EB82F3FDC0493647B521A7A424B5B012" ma:contentTypeVersion="8" ma:contentTypeDescription=" Working Document (0 years retention period)" ma:contentTypeScope="" ma:versionID="2e9cd3450a7698f9077782a12829d500">
  <xsd:schema xmlns:xsd="http://www.w3.org/2001/XMLSchema" xmlns:xs="http://www.w3.org/2001/XMLSchema" xmlns:p="http://schemas.microsoft.com/office/2006/metadata/properties" xmlns:ns2="a03ac030-8fc0-429e-a59d-aec15056182b" xmlns:ns3="http://schemas.microsoft.com/sharepoint/v4" xmlns:ns4="2219519e-2df8-4e68-9bc8-47ece53c639c" targetNamespace="http://schemas.microsoft.com/office/2006/metadata/properties" ma:root="true" ma:fieldsID="32a84c95add331215c70071da39b10c5" ns2:_="" ns3:_="" ns4:_="">
    <xsd:import namespace="a03ac030-8fc0-429e-a59d-aec15056182b"/>
    <xsd:import namespace="http://schemas.microsoft.com/sharepoint/v4"/>
    <xsd:import namespace="2219519e-2df8-4e68-9bc8-47ece53c639c"/>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4:MediaServiceMetadata" minOccurs="0"/>
                <xsd:element ref="ns4:MediaServiceFastMetadata" minOccurs="0"/>
                <xsd:element ref="ns4:MediaServiceAutoKeyPoints" minOccurs="0"/>
                <xsd:element ref="ns4:MediaServiceKeyPoints" minOccurs="0"/>
                <xsd:element ref="ns4: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ac030-8fc0-429e-a59d-aec15056182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19519e-2df8-4e68-9bc8-47ece53c639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Note" ma:index="16" nillable="true" ma:displayName="Note" ma:format="Dropdown" ma:internalName="No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0B8E3-0482-476B-B3BD-651EB88134D0}">
  <ds:schemaRefs>
    <ds:schemaRef ds:uri="http://www.w3.org/XML/1998/namespace"/>
    <ds:schemaRef ds:uri="http://purl.org/dc/elements/1.1/"/>
    <ds:schemaRef ds:uri="http://schemas.microsoft.com/office/2006/documentManagement/types"/>
    <ds:schemaRef ds:uri="http://purl.org/dc/dcmitype/"/>
    <ds:schemaRef ds:uri="http://schemas.microsoft.com/sharepoint/v4"/>
    <ds:schemaRef ds:uri="http://schemas.microsoft.com/office/infopath/2007/PartnerControls"/>
    <ds:schemaRef ds:uri="2219519e-2df8-4e68-9bc8-47ece53c639c"/>
    <ds:schemaRef ds:uri="http://purl.org/dc/terms/"/>
    <ds:schemaRef ds:uri="http://schemas.openxmlformats.org/package/2006/metadata/core-properties"/>
    <ds:schemaRef ds:uri="a03ac030-8fc0-429e-a59d-aec15056182b"/>
    <ds:schemaRef ds:uri="http://schemas.microsoft.com/office/2006/metadata/properties"/>
  </ds:schemaRefs>
</ds:datastoreItem>
</file>

<file path=customXml/itemProps2.xml><?xml version="1.0" encoding="utf-8"?>
<ds:datastoreItem xmlns:ds="http://schemas.openxmlformats.org/officeDocument/2006/customXml" ds:itemID="{24FB202A-509B-42B1-BD7B-E2812D0F0430}">
  <ds:schemaRefs>
    <ds:schemaRef ds:uri="http://schemas.microsoft.com/sharepoint/v3/contenttype/forms"/>
  </ds:schemaRefs>
</ds:datastoreItem>
</file>

<file path=customXml/itemProps3.xml><?xml version="1.0" encoding="utf-8"?>
<ds:datastoreItem xmlns:ds="http://schemas.openxmlformats.org/officeDocument/2006/customXml" ds:itemID="{86202D38-4B1E-4622-91B6-381DD2A7BBF9}">
  <ds:schemaRefs/>
</ds:datastoreItem>
</file>

<file path=customXml/itemProps4.xml><?xml version="1.0" encoding="utf-8"?>
<ds:datastoreItem xmlns:ds="http://schemas.openxmlformats.org/officeDocument/2006/customXml" ds:itemID="{EFE4EAF2-E8BA-4E52-9C64-A641913A2B09}">
  <ds:schemaRefs/>
</ds:datastoreItem>
</file>

<file path=customXml/itemProps5.xml><?xml version="1.0" encoding="utf-8"?>
<ds:datastoreItem xmlns:ds="http://schemas.openxmlformats.org/officeDocument/2006/customXml" ds:itemID="{48E680C3-EB63-47CE-9571-AC28203F6771}">
  <ds:schemaRefs>
    <ds:schemaRef ds:uri="http://schemas.microsoft.com/sharepoint/events"/>
  </ds:schemaRefs>
</ds:datastoreItem>
</file>

<file path=customXml/itemProps6.xml><?xml version="1.0" encoding="utf-8"?>
<ds:datastoreItem xmlns:ds="http://schemas.openxmlformats.org/officeDocument/2006/customXml" ds:itemID="{A63CA76D-064F-47AC-9C93-607E467DC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ac030-8fc0-429e-a59d-aec15056182b"/>
    <ds:schemaRef ds:uri="http://schemas.microsoft.com/sharepoint/v4"/>
    <ds:schemaRef ds:uri="2219519e-2df8-4e68-9bc8-47ece53c6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D9D6A89-4390-4BDA-B554-9E84AAD35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75</Pages>
  <Words>27093</Words>
  <Characters>154435</Characters>
  <Application>Microsoft Office Word</Application>
  <DocSecurity>0</DocSecurity>
  <Lines>1286</Lines>
  <Paragraphs>362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Global Fund</dc:creator>
  <cp:keywords/>
  <dc:description/>
  <cp:lastModifiedBy>USER</cp:lastModifiedBy>
  <cp:revision>17</cp:revision>
  <cp:lastPrinted>2022-12-29T03:58:00Z</cp:lastPrinted>
  <dcterms:created xsi:type="dcterms:W3CDTF">2023-02-28T12:59:00Z</dcterms:created>
  <dcterms:modified xsi:type="dcterms:W3CDTF">2023-03-02T02:31:00Z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theglobalfund</vt:lpwstr>
  </property>
  <property fmtid="{D5CDD505-2E9C-101B-9397-08002B2CF9AE}" pid="3" name="TemplafyTemplateId">
    <vt:lpwstr>637782936526893862</vt:lpwstr>
  </property>
  <property fmtid="{D5CDD505-2E9C-101B-9397-08002B2CF9AE}" pid="4" name="TemplafyUserProfileId">
    <vt:lpwstr>637608262810973981</vt:lpwstr>
  </property>
  <property fmtid="{D5CDD505-2E9C-101B-9397-08002B2CF9AE}" pid="5" name="TemplafyLanguageCode">
    <vt:lpwstr>en-US</vt:lpwstr>
  </property>
  <property fmtid="{D5CDD505-2E9C-101B-9397-08002B2CF9AE}" pid="6" name="ContentTypeId">
    <vt:lpwstr>0x010100DB1926E75FE6D448A94BA4FC7E9CAC0400EB82F3FDC0493647B521A7A424B5B012</vt:lpwstr>
  </property>
  <property fmtid="{D5CDD505-2E9C-101B-9397-08002B2CF9AE}" pid="7" name="_dlc_DocId">
    <vt:lpwstr>3NAZ7T4E3CZ3-1593233266-2090</vt:lpwstr>
  </property>
  <property fmtid="{D5CDD505-2E9C-101B-9397-08002B2CF9AE}" pid="8" name="_dlc_DocIdItemGuid">
    <vt:lpwstr>3ac2e218-4ced-423e-8def-2501b82f0615</vt:lpwstr>
  </property>
  <property fmtid="{D5CDD505-2E9C-101B-9397-08002B2CF9AE}" pid="9" name="_dlc_DocIdUrl">
    <vt:lpwstr>https://tgf.sharepoint.com/sites/TSA2F1/A2FT/_layouts/15/DocIdRedir.aspx?ID=3NAZ7T4E3CZ3-1593233266-2090, 3NAZ7T4E3CZ3-1593233266-2090</vt:lpwstr>
  </property>
  <property fmtid="{D5CDD505-2E9C-101B-9397-08002B2CF9AE}" pid="10" name="MediaServiceImageTags">
    <vt:lpwstr/>
  </property>
</Properties>
</file>