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45" w:rsidRDefault="00831545" w:rsidP="00831545">
      <w:pPr>
        <w:pStyle w:val="tkNazvanie"/>
        <w:spacing w:before="0" w:after="0" w:line="240" w:lineRule="auto"/>
        <w:ind w:left="750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637A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831545" w:rsidRDefault="00831545" w:rsidP="008315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545" w:rsidRPr="00831545" w:rsidRDefault="00831545" w:rsidP="008315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1545">
        <w:rPr>
          <w:rFonts w:ascii="Times New Roman" w:hAnsi="Times New Roman" w:cs="Times New Roman"/>
          <w:b/>
          <w:sz w:val="24"/>
          <w:szCs w:val="24"/>
        </w:rPr>
        <w:t>Утверждено: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31545" w:rsidRPr="00831545" w:rsidRDefault="00831545" w:rsidP="00831545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1545">
        <w:rPr>
          <w:rFonts w:ascii="Times New Roman" w:hAnsi="Times New Roman" w:cs="Times New Roman"/>
          <w:b/>
          <w:sz w:val="24"/>
          <w:szCs w:val="24"/>
        </w:rPr>
        <w:t xml:space="preserve">Председателем КСОЗ –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31545" w:rsidRPr="00831545" w:rsidRDefault="00831545" w:rsidP="008315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1545">
        <w:rPr>
          <w:rFonts w:ascii="Times New Roman" w:hAnsi="Times New Roman" w:cs="Times New Roman"/>
          <w:b/>
          <w:sz w:val="24"/>
          <w:szCs w:val="24"/>
        </w:rPr>
        <w:t xml:space="preserve">Вице-премьер министром </w:t>
      </w:r>
    </w:p>
    <w:p w:rsidR="00831545" w:rsidRPr="00831545" w:rsidRDefault="00831545" w:rsidP="008315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1545">
        <w:rPr>
          <w:rFonts w:ascii="Times New Roman" w:hAnsi="Times New Roman" w:cs="Times New Roman"/>
          <w:b/>
          <w:sz w:val="24"/>
          <w:szCs w:val="24"/>
        </w:rPr>
        <w:t>Кыргызской</w:t>
      </w:r>
      <w:proofErr w:type="spellEnd"/>
      <w:r w:rsidRPr="00831545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31545" w:rsidRPr="00831545" w:rsidRDefault="00831545" w:rsidP="008315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1545">
        <w:rPr>
          <w:rFonts w:ascii="Times New Roman" w:hAnsi="Times New Roman" w:cs="Times New Roman"/>
          <w:b/>
          <w:sz w:val="24"/>
          <w:szCs w:val="24"/>
        </w:rPr>
        <w:t xml:space="preserve">Ч.А. </w:t>
      </w:r>
      <w:proofErr w:type="spellStart"/>
      <w:r w:rsidRPr="00831545">
        <w:rPr>
          <w:rFonts w:ascii="Times New Roman" w:hAnsi="Times New Roman" w:cs="Times New Roman"/>
          <w:b/>
          <w:sz w:val="24"/>
          <w:szCs w:val="24"/>
        </w:rPr>
        <w:t>Султанбековой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F152E" w:rsidRPr="00831545" w:rsidRDefault="00831545" w:rsidP="00831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1545">
        <w:rPr>
          <w:rFonts w:ascii="Times New Roman" w:hAnsi="Times New Roman" w:cs="Times New Roman"/>
          <w:b/>
          <w:sz w:val="24"/>
          <w:szCs w:val="24"/>
        </w:rPr>
        <w:t>21 июня 2017г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152E" w:rsidRPr="00AD637A" w:rsidRDefault="004F152E" w:rsidP="004F152E">
      <w:pPr>
        <w:jc w:val="center"/>
        <w:rPr>
          <w:rFonts w:ascii="Times New Roman" w:hAnsi="Times New Roman" w:cs="Times New Roman"/>
          <w:b/>
        </w:rPr>
      </w:pPr>
    </w:p>
    <w:p w:rsidR="00542E1E" w:rsidRPr="00AD637A" w:rsidRDefault="00542E1E" w:rsidP="00BE7996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2E1E" w:rsidRPr="00AD637A" w:rsidRDefault="00542E1E" w:rsidP="00BE7996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Положение</w:t>
      </w:r>
    </w:p>
    <w:p w:rsidR="00542E1E" w:rsidRPr="00AD637A" w:rsidRDefault="00542E1E" w:rsidP="00BE7996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о Комитете по борьбе с ВИЧ/СПИДом, туберкулезом и малярией при Координационном совете по общественному здравоохранению при Правительстве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42E1E" w:rsidRPr="00AD637A" w:rsidRDefault="00542E1E" w:rsidP="00BE7996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542E1E" w:rsidRPr="00AD637A" w:rsidRDefault="00542E1E" w:rsidP="00BE7996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2E1E" w:rsidRPr="00AD637A" w:rsidRDefault="00542E1E" w:rsidP="00BE7996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1. Комитет по борьбе с ВИЧ/СПИДом, туберкулезом и малярией при Координационном совете по общественному здравоохранению при Правительстве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Республики (далее - Комитет) является координационной площадкой, осуществляющей свою деятельность на общественных началах, созданной для осуществления координации и оптимизации деятельности министерств, государственных комитетов, административных ведомств, местных государственных администраций, органов местного самоуправления, международных, коммерческих и некоммерческих организаций, средств массовой информации и гражданского сектора, а также других юридических лиц, независимо от форм собственности, вовлеченных в мероприятия по борьбе с ВИЧ/СПИДом, туберкулезом и малярией.</w:t>
      </w:r>
    </w:p>
    <w:p w:rsidR="00E65071" w:rsidRPr="00AD637A" w:rsidRDefault="00BE7996" w:rsidP="00BE79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2. Комитет в своей деятельности руководствуется законодательством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Республики, Положением о Координационном Совете по общественному здравоохранению при Правительстве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Республики, утвержденным постановлением Правительства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Республики от 26 июня 2014 года № 352, а также настоящим Положением.</w:t>
      </w:r>
    </w:p>
    <w:p w:rsidR="00BE7996" w:rsidRPr="00AD637A" w:rsidRDefault="00BE7996" w:rsidP="00BE7996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2. Цель, задачи и принципы деятельности</w:t>
      </w:r>
    </w:p>
    <w:p w:rsidR="00BE7996" w:rsidRPr="00AD637A" w:rsidRDefault="00BE7996" w:rsidP="00BE7996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3. Целью деятельности Комитета является обеспечение координации и взаимодействия заинтересованных государственных органов, а также некоммерческих и общественных организаций в решении вопросов по борьбе с ВИЧ/СПИДом, туберкулезом и малярией.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4. Для достижения цели Комитет реализует следующие задачи: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- обеспечение общей координации и управление процессом реализации программ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Республики по ВИЧ/СПИД туберкулезу и малярии;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подготовка и направление на одобрение Координационного совета по общественному здравоохранению при Правительстве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Республики (далее - КСОЗ) решений Комитета о направлении национальных заявок в международные и донорские организации на основе приоритетных потребностей страны по вопросам борьбы с ВИЧ/СПИДом, туберкулезом и малярией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осуществление мониторинга и контроля за использованием финансовых и иных средств международных и донорских организаций, процессом реализации программ и мероприятий, и их результатами;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обеспечение взаимодействия и согласованности между помощью, получаемой от международных и донорских организаций, и помощью, получаемой в рамках всех программ по борьбе с тремя заболеваниями (ВИЧ/СПИД, туберкулез и малярия).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5. Комитет функционирует на основе принципов: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прозрачности деятельности;</w:t>
      </w:r>
    </w:p>
    <w:p w:rsidR="00BE7996" w:rsidRPr="00AD637A" w:rsidRDefault="00924994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7996" w:rsidRPr="00AD637A">
        <w:rPr>
          <w:rFonts w:ascii="Times New Roman" w:hAnsi="Times New Roman" w:cs="Times New Roman"/>
          <w:sz w:val="28"/>
          <w:szCs w:val="28"/>
        </w:rPr>
        <w:t xml:space="preserve">сотрудничества и партнерства государственного и негосударственного секторов в борьбе с ВИЧ/СПИДа, туберкулеза и малярии в </w:t>
      </w:r>
      <w:proofErr w:type="spellStart"/>
      <w:r w:rsidR="00BE7996"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BE7996" w:rsidRPr="00AD637A">
        <w:rPr>
          <w:rFonts w:ascii="Times New Roman" w:hAnsi="Times New Roman" w:cs="Times New Roman"/>
          <w:sz w:val="28"/>
          <w:szCs w:val="28"/>
        </w:rPr>
        <w:t xml:space="preserve"> Республике;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участия в его деятельности лиц, живущих или пострадавших от ВИЧ/СПИДа, туберкулеза или малярии;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коллективного, свободного и гласного обсуждения принимаемых решений;</w:t>
      </w:r>
    </w:p>
    <w:p w:rsidR="00BE7996" w:rsidRPr="00AD637A" w:rsidRDefault="00BE7996" w:rsidP="00BE79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исключения конфликта интересов.</w:t>
      </w:r>
    </w:p>
    <w:p w:rsidR="00BE7996" w:rsidRPr="00AD637A" w:rsidRDefault="00BE7996" w:rsidP="00BE7996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3. Права и обязанности</w:t>
      </w:r>
    </w:p>
    <w:p w:rsidR="00BE7996" w:rsidRPr="00AD637A" w:rsidRDefault="00BE7996" w:rsidP="00BE7996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6. Комитет имеет право: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вносить предложения в КСОЗ по составу Комитета;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выбирать для последующего одобрения КСОЗ одну или несколько организаций, которые способны осуществлять функции основного получателя финансовых и иных средств международных и донорских организаций;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инициировать решение по заявкам на получение финансовых и иных средств международных и донорских организаций;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- контролировать выполнение мероприятий и реализацию программ основными получателями и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субполучателями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согласно заявке страны, одобренной КСОЗ;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осуществлять контроль за использованием всех финансовых и иных средств международных и донорских организаций в стране и за качеством реализуемых мероприятий и программ согласно разработанному календарному Плану;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- регулярно и при необходимости внепланово заслушивать отчеты основных получателей и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субполучателей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финансовых и иных средств международных и донорских организаций;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lastRenderedPageBreak/>
        <w:t>- рекомендовать изменения в планы реализации национальных программ и программ международных организаций (далее - программы) и приоритетность финансирования компонентов программ;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- рекомендовать основному получателю поменять основных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субполучателей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финансовых и иных средств международных и донорских организаций;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рекомендовать международным и донорским организациям поменять основных получателей финансовых и иных средств;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проводить стратегический мониторинг реализуемых программ и проектов по трем заболеваниям, финансируемых международными и донорскими организациями, и другими источниками на территории всей страны;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оценивать эффективность этих программ, включая эффективность работы основного получателя и/или получателей; предоставлять на рассмотрение заявку о продолжении финансирования до истечения срока действия изначально одобренного финансирования;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обеспечивать связь и согласованность между проектами, финансируемыми другими программами в области здравоохранения и социальной поддержки;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разрабатывать и утверждать, в соответствии с настоящим Положением, свои внутренние правила и положения;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- перенаправлять или перераспределять финансовые средства </w:t>
      </w:r>
      <w:proofErr w:type="gramStart"/>
      <w:r w:rsidRPr="00AD637A">
        <w:rPr>
          <w:rFonts w:ascii="Times New Roman" w:hAnsi="Times New Roman" w:cs="Times New Roman"/>
          <w:sz w:val="28"/>
          <w:szCs w:val="28"/>
        </w:rPr>
        <w:t>в рамках</w:t>
      </w:r>
      <w:proofErr w:type="gramEnd"/>
      <w:r w:rsidRPr="00AD637A">
        <w:rPr>
          <w:rFonts w:ascii="Times New Roman" w:hAnsi="Times New Roman" w:cs="Times New Roman"/>
          <w:sz w:val="28"/>
          <w:szCs w:val="28"/>
        </w:rPr>
        <w:t xml:space="preserve"> выделенных стране финансовых и иных средств, если того требуют изменившиеся условия или потребности.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7. Комитет обязан: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действовать на принципах реальных партнерских отношений при разработке и осуществлении программ, поддерживаемых партнерами по развитию, быть полностью прозрачным в принятии решений;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рассматривать всех членов как равных партнеров, наделенных полным правом участвовать и высказывать свое мнение в процессе принятия решений;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- включать представителей негосударственного сектора, которые должны быть избраны своими сообществами на основе собственной документированной и прозрачной процедуры, а также представителей государственного сектора, делегированных государственными органами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поддерживать связь со всеми заинтересованными сторонами в стране, в индивидуальном порядке проводить регулярные встречи с теми, кого они представляют, чтобы озвучивать их мнения и реализовывать их интересы в своей деятельности;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- обеспечивать участие в работе всех соответствующих заинтересованных сторон и прозрачность этого процесса для общественности, а также распространять среди всех заинтересованных сторон информацию, которая относится к международным и донорским </w:t>
      </w:r>
      <w:r w:rsidRPr="00AD637A">
        <w:rPr>
          <w:rFonts w:ascii="Times New Roman" w:hAnsi="Times New Roman" w:cs="Times New Roman"/>
          <w:sz w:val="28"/>
          <w:szCs w:val="28"/>
        </w:rPr>
        <w:lastRenderedPageBreak/>
        <w:t>организациям (объявления о приеме заявок, решения, принимаемые Комитетом, КСОЗ подробная информация по проектам, одобренным для получения финансирования);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отчитываться на ежегодной основе об эффективном использовании средств международных и донорских орга</w:t>
      </w:r>
      <w:r w:rsidR="00924994">
        <w:rPr>
          <w:rFonts w:ascii="Times New Roman" w:hAnsi="Times New Roman" w:cs="Times New Roman"/>
          <w:sz w:val="28"/>
          <w:szCs w:val="28"/>
        </w:rPr>
        <w:t>низаций перед КСОЗ и в средствах</w:t>
      </w:r>
      <w:r w:rsidRPr="00AD637A">
        <w:rPr>
          <w:rFonts w:ascii="Times New Roman" w:hAnsi="Times New Roman" w:cs="Times New Roman"/>
          <w:sz w:val="28"/>
          <w:szCs w:val="28"/>
        </w:rPr>
        <w:t xml:space="preserve"> массовой информации;</w:t>
      </w:r>
    </w:p>
    <w:p w:rsidR="00BE7996" w:rsidRPr="00AD637A" w:rsidRDefault="00BE7996" w:rsidP="00BE79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- </w:t>
      </w:r>
      <w:r w:rsidR="001E4504" w:rsidRPr="00AD637A">
        <w:rPr>
          <w:rFonts w:ascii="Times New Roman" w:hAnsi="Times New Roman" w:cs="Times New Roman"/>
          <w:sz w:val="28"/>
          <w:szCs w:val="28"/>
        </w:rPr>
        <w:t>мобилизовать</w:t>
      </w:r>
      <w:r w:rsidRPr="00AD637A">
        <w:rPr>
          <w:rFonts w:ascii="Times New Roman" w:hAnsi="Times New Roman" w:cs="Times New Roman"/>
          <w:sz w:val="28"/>
          <w:szCs w:val="28"/>
        </w:rPr>
        <w:t xml:space="preserve"> ресурсы для деятельности Комитета.</w:t>
      </w:r>
    </w:p>
    <w:p w:rsidR="00BE7996" w:rsidRPr="00AD637A" w:rsidRDefault="00BE7996" w:rsidP="00BE7996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4. Структура Комитета</w:t>
      </w:r>
    </w:p>
    <w:p w:rsidR="00BE7996" w:rsidRPr="00AD637A" w:rsidRDefault="00BE7996" w:rsidP="00BE799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8. Высшим органом Комитета является заседание Комитета.</w:t>
      </w:r>
    </w:p>
    <w:p w:rsidR="00BE7996" w:rsidRPr="00AD637A" w:rsidRDefault="00BE7996" w:rsidP="00BE7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Комитета утверждается решением </w:t>
      </w:r>
      <w:r w:rsidRPr="00AD637A">
        <w:rPr>
          <w:rFonts w:ascii="Times New Roman" w:hAnsi="Times New Roman" w:cs="Times New Roman"/>
          <w:sz w:val="28"/>
          <w:szCs w:val="28"/>
        </w:rPr>
        <w:t>КСОЗ.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9. В состав Комитета входят представители государственного и негосударственного секторов.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От государственного сектора: депутаты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Республики (по согласованию), представители органов исполнительной власти, задействованные в борьбе с ВИЧ/СПИДом, туберкулезом и малярией и другие заинтересованные организации, основанные на государственной форме собственности.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От негосударственного сектора - различные организации: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представляющие интересы женщин, молодежи, меньшинств, уязвимых групп;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организации и объединения людей, живущих или пострадавших от ВИЧ/СПИДа, туберкулеза или малярии;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международные партнерские агентства;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- международные неправительственные организации, работающие в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Республике и предоставляющие техническую помощь в борьбе с ВИЧ/СПИД, туберкулезом и малярией и в других сферах здравоохранения.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Определение и распределение квот между государственным и негосударственными секторами принимается на заседаниях Комитета путем голосования и утверждается простым большинством голосов при обязательном присутствии всех членов Комитета. Вопросы, неоговоренные в настоящем пункте в части определения количества и распределения квот, определяются внутренними правилами, утверждаемыми на заседании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10. Комитет состоит из выбранных на основе настоящего положения членов - представителей государственного и негосударственного секторов, а также партнеров по развитию, которые осуществляют свою деятельность на общественных началах.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Комитет состоит из 23 (двадцати трех) членов, порядок выборов которых определяется настоящим Положением.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11. Состав представителей от негосударственного сектора должен составлять не менее 40 процентов от общего количества членов Комитета</w:t>
      </w:r>
      <w:r w:rsidR="00E435E4" w:rsidRPr="00AD637A">
        <w:rPr>
          <w:rFonts w:ascii="Times New Roman" w:hAnsi="Times New Roman" w:cs="Times New Roman"/>
          <w:sz w:val="28"/>
          <w:szCs w:val="28"/>
        </w:rPr>
        <w:t xml:space="preserve"> или 9 членов.</w:t>
      </w:r>
    </w:p>
    <w:p w:rsidR="00E435E4" w:rsidRPr="00AD637A" w:rsidRDefault="00E435E4" w:rsidP="00E435E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lastRenderedPageBreak/>
        <w:t>Количество членов от государственного сектора должно быть не менее 9 членов, от международных организаций не менее 5.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12. Каждый член Комитета имеет своего альтерната.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В случае отсутствия основного представителя альтернат участвует на заседаниях Комитета с правом голоса. Альтернат может посещать заседания Комитета в присутствии основного члена, без права голоса. Порядок выбора альтерната определяется внутренними положениями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В случае присутствия на заседаниях Комитета основного представителя участие альтерната не обязательно.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13. При Комитете действуют два рабочих сектора: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сектор по подготовке заявок, мобилизации ресурсов, гармонизации;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сектор по осуществлению контроля за расходованием средств грантов международных и донорских организаций, осуществлением программ и результатами их внедрения.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14. Участие членов Комитета в том или ином секторе определяется на заседаниях Комитета. В деятельности секторов могут участвовать привлеченные эксперты. 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15. Состав Правления: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председатель;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два заместителя председателя;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координаторы секторов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Председатель и заместители должны представлять разные сектора (государственный и негосударственный).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16. Председатель и заместители Правления избираются на заседании Комитета путем закрытого голосования, простым большинством голосов (от количества присутствующих) при наличии кворума (более 50% от общего количества членов Комитета) сроком на два года, не более чем на два срока подряд.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17. Порядок выдвижения на пост Председателя и заместителей определяется внутренними положениями Комитета, утвержденными на заседаниях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Вопросы досрочного сложения полномочий Председателя и его заместителей определяются внутренними правилами, утвержденными на заседаниях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18. Рабочим органом Комитета является Секретариат Комитета (далее - Секретариат). Секретариат возглавляет исполнительный секретарь, назначаемый Правлением Комитета путем конкурсного отбора.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Порядок проведения конкурсного отбора определяется внутренними положениями, утверждаемыми на заседаниях Комитета. Ответственный секретарь подотчетен Комитету.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19. Секретариат создается Комитетом на принципах самоуправления в соответствии с действующим законодательством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Секретариат действует на основании внутренних положений, утверждаемых на заседаниях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lastRenderedPageBreak/>
        <w:t>20. Для эффективной работы Комитета Секретариат взаимодействует с секретарем и рабочим органом КСОЗ. В рамках данного взаимодействия на Секретариат возлагаются следующие функции: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- техническая поддержка и логистика заседаний и мероприятий КСОЗ; 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оказание содействия в обеспечении членов Координационного совета информационно-аналитическими материалами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21. На заседаниях Комитета утверждается бюджет, смета расходов Комитета, штатное расписание, структура и функции Секретариата.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E7996" w:rsidRPr="00AD637A" w:rsidRDefault="00BE7996" w:rsidP="00BE7996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7A">
        <w:rPr>
          <w:rFonts w:ascii="Times New Roman" w:hAnsi="Times New Roman" w:cs="Times New Roman"/>
          <w:b/>
          <w:sz w:val="28"/>
          <w:szCs w:val="28"/>
        </w:rPr>
        <w:t>5. Функции Комитета и его органов</w:t>
      </w:r>
    </w:p>
    <w:p w:rsidR="00BE7996" w:rsidRPr="00AD637A" w:rsidRDefault="00BE7996" w:rsidP="00BE799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22. Функции Комитета: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подготовка национальных заявок на получение финансирования от международных и донорских организаций, привлекая к совместной разработке стратегии различных участников (министерства, комитеты, ведомства и другие государственные органы, общественность и т.д.);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определение объема недостающего финансирования для реализации действующих программ;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- организация и эффективное функционирование Комитета в соответствии с требованиями законодательства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гармонизация проектов международных и донорских организаций с другими национальными проектами и программами в рамках реализации программ по трем заболеваниям;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контроль за выполнением программ международных и донорских организаций;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выбор основных получателей финансовых и иных средств международных и донорских организаций;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управление процессом подготовки и подачи национальных заявок по ВИЧ/СПИДу, туберкулезу и малярии в международные и донорские организации;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утверждение внутренних правил и процедур;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обмен информацией с международными и донорскими организациями и секторами, представленными в Комитете;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- взаимодействие с Координационным советом по управлению системой здравоохранения в городах Бишкек, Ош и областях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23. Права членов Комитета: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открыто выражать свое мнение;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предлагать кандидатов на должность председателя Правления и заместителей, координаторов профильных секторов, а также выдвигать себя в качестве кандидатов на данные должности;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принимать участие в голосовании и принятии решений по любым вопросам, за исключением тех, по которым у них имеется конфликт интересов;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lastRenderedPageBreak/>
        <w:t>- получать своевременные уведомления о заседаниях Комитета, а также все материалы и информацию, связанные с работой Комитета и исполнением своих обязанностей, как членов Комитета;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заявлять о конфликте интересов любого из членов Комитета, если таковой имеет место.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Права членов Комитета распространяются и </w:t>
      </w:r>
      <w:proofErr w:type="gramStart"/>
      <w:r w:rsidRPr="00AD637A">
        <w:rPr>
          <w:rFonts w:ascii="Times New Roman" w:hAnsi="Times New Roman" w:cs="Times New Roman"/>
          <w:sz w:val="28"/>
          <w:szCs w:val="28"/>
        </w:rPr>
        <w:t>на альтернатов</w:t>
      </w:r>
      <w:proofErr w:type="gramEnd"/>
      <w:r w:rsidRPr="00AD637A">
        <w:rPr>
          <w:rFonts w:ascii="Times New Roman" w:hAnsi="Times New Roman" w:cs="Times New Roman"/>
          <w:sz w:val="28"/>
          <w:szCs w:val="28"/>
        </w:rPr>
        <w:t>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24. Обязанности членов Комитета: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соблюдать требования данного Положения, иных документов, регулирующих деятельность Комитета;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принимать участие в заседаниях Комитета;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изучать и анализировать документы, связанные с деятельностью Комитета и относящиеся к состоянию эпидемий ВИЧ/СПИДа, туберкулеза и малярии в стране;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принимать участие в работе профильных комитетов;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активно участвовать в принятии решений и использовать свое право голоса с целью представления интересов своего сообщества и сектора в целом;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уважать и выполнять решения заседаний Комитета;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выражать мнение в интересах своего сообщества и своего сектора независимо от собственного мнения или мнения своей организации;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проводить регулярные встречи с организациями и представителями своего сектора или сообщества с целью информирования о деятельности и решениях Комитета и получения обратной связи;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информировать Комитет о своем конфликте интересов, если таковой имеет место;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соблюдать политику урегулирования конфликта интересов;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отчитываться перед своими сообществами, сектором.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Обязанности членов Комитета распространяются и </w:t>
      </w:r>
      <w:proofErr w:type="gramStart"/>
      <w:r w:rsidRPr="00AD637A">
        <w:rPr>
          <w:rFonts w:ascii="Times New Roman" w:hAnsi="Times New Roman" w:cs="Times New Roman"/>
          <w:sz w:val="28"/>
          <w:szCs w:val="28"/>
        </w:rPr>
        <w:t>на их альтернатов</w:t>
      </w:r>
      <w:proofErr w:type="gramEnd"/>
      <w:r w:rsidRPr="00AD637A">
        <w:rPr>
          <w:rFonts w:ascii="Times New Roman" w:hAnsi="Times New Roman" w:cs="Times New Roman"/>
          <w:sz w:val="28"/>
          <w:szCs w:val="28"/>
        </w:rPr>
        <w:t>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25. Функции Правления Комитета: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координация работы профильных секторов;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утверждение повестки дня заседаний Комитета в соответствии с планом и предложениями членов Комитета;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осуществление взаимодействия с КСОЗ, а также с международными и донорскими организациями;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определение задания для Секретариата в соответствие с решениями заседаний Комитета;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созыв внеочередных заседаний Комитета;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назначение исполнительного секретаря путем конкурсного отбора.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26. Обязанности председателя Правления: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созыв и ведение заседаний Комитета;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распределение обязанностей между членами правления и своими заместителями;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представление Комитета перед широкой общественностью;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определение заданий для Секретариата.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lastRenderedPageBreak/>
        <w:t>27. Процесс принятия решения на заседании правления осуществляется в форме голосования. Способ голосования (открытое или закрытое) определяется на самом заседании Правления. Решение принимается простым большинством голосов (от количества присутствующих) при наличии кворума (более 50% от общего количества членов правления).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Обязанности заместителей председателя определяются председателем Правления и внутренними правилами, утверждаемыми на заседаниях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28. Функции профильных секторов Комитета: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Сектор по надзору осуществляет наблюдение за: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реализацией программ, финансовых и иных средств международных и донорских организаций основными его получателями;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надлежащим и своевременным использованием финансовых ресурсов, проведением закупок на финансовые и иные средства международных и донорских организаций;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- эффективным осуществлением программ, эффективным управлением финансовых и иных средств </w:t>
      </w:r>
      <w:proofErr w:type="spellStart"/>
      <w:r w:rsidR="00924994" w:rsidRPr="00AD637A">
        <w:rPr>
          <w:rFonts w:ascii="Times New Roman" w:hAnsi="Times New Roman" w:cs="Times New Roman"/>
          <w:sz w:val="28"/>
          <w:szCs w:val="28"/>
        </w:rPr>
        <w:t>субполучателей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>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результатами реали</w:t>
      </w:r>
      <w:r w:rsidR="001E4504">
        <w:rPr>
          <w:rFonts w:ascii="Times New Roman" w:hAnsi="Times New Roman" w:cs="Times New Roman"/>
          <w:sz w:val="28"/>
          <w:szCs w:val="28"/>
        </w:rPr>
        <w:t>зации финансовых и иных средств</w:t>
      </w:r>
      <w:r w:rsidRPr="00AD637A">
        <w:rPr>
          <w:rFonts w:ascii="Times New Roman" w:hAnsi="Times New Roman" w:cs="Times New Roman"/>
          <w:sz w:val="28"/>
          <w:szCs w:val="28"/>
        </w:rPr>
        <w:t xml:space="preserve"> их воздействием;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координацией, взаимодействием, согласованностью и отсутствием дублирования между программами по трем заболеваниям и по вопросам их финансирования.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Сектор по подготовке заявок, мобилизации ресурсов и гармонизации осуществляет: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мобилизацию ресурсов для борьбы с тремя заболеваниями из различных источников, включая ресурсы для осуществления функций Комитета;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подготовку национальных заявок страны для подачи в международные и донорские организации;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гармонизацию программ и проектов по трем заболеваниям в стране.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29. Комитет может создавать другие сектора, либо менять их наименования и функции в соответствии с внутренними правилами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30. Функции координаторов секторов Комитета: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координация работы секторов;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формирование секторов, при необходимости - привлечение экспертов к работе секторов;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разработка рабочего плана сектора;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участие в работе Правления;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информирование Комитета о работе, потребностях и результатах деятельности сектора.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E7996" w:rsidRPr="00AD637A" w:rsidRDefault="00BE7996" w:rsidP="00BE7996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7A">
        <w:rPr>
          <w:rFonts w:ascii="Times New Roman" w:hAnsi="Times New Roman" w:cs="Times New Roman"/>
          <w:b/>
          <w:sz w:val="28"/>
          <w:szCs w:val="28"/>
        </w:rPr>
        <w:t>6. Формирование Комитета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lastRenderedPageBreak/>
        <w:t>31. Комитет формируется на основе представительства государственного и негосударственного секторов, в соответствии с пунктом 9 настоящего Положения.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32. Организация, представляющая государственный и/или негосударственный сектор и выдвигающая своего представителя для участия в деятельности Комитета, должна отвечать следующим критериям: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- организация осуществляет свою деятельность на территории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деятельность организации связана с вопросами ВИЧ/СПИДа, туберкулеза или малярии и организация вносит вклад в борьбу с ними;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организация представляет интересы государства, сектора или сообщества и подтверждает это своими документами; в случае необходимости представляет документы о делегировании ей таких полномочий (на основе проведенных выборов или назначений);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 организация принимает обязательство следовать настоящему Положению и другим внутренним документам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33. При выборе организации, представляющей гражданские сообщества лиц, живущих или пострадавших от ВИЧ, туберкулеза или малярии, выдвигающих своего представителя в Комитет, предпочтение отдается организациям, которые осуществляют деятельность по всей территории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34. В случае необходимости члены Комитета могут инициировать досрочное изменение состава Комитета. Порядок внесения предложений по изменению состава определяется внутренними положениями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35. Кандидаты в члены Комитета избираются или выдвигаются своим сектором. Процесс избрания или выдвижения должен быть открытым для всех организаций, прозрачным и надлежащим образом документирован.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36. Интересы государства, сектора и сообщества в деятельности Комитета могут представлять только представители, избранные или выдвинутые этим сектором или сообществом, государственным органом, либо их альтернаты. Другие представители организации не могут представлять интересы сектора или сообщества в деятельности Комитета, либо замещать их или альтернатов и голосовать на заседаниях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37. Система альтернатов подразумевает избрание альтернативных представителей сообществ, государственных органов, которые могут замещать членов Комитета в случае их отсутствия на заседаниях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Количество альтернатов является равным количеству членов Комитета и определяется соответствующими квотами мест в Комитете. В отсутствие действительного члена Комитета на заседании Комитета альтернат имеет равное право голоса в принятии решений от имени действительного члена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Обязанностью членов Комитета является информирование своих альтернатов о работе и решениях, координация замещения своего присутствия в случае необходимости.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lastRenderedPageBreak/>
        <w:t>Альтернаты членов Комитета, избранных на посты председателя и заместителей председателя Правления, могут продолжать представлять интересы своих секторов, но не могут замещать председателя и заместителей председателя Правления в выполнении их обязанностей.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38. Член Комитета и его альтернат избираются/выдвигаются для участия в деятельности Комитета сроком на 2 года. Один и тот же представитель может быть избран на повторный срок не более 2 раз.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39. Член Комитета, либо его альтернат, не справляющийся со своими обязанностями, не выполняющий требования настоящего Положения, может быть исключен из его членов. Процедура исключения и включения новых членов Комитета определяется внутренними правилами, утверждаемыми заседанием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40. Член Комитета, либо его альтернат может выйти из его состава добровольно. Процедура исключения по данному основанию и включения новых членов Комитета определяется внутренними правилами, утверждаемыми на его заседаниях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41. Состав членов Комитета формируется с учетом представительства не более 70 процентов лиц одного пола.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E7996" w:rsidRPr="00AD637A" w:rsidRDefault="00BE7996" w:rsidP="00BE7996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7A">
        <w:rPr>
          <w:rFonts w:ascii="Times New Roman" w:hAnsi="Times New Roman" w:cs="Times New Roman"/>
          <w:b/>
          <w:sz w:val="28"/>
          <w:szCs w:val="28"/>
        </w:rPr>
        <w:t>7. Деятельность Комитета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42. Заседания Комитета проводятся не реже 1 раза в квартал. В случае необходимости могут быть проведены внеочередные заседания Комитета. Внеочередные заседания Комитета проводятся в случае чрезвычайных, безотлагательных обстоятельств по вопросам его деятельности и созываются председателем (заместителем) Правления либо по обращению в Секретариат не менее 20% членов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В случае отсутствия на заседании Комитета председателя, его функции осуществляет один из его заместителей.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43. Заседания профильных под</w:t>
      </w:r>
      <w:r w:rsidR="00810915" w:rsidRPr="00AD637A">
        <w:rPr>
          <w:rFonts w:ascii="Times New Roman" w:hAnsi="Times New Roman" w:cs="Times New Roman"/>
          <w:sz w:val="28"/>
          <w:szCs w:val="28"/>
        </w:rPr>
        <w:t>сектор</w:t>
      </w:r>
      <w:r w:rsidRPr="00AD637A">
        <w:rPr>
          <w:rFonts w:ascii="Times New Roman" w:hAnsi="Times New Roman" w:cs="Times New Roman"/>
          <w:sz w:val="28"/>
          <w:szCs w:val="28"/>
        </w:rPr>
        <w:t xml:space="preserve">ов проводятся для выполнения функциональных заданий профильных </w:t>
      </w:r>
      <w:r w:rsidR="00810915" w:rsidRPr="00AD637A">
        <w:rPr>
          <w:rFonts w:ascii="Times New Roman" w:hAnsi="Times New Roman" w:cs="Times New Roman"/>
          <w:sz w:val="28"/>
          <w:szCs w:val="28"/>
        </w:rPr>
        <w:t>подсекторов</w:t>
      </w:r>
      <w:r w:rsidRPr="00AD637A">
        <w:rPr>
          <w:rFonts w:ascii="Times New Roman" w:hAnsi="Times New Roman" w:cs="Times New Roman"/>
          <w:sz w:val="28"/>
          <w:szCs w:val="28"/>
        </w:rPr>
        <w:t xml:space="preserve"> согласно разработанному операционному рабочему плану, а также в случае возникшей необходимости. Заседания профильных </w:t>
      </w:r>
      <w:r w:rsidR="00810915" w:rsidRPr="00AD637A">
        <w:rPr>
          <w:rFonts w:ascii="Times New Roman" w:hAnsi="Times New Roman" w:cs="Times New Roman"/>
          <w:sz w:val="28"/>
          <w:szCs w:val="28"/>
        </w:rPr>
        <w:t xml:space="preserve">подсекторов </w:t>
      </w:r>
      <w:r w:rsidRPr="00AD637A">
        <w:rPr>
          <w:rFonts w:ascii="Times New Roman" w:hAnsi="Times New Roman" w:cs="Times New Roman"/>
          <w:sz w:val="28"/>
          <w:szCs w:val="28"/>
        </w:rPr>
        <w:t>проводятся не реже одного раза в квартал.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44. Решения на заседаниях Комитета принимаются при наличии кворума. Кворумом признается присутствие большинства членов, но не менее 50% плюс один голос. Правило кворума распространяется и в случае присутствия на заседании Комитета альтернатов вместо действительных членов.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45. Комитет принимает решения на основе общего согласия всех членов. При </w:t>
      </w:r>
      <w:r w:rsidR="007D6236" w:rsidRPr="00AD637A">
        <w:rPr>
          <w:rFonts w:ascii="Times New Roman" w:hAnsi="Times New Roman" w:cs="Times New Roman"/>
          <w:sz w:val="28"/>
          <w:szCs w:val="28"/>
        </w:rPr>
        <w:t>не достижении</w:t>
      </w:r>
      <w:r w:rsidRPr="00AD637A">
        <w:rPr>
          <w:rFonts w:ascii="Times New Roman" w:hAnsi="Times New Roman" w:cs="Times New Roman"/>
          <w:sz w:val="28"/>
          <w:szCs w:val="28"/>
        </w:rPr>
        <w:t xml:space="preserve"> согласия на заседании Комитета, решение принимается путем голосования (простым большинством при наличии кворума) или принятие решения переносится на следующее заседание.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lastRenderedPageBreak/>
        <w:t xml:space="preserve">46. Профильные </w:t>
      </w:r>
      <w:r w:rsidR="00810915" w:rsidRPr="00AD637A">
        <w:rPr>
          <w:rFonts w:ascii="Times New Roman" w:hAnsi="Times New Roman" w:cs="Times New Roman"/>
          <w:sz w:val="28"/>
          <w:szCs w:val="28"/>
        </w:rPr>
        <w:t xml:space="preserve">подсекторы </w:t>
      </w:r>
      <w:r w:rsidRPr="00AD637A">
        <w:rPr>
          <w:rFonts w:ascii="Times New Roman" w:hAnsi="Times New Roman" w:cs="Times New Roman"/>
          <w:sz w:val="28"/>
          <w:szCs w:val="28"/>
        </w:rPr>
        <w:t xml:space="preserve">не принимают самостоятельных решений. Они предоставляют рекомендации на заседание Комитета для рассмотрения и принятия решений. Порядок подачи рекомендаций по принятию решений профильными </w:t>
      </w:r>
      <w:r w:rsidR="00810915" w:rsidRPr="00AD637A">
        <w:rPr>
          <w:rFonts w:ascii="Times New Roman" w:hAnsi="Times New Roman" w:cs="Times New Roman"/>
          <w:sz w:val="28"/>
          <w:szCs w:val="28"/>
        </w:rPr>
        <w:t xml:space="preserve">подсекторами </w:t>
      </w:r>
      <w:r w:rsidRPr="00AD637A">
        <w:rPr>
          <w:rFonts w:ascii="Times New Roman" w:hAnsi="Times New Roman" w:cs="Times New Roman"/>
          <w:sz w:val="28"/>
          <w:szCs w:val="28"/>
        </w:rPr>
        <w:t xml:space="preserve">и порядок отчетности профильных </w:t>
      </w:r>
      <w:r w:rsidR="00810915" w:rsidRPr="00AD637A">
        <w:rPr>
          <w:rFonts w:ascii="Times New Roman" w:hAnsi="Times New Roman" w:cs="Times New Roman"/>
          <w:sz w:val="28"/>
          <w:szCs w:val="28"/>
        </w:rPr>
        <w:t xml:space="preserve">подсекторов </w:t>
      </w:r>
      <w:r w:rsidRPr="00AD637A">
        <w:rPr>
          <w:rFonts w:ascii="Times New Roman" w:hAnsi="Times New Roman" w:cs="Times New Roman"/>
          <w:sz w:val="28"/>
          <w:szCs w:val="28"/>
        </w:rPr>
        <w:t>о проведенных заседаниях определены внутренними правилами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47. Процесс принятия решения на заседании Комитета осуществляется в форме голосования. Способ голосования (открытое или закрытое) определяется на самом заседании. Процедура и порядок проведения голосования определяются внутренними правилами и процедурами Комитета.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48. Альтернаты имеют равное право голоса в случае замещения действительного члена. В случае отсутствия, как действительного члена, так и альтерната, право голоса не может быть никому делегировано.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49. В случае равного количества голосов «за» и «против» при проведении голосования на заседании Комитета решающее право голоса остается за председателем Правления или его заместителем, если председатель отсутствует.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50. Если основной получатель является членом Комитета, он воздерживается от голосования в случае наличия конфликта интересов и покидает заседание Комитета в случае принятия решений по его вопросам. Основной получатель, не являющийся членом Комитета, посещает заседания Комитета по приглашению без права участия в голосовании.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51. Все члены Комитета должны быть уведомлены не менее чем за пять рабочих дней о проведении заседания Комитета и получить соответствующие документы для ознакомления не менее чем за три рабочих дня. Альтернаты также должны получать уведомления и копии документов. Ответственность за рассылку уведомлений и соответствующих документов несет Секретариат.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52. Порядок подготовки, рассылки всей документации по деятельности Комитета определяются внутренними положениями, утверждаемыми на его заседаниях.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53. Правление, через Секретариат, может приглашать на заседания Комитета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субполучателей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и/или технических экспертов в качестве наблюдателей без права голоса.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54. В качестве наблюдателей без права голоса на заседаниях Комитета могут также присутствовать другие представители секторов.</w:t>
      </w:r>
    </w:p>
    <w:p w:rsidR="00BE7996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55. Типы наблюдателей, их участие и порядок их приглашения на заседания Комитета определяются внутренними правилами Комитета.</w:t>
      </w:r>
    </w:p>
    <w:p w:rsidR="004F152E" w:rsidRPr="00AD637A" w:rsidRDefault="00BE7996" w:rsidP="00BE799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56. Вопросы, не отрегулированные настоящим разделом, регулируются внутренними правилами и процедурами Комитета.</w:t>
      </w:r>
    </w:p>
    <w:p w:rsidR="004F152E" w:rsidRPr="00AD637A" w:rsidRDefault="004F152E" w:rsidP="004F152E">
      <w:pPr>
        <w:rPr>
          <w:lang w:eastAsia="ru-RU"/>
        </w:rPr>
      </w:pPr>
    </w:p>
    <w:p w:rsidR="004F152E" w:rsidRPr="00AD637A" w:rsidRDefault="004F152E" w:rsidP="004F152E">
      <w:pPr>
        <w:rPr>
          <w:lang w:eastAsia="ru-RU"/>
        </w:rPr>
      </w:pPr>
    </w:p>
    <w:p w:rsidR="004F152E" w:rsidRPr="00AD637A" w:rsidRDefault="004F152E" w:rsidP="004F152E">
      <w:pPr>
        <w:rPr>
          <w:lang w:eastAsia="ru-RU"/>
        </w:rPr>
      </w:pPr>
    </w:p>
    <w:p w:rsidR="004F152E" w:rsidRPr="00AD637A" w:rsidRDefault="004F152E" w:rsidP="004F152E">
      <w:pPr>
        <w:rPr>
          <w:lang w:eastAsia="ru-RU"/>
        </w:rPr>
      </w:pPr>
    </w:p>
    <w:p w:rsidR="004F152E" w:rsidRPr="00AD637A" w:rsidRDefault="004F152E" w:rsidP="004F152E">
      <w:pPr>
        <w:rPr>
          <w:lang w:eastAsia="ru-RU"/>
        </w:rPr>
      </w:pPr>
    </w:p>
    <w:p w:rsidR="004F152E" w:rsidRPr="00AD637A" w:rsidRDefault="004F152E">
      <w:pPr>
        <w:rPr>
          <w:lang w:eastAsia="ru-RU"/>
        </w:rPr>
      </w:pPr>
    </w:p>
    <w:p w:rsidR="004F152E" w:rsidRPr="00AD637A" w:rsidRDefault="004F152E" w:rsidP="004F152E">
      <w:pPr>
        <w:pStyle w:val="tkNazvanie"/>
        <w:spacing w:before="0" w:after="0" w:line="240" w:lineRule="auto"/>
        <w:ind w:left="7080" w:right="0"/>
        <w:rPr>
          <w:rFonts w:ascii="Times New Roman" w:hAnsi="Times New Roman" w:cs="Times New Roman"/>
          <w:b w:val="0"/>
          <w:sz w:val="28"/>
          <w:szCs w:val="28"/>
        </w:rPr>
      </w:pPr>
      <w:r w:rsidRPr="00AD637A">
        <w:rPr>
          <w:rFonts w:ascii="Times New Roman" w:hAnsi="Times New Roman" w:cs="Times New Roman"/>
          <w:b w:val="0"/>
          <w:sz w:val="28"/>
          <w:szCs w:val="28"/>
        </w:rPr>
        <w:t>Приложение 2</w:t>
      </w:r>
    </w:p>
    <w:p w:rsidR="004F152E" w:rsidRPr="00AD637A" w:rsidRDefault="004F152E" w:rsidP="004F152E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4F152E" w:rsidRPr="00AD637A" w:rsidRDefault="004F152E" w:rsidP="004F152E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F152E" w:rsidRPr="00AD637A" w:rsidRDefault="004F152E" w:rsidP="004F152E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 xml:space="preserve">Комитета по борьбе с ВИЧ/СПИДом, туберкулезом и малярией при Координационном совете по общественному здравоохранению при Правительстве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4F152E" w:rsidRPr="00AD637A" w:rsidRDefault="004F152E" w:rsidP="004F152E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4F152E" w:rsidRPr="00AD637A" w:rsidRDefault="004F152E" w:rsidP="004F152E">
      <w:pPr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Гражданский сектор </w:t>
      </w:r>
      <w:r w:rsidRPr="00AD637A">
        <w:rPr>
          <w:rFonts w:ascii="Times New Roman" w:hAnsi="Times New Roman" w:cs="Times New Roman"/>
          <w:b/>
          <w:bCs/>
          <w:sz w:val="28"/>
          <w:szCs w:val="28"/>
        </w:rPr>
        <w:br/>
        <w:t>(9 представителей/40%)</w:t>
      </w:r>
    </w:p>
    <w:p w:rsidR="004F152E" w:rsidRPr="00AD637A" w:rsidRDefault="004F152E" w:rsidP="004F15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Сообщество ЛЖВ -2</w:t>
      </w:r>
    </w:p>
    <w:p w:rsidR="004F152E" w:rsidRPr="00AD637A" w:rsidRDefault="004F152E" w:rsidP="004F15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Сообщество ТБ- 2</w:t>
      </w:r>
    </w:p>
    <w:p w:rsidR="004F152E" w:rsidRPr="00AD637A" w:rsidRDefault="004F152E" w:rsidP="004F15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Сообщество ЛУИН -1</w:t>
      </w:r>
    </w:p>
    <w:p w:rsidR="004F152E" w:rsidRPr="00AD637A" w:rsidRDefault="004F152E" w:rsidP="004F15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Сообщество РС – 1</w:t>
      </w:r>
    </w:p>
    <w:p w:rsidR="004F152E" w:rsidRPr="00AD637A" w:rsidRDefault="004F152E" w:rsidP="004F15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Сообщество МСМ/ЛГБТ – 1</w:t>
      </w:r>
    </w:p>
    <w:p w:rsidR="004F152E" w:rsidRPr="00AD637A" w:rsidRDefault="004F152E" w:rsidP="004F15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НПО – 2</w:t>
      </w:r>
    </w:p>
    <w:p w:rsidR="004F152E" w:rsidRPr="00AD637A" w:rsidRDefault="004F152E" w:rsidP="004F152E">
      <w:pPr>
        <w:ind w:left="36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Государственный </w:t>
      </w:r>
      <w:proofErr w:type="gramStart"/>
      <w:r w:rsidRPr="00AD637A">
        <w:rPr>
          <w:rFonts w:ascii="Times New Roman" w:hAnsi="Times New Roman" w:cs="Times New Roman"/>
          <w:b/>
          <w:bCs/>
          <w:sz w:val="28"/>
          <w:szCs w:val="28"/>
        </w:rPr>
        <w:t>сектор</w:t>
      </w:r>
      <w:r w:rsidRPr="00AD637A"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proofErr w:type="gramEnd"/>
      <w:r w:rsidRPr="00AD637A">
        <w:rPr>
          <w:rFonts w:ascii="Times New Roman" w:hAnsi="Times New Roman" w:cs="Times New Roman"/>
          <w:b/>
          <w:bCs/>
          <w:sz w:val="28"/>
          <w:szCs w:val="28"/>
        </w:rPr>
        <w:t>9 организаций)</w:t>
      </w:r>
    </w:p>
    <w:p w:rsidR="004F152E" w:rsidRPr="00AD637A" w:rsidRDefault="004F152E" w:rsidP="004F15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37A">
        <w:rPr>
          <w:rFonts w:ascii="Times New Roman" w:hAnsi="Times New Roman" w:cs="Times New Roman"/>
          <w:sz w:val="28"/>
          <w:szCs w:val="28"/>
        </w:rPr>
        <w:t>Кенеш</w:t>
      </w:r>
      <w:proofErr w:type="spellEnd"/>
      <w:r w:rsidRPr="00AD637A">
        <w:rPr>
          <w:rFonts w:ascii="Times New Roman" w:hAnsi="Times New Roman" w:cs="Times New Roman"/>
          <w:sz w:val="28"/>
          <w:szCs w:val="28"/>
        </w:rPr>
        <w:t xml:space="preserve"> КР -2</w:t>
      </w:r>
    </w:p>
    <w:p w:rsidR="004F152E" w:rsidRPr="00AD637A" w:rsidRDefault="004F152E" w:rsidP="004F15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Правительство КР – 1</w:t>
      </w:r>
    </w:p>
    <w:p w:rsidR="004F152E" w:rsidRPr="00AD637A" w:rsidRDefault="004F152E" w:rsidP="004F15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М</w:t>
      </w:r>
      <w:r w:rsidR="00E54977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Pr="00AD637A">
        <w:rPr>
          <w:rFonts w:ascii="Times New Roman" w:hAnsi="Times New Roman" w:cs="Times New Roman"/>
          <w:sz w:val="28"/>
          <w:szCs w:val="28"/>
        </w:rPr>
        <w:t>Э</w:t>
      </w:r>
      <w:r w:rsidR="00E54977">
        <w:rPr>
          <w:rFonts w:ascii="Times New Roman" w:hAnsi="Times New Roman" w:cs="Times New Roman"/>
          <w:sz w:val="28"/>
          <w:szCs w:val="28"/>
        </w:rPr>
        <w:t>кономики</w:t>
      </w:r>
      <w:r w:rsidRPr="00AD637A">
        <w:rPr>
          <w:rFonts w:ascii="Times New Roman" w:hAnsi="Times New Roman" w:cs="Times New Roman"/>
          <w:sz w:val="28"/>
          <w:szCs w:val="28"/>
        </w:rPr>
        <w:t>/М</w:t>
      </w:r>
      <w:r w:rsidR="00E54977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Pr="00AD637A">
        <w:rPr>
          <w:rFonts w:ascii="Times New Roman" w:hAnsi="Times New Roman" w:cs="Times New Roman"/>
          <w:sz w:val="28"/>
          <w:szCs w:val="28"/>
        </w:rPr>
        <w:t>О</w:t>
      </w:r>
      <w:r w:rsidR="00E54977">
        <w:rPr>
          <w:rFonts w:ascii="Times New Roman" w:hAnsi="Times New Roman" w:cs="Times New Roman"/>
          <w:sz w:val="28"/>
          <w:szCs w:val="28"/>
        </w:rPr>
        <w:t>бразования</w:t>
      </w:r>
      <w:r w:rsidRPr="00AD637A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4F152E" w:rsidRPr="00AD637A" w:rsidRDefault="004F152E" w:rsidP="004F15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МЗКР/ФОМС – 2</w:t>
      </w:r>
    </w:p>
    <w:p w:rsidR="004F152E" w:rsidRPr="00AD637A" w:rsidRDefault="004F152E" w:rsidP="004F15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ГСИН -1</w:t>
      </w:r>
    </w:p>
    <w:p w:rsidR="004F152E" w:rsidRPr="00AD637A" w:rsidRDefault="004F152E" w:rsidP="004F15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МВД - 1</w:t>
      </w:r>
    </w:p>
    <w:p w:rsidR="004F152E" w:rsidRPr="00AD637A" w:rsidRDefault="00E54977" w:rsidP="004F15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МФ/</w:t>
      </w:r>
      <w:proofErr w:type="spellStart"/>
      <w:r>
        <w:rPr>
          <w:rFonts w:ascii="Times New Roman" w:hAnsi="Times New Roman" w:cs="Times New Roman"/>
          <w:sz w:val="28"/>
          <w:szCs w:val="28"/>
        </w:rPr>
        <w:t>МТиСР</w:t>
      </w:r>
      <w:proofErr w:type="spellEnd"/>
      <w:r w:rsidR="004F152E" w:rsidRPr="00AD637A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4F152E" w:rsidRPr="00AD637A" w:rsidRDefault="004F152E" w:rsidP="004F152E">
      <w:pPr>
        <w:ind w:left="36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b/>
          <w:bCs/>
          <w:sz w:val="28"/>
          <w:szCs w:val="28"/>
        </w:rPr>
        <w:t>Международные организации - 5</w:t>
      </w:r>
    </w:p>
    <w:p w:rsidR="004F152E" w:rsidRPr="00AD637A" w:rsidRDefault="004F152E" w:rsidP="004F15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  <w:lang w:val="en-US"/>
        </w:rPr>
        <w:t>USAID </w:t>
      </w:r>
      <w:r w:rsidRPr="00AD637A">
        <w:rPr>
          <w:rFonts w:ascii="Times New Roman" w:hAnsi="Times New Roman" w:cs="Times New Roman"/>
          <w:sz w:val="28"/>
          <w:szCs w:val="28"/>
        </w:rPr>
        <w:t>– основной член, </w:t>
      </w:r>
      <w:proofErr w:type="spellStart"/>
      <w:r w:rsidRPr="00AD637A">
        <w:rPr>
          <w:rFonts w:ascii="Times New Roman" w:hAnsi="Times New Roman" w:cs="Times New Roman"/>
          <w:sz w:val="28"/>
          <w:szCs w:val="28"/>
          <w:lang w:val="en-US"/>
        </w:rPr>
        <w:t>KfW</w:t>
      </w:r>
      <w:proofErr w:type="spellEnd"/>
      <w:r w:rsidRPr="00AD63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637A">
        <w:rPr>
          <w:rFonts w:ascii="Times New Roman" w:hAnsi="Times New Roman" w:cs="Times New Roman"/>
          <w:sz w:val="28"/>
          <w:szCs w:val="28"/>
        </w:rPr>
        <w:t>– альтернат;</w:t>
      </w:r>
      <w:r w:rsidRPr="00AD637A">
        <w:rPr>
          <w:rFonts w:ascii="Times New Roman" w:hAnsi="Times New Roman" w:cs="Times New Roman"/>
          <w:sz w:val="28"/>
          <w:szCs w:val="28"/>
        </w:rPr>
        <w:br/>
      </w:r>
      <w:r w:rsidRPr="00AD637A">
        <w:rPr>
          <w:rFonts w:ascii="Times New Roman" w:hAnsi="Times New Roman" w:cs="Times New Roman"/>
          <w:sz w:val="28"/>
          <w:szCs w:val="28"/>
          <w:lang w:val="en-US"/>
        </w:rPr>
        <w:t>UNDP </w:t>
      </w:r>
      <w:r w:rsidRPr="00AD637A">
        <w:rPr>
          <w:rFonts w:ascii="Times New Roman" w:hAnsi="Times New Roman" w:cs="Times New Roman"/>
          <w:sz w:val="28"/>
          <w:szCs w:val="28"/>
        </w:rPr>
        <w:t>- основной член, </w:t>
      </w:r>
      <w:r w:rsidRPr="00AD637A">
        <w:rPr>
          <w:rFonts w:ascii="Times New Roman" w:hAnsi="Times New Roman" w:cs="Times New Roman"/>
          <w:sz w:val="28"/>
          <w:szCs w:val="28"/>
          <w:lang w:val="en-US"/>
        </w:rPr>
        <w:t>UNFPA </w:t>
      </w:r>
      <w:r w:rsidRPr="00AD637A">
        <w:rPr>
          <w:rFonts w:ascii="Times New Roman" w:hAnsi="Times New Roman" w:cs="Times New Roman"/>
          <w:sz w:val="28"/>
          <w:szCs w:val="28"/>
        </w:rPr>
        <w:t>–  альтернат;</w:t>
      </w:r>
      <w:r w:rsidRPr="00AD637A">
        <w:rPr>
          <w:rFonts w:ascii="Times New Roman" w:hAnsi="Times New Roman" w:cs="Times New Roman"/>
          <w:sz w:val="28"/>
          <w:szCs w:val="28"/>
        </w:rPr>
        <w:br/>
      </w:r>
      <w:r w:rsidRPr="00AD637A">
        <w:rPr>
          <w:rFonts w:ascii="Times New Roman" w:hAnsi="Times New Roman" w:cs="Times New Roman"/>
          <w:sz w:val="28"/>
          <w:szCs w:val="28"/>
          <w:lang w:val="en-US"/>
        </w:rPr>
        <w:t>Soros Foundation </w:t>
      </w:r>
      <w:r w:rsidRPr="00AD637A">
        <w:rPr>
          <w:rFonts w:ascii="Times New Roman" w:hAnsi="Times New Roman" w:cs="Times New Roman"/>
          <w:sz w:val="28"/>
          <w:szCs w:val="28"/>
        </w:rPr>
        <w:t>- основной член, </w:t>
      </w:r>
      <w:r w:rsidRPr="00AD637A">
        <w:rPr>
          <w:rFonts w:ascii="Times New Roman" w:hAnsi="Times New Roman" w:cs="Times New Roman"/>
          <w:sz w:val="28"/>
          <w:szCs w:val="28"/>
          <w:lang w:val="en-US"/>
        </w:rPr>
        <w:t>PSI </w:t>
      </w:r>
      <w:r w:rsidRPr="00AD637A">
        <w:rPr>
          <w:rFonts w:ascii="Times New Roman" w:hAnsi="Times New Roman" w:cs="Times New Roman"/>
          <w:sz w:val="28"/>
          <w:szCs w:val="28"/>
        </w:rPr>
        <w:t>– альтернат;</w:t>
      </w:r>
      <w:r w:rsidRPr="00AD637A">
        <w:rPr>
          <w:rFonts w:ascii="Times New Roman" w:hAnsi="Times New Roman" w:cs="Times New Roman"/>
          <w:sz w:val="28"/>
          <w:szCs w:val="28"/>
        </w:rPr>
        <w:br/>
      </w:r>
      <w:r w:rsidRPr="00AD637A">
        <w:rPr>
          <w:rFonts w:ascii="Times New Roman" w:hAnsi="Times New Roman" w:cs="Times New Roman"/>
          <w:sz w:val="28"/>
          <w:szCs w:val="28"/>
          <w:lang w:val="en-US"/>
        </w:rPr>
        <w:t>UNAIDS </w:t>
      </w:r>
      <w:r w:rsidRPr="00AD637A">
        <w:rPr>
          <w:rFonts w:ascii="Times New Roman" w:hAnsi="Times New Roman" w:cs="Times New Roman"/>
          <w:sz w:val="28"/>
          <w:szCs w:val="28"/>
        </w:rPr>
        <w:t>- основной член, </w:t>
      </w:r>
      <w:r w:rsidRPr="00AD637A">
        <w:rPr>
          <w:rFonts w:ascii="Times New Roman" w:hAnsi="Times New Roman" w:cs="Times New Roman"/>
          <w:sz w:val="28"/>
          <w:szCs w:val="28"/>
          <w:lang w:val="en-US"/>
        </w:rPr>
        <w:t>CDC </w:t>
      </w:r>
      <w:r w:rsidRPr="00AD637A">
        <w:rPr>
          <w:rFonts w:ascii="Times New Roman" w:hAnsi="Times New Roman" w:cs="Times New Roman"/>
          <w:sz w:val="28"/>
          <w:szCs w:val="28"/>
        </w:rPr>
        <w:t>–  альтернат;</w:t>
      </w:r>
      <w:r w:rsidRPr="00AD637A">
        <w:rPr>
          <w:rFonts w:ascii="Times New Roman" w:hAnsi="Times New Roman" w:cs="Times New Roman"/>
          <w:sz w:val="28"/>
          <w:szCs w:val="28"/>
        </w:rPr>
        <w:br/>
      </w:r>
      <w:r w:rsidRPr="00AD637A">
        <w:rPr>
          <w:rFonts w:ascii="Times New Roman" w:hAnsi="Times New Roman" w:cs="Times New Roman"/>
          <w:sz w:val="28"/>
          <w:szCs w:val="28"/>
          <w:lang w:val="en-US"/>
        </w:rPr>
        <w:t>KNCV </w:t>
      </w:r>
      <w:r w:rsidRPr="00AD637A">
        <w:rPr>
          <w:rFonts w:ascii="Times New Roman" w:hAnsi="Times New Roman" w:cs="Times New Roman"/>
          <w:sz w:val="28"/>
          <w:szCs w:val="28"/>
        </w:rPr>
        <w:t>- основной член, - Проект «Победим туберкулёз» – альтернат  </w:t>
      </w:r>
    </w:p>
    <w:p w:rsidR="004F152E" w:rsidRPr="004F152E" w:rsidRDefault="004F152E" w:rsidP="004F152E">
      <w:pPr>
        <w:rPr>
          <w:rFonts w:ascii="Times New Roman" w:hAnsi="Times New Roman" w:cs="Times New Roman"/>
          <w:sz w:val="28"/>
          <w:szCs w:val="28"/>
        </w:rPr>
      </w:pPr>
    </w:p>
    <w:p w:rsidR="004F152E" w:rsidRPr="004F152E" w:rsidRDefault="004F152E" w:rsidP="004F152E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BE7996" w:rsidRPr="004F152E" w:rsidRDefault="00BE7996" w:rsidP="004F152E">
      <w:pPr>
        <w:tabs>
          <w:tab w:val="left" w:pos="3686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E7996" w:rsidRPr="004F152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F4" w:rsidRDefault="001245F4" w:rsidP="001245F4">
      <w:pPr>
        <w:spacing w:after="0" w:line="240" w:lineRule="auto"/>
      </w:pPr>
      <w:r>
        <w:separator/>
      </w:r>
    </w:p>
  </w:endnote>
  <w:endnote w:type="continuationSeparator" w:id="0">
    <w:p w:rsidR="001245F4" w:rsidRDefault="001245F4" w:rsidP="001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941673"/>
      <w:docPartObj>
        <w:docPartGallery w:val="Page Numbers (Bottom of Page)"/>
        <w:docPartUnique/>
      </w:docPartObj>
    </w:sdtPr>
    <w:sdtEndPr/>
    <w:sdtContent>
      <w:p w:rsidR="001245F4" w:rsidRDefault="001245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545">
          <w:rPr>
            <w:noProof/>
          </w:rPr>
          <w:t>2</w:t>
        </w:r>
        <w:r>
          <w:fldChar w:fldCharType="end"/>
        </w:r>
      </w:p>
    </w:sdtContent>
  </w:sdt>
  <w:p w:rsidR="001245F4" w:rsidRDefault="001245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F4" w:rsidRDefault="001245F4" w:rsidP="001245F4">
      <w:pPr>
        <w:spacing w:after="0" w:line="240" w:lineRule="auto"/>
      </w:pPr>
      <w:r>
        <w:separator/>
      </w:r>
    </w:p>
  </w:footnote>
  <w:footnote w:type="continuationSeparator" w:id="0">
    <w:p w:rsidR="001245F4" w:rsidRDefault="001245F4" w:rsidP="00124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A01AB"/>
    <w:multiLevelType w:val="hybridMultilevel"/>
    <w:tmpl w:val="56100D90"/>
    <w:lvl w:ilvl="0" w:tplc="C44872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8C9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E2B7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2EA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189D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A0B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A42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4BB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247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C5A9A"/>
    <w:multiLevelType w:val="hybridMultilevel"/>
    <w:tmpl w:val="0598DEDC"/>
    <w:lvl w:ilvl="0" w:tplc="26BEB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8A9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E42D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C9D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A1B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E6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4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A12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8B7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1E"/>
    <w:rsid w:val="001245F4"/>
    <w:rsid w:val="001E4504"/>
    <w:rsid w:val="003975AF"/>
    <w:rsid w:val="003A57F1"/>
    <w:rsid w:val="004F152E"/>
    <w:rsid w:val="00542E1E"/>
    <w:rsid w:val="00734B92"/>
    <w:rsid w:val="007D6236"/>
    <w:rsid w:val="00810915"/>
    <w:rsid w:val="00831545"/>
    <w:rsid w:val="008A6579"/>
    <w:rsid w:val="00924994"/>
    <w:rsid w:val="009C486B"/>
    <w:rsid w:val="00AD637A"/>
    <w:rsid w:val="00BE7996"/>
    <w:rsid w:val="00C93157"/>
    <w:rsid w:val="00E435E4"/>
    <w:rsid w:val="00E54977"/>
    <w:rsid w:val="00EF7AC2"/>
    <w:rsid w:val="00FC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239F0-BECF-47BA-9930-AEF767C3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542E1E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E799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E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Zagolovok2">
    <w:name w:val="_Заголовок Раздел (tkZagolovok2)"/>
    <w:basedOn w:val="a"/>
    <w:rsid w:val="00BE7996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5F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5F4"/>
  </w:style>
  <w:style w:type="paragraph" w:styleId="a8">
    <w:name w:val="footer"/>
    <w:basedOn w:val="a"/>
    <w:link w:val="a9"/>
    <w:uiPriority w:val="99"/>
    <w:unhideWhenUsed/>
    <w:rsid w:val="0012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13</Pages>
  <Words>3781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Corleone</dc:creator>
  <cp:lastModifiedBy>Bolot</cp:lastModifiedBy>
  <cp:revision>8</cp:revision>
  <cp:lastPrinted>2017-06-20T17:20:00Z</cp:lastPrinted>
  <dcterms:created xsi:type="dcterms:W3CDTF">2017-07-13T23:38:00Z</dcterms:created>
  <dcterms:modified xsi:type="dcterms:W3CDTF">2017-06-22T10:46:00Z</dcterms:modified>
</cp:coreProperties>
</file>