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tbl>
      <w:tblPr>
        <w:tblStyle w:val="GlobalFund"/>
        <w:tblpPr w:leftFromText="181" w:rightFromText="181" w:vertAnchor="page" w:horzAnchor="page" w:tblpYSpec="top"/>
        <w:tblOverlap w:val="never"/>
        <w:tblW w:w="11901" w:type="dxa"/>
        <w:tblLayout w:type="fixed"/>
        <w:tblCellMar>
          <w:right w:w="0" w:type="dxa"/>
        </w:tblCellMar>
        <w:tblLook w:val="04A0" w:firstRow="1" w:lastRow="0" w:firstColumn="1" w:lastColumn="0" w:noHBand="0" w:noVBand="1"/>
      </w:tblPr>
      <w:tblGrid>
        <w:gridCol w:w="11901"/>
      </w:tblGrid>
      <w:tr w:rsidR="007043C7" w:rsidRPr="00B271DB" w14:paraId="33D35476" w14:textId="77777777" w:rsidTr="007F6CC2">
        <w:trPr>
          <w:cnfStyle w:val="100000000000" w:firstRow="1" w:lastRow="0" w:firstColumn="0" w:lastColumn="0" w:oddVBand="0" w:evenVBand="0" w:oddHBand="0" w:evenHBand="0" w:firstRowFirstColumn="0" w:firstRowLastColumn="0" w:lastRowFirstColumn="0" w:lastRowLastColumn="0"/>
          <w:trHeight w:hRule="exact" w:val="5103"/>
        </w:trPr>
        <w:tc>
          <w:tcPr>
            <w:tcW w:w="9638" w:type="dxa"/>
            <w:tcBorders>
              <w:bottom w:val="none" w:sz="0" w:space="0" w:color="auto"/>
            </w:tcBorders>
          </w:tcPr>
          <w:tbl>
            <w:tblPr>
              <w:tblStyle w:val="aa"/>
              <w:tblpPr w:leftFromText="180" w:rightFromText="180" w:vertAnchor="text" w:horzAnchor="margin" w:tblpXSpec="center" w:tblpY="2284"/>
              <w:tblOverlap w:val="never"/>
              <w:tblW w:w="9298" w:type="dxa"/>
              <w:tblBorders>
                <w:top w:val="single" w:sz="6" w:space="0" w:color="1E1E1E" w:themeColor="background2"/>
                <w:left w:val="none" w:sz="0" w:space="0" w:color="auto"/>
                <w:bottom w:val="single" w:sz="6" w:space="0" w:color="1E1E1E" w:themeColor="background2"/>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98"/>
            </w:tblGrid>
            <w:tr w:rsidR="00AF19B0" w:rsidRPr="00B271DB" w14:paraId="3F26895E" w14:textId="77777777" w:rsidTr="009A6DE4">
              <w:tc>
                <w:tcPr>
                  <w:tcW w:w="9298" w:type="dxa"/>
                  <w:vAlign w:val="center"/>
                </w:tcPr>
                <w:p w14:paraId="6908ABDC" w14:textId="77777777" w:rsidR="00B175AC" w:rsidRPr="00B271DB" w:rsidRDefault="009A6DE4" w:rsidP="007364E8">
                  <w:pPr>
                    <w:pStyle w:val="CoverPageTitle"/>
                    <w:jc w:val="left"/>
                    <w:rPr>
                      <w:color w:val="003F72"/>
                    </w:rPr>
                  </w:pPr>
                  <w:r w:rsidRPr="00B271DB">
                    <w:rPr>
                      <w:color w:val="003F72"/>
                    </w:rPr>
                    <w:t>Funding Request</w:t>
                  </w:r>
                  <w:r w:rsidR="000E5BFC" w:rsidRPr="00B271DB">
                    <w:rPr>
                      <w:color w:val="003F72"/>
                    </w:rPr>
                    <w:t xml:space="preserve"> Form</w:t>
                  </w:r>
                </w:p>
                <w:p w14:paraId="0CB60D3D" w14:textId="3F435CB2" w:rsidR="00C11349" w:rsidRPr="00B271DB" w:rsidRDefault="00C11349" w:rsidP="000E5BFC">
                  <w:pPr>
                    <w:pStyle w:val="CoverPageTitle"/>
                    <w:rPr>
                      <w:color w:val="003F72"/>
                      <w:sz w:val="40"/>
                      <w:szCs w:val="40"/>
                    </w:rPr>
                  </w:pPr>
                  <w:r w:rsidRPr="00B271DB">
                    <w:rPr>
                      <w:color w:val="003F72"/>
                      <w:sz w:val="40"/>
                      <w:szCs w:val="40"/>
                    </w:rPr>
                    <w:t xml:space="preserve">Allocation </w:t>
                  </w:r>
                  <w:r w:rsidR="00AB6271">
                    <w:rPr>
                      <w:color w:val="003F72"/>
                      <w:sz w:val="40"/>
                      <w:szCs w:val="40"/>
                    </w:rPr>
                    <w:t>Period</w:t>
                  </w:r>
                  <w:r w:rsidRPr="00B271DB">
                    <w:rPr>
                      <w:color w:val="003F72"/>
                      <w:sz w:val="40"/>
                      <w:szCs w:val="40"/>
                    </w:rPr>
                    <w:t xml:space="preserve"> 2020-2022</w:t>
                  </w:r>
                </w:p>
              </w:tc>
            </w:tr>
          </w:tbl>
          <w:p w14:paraId="09786C6B" w14:textId="77777777" w:rsidR="00F84E3B" w:rsidRDefault="00F84E3B" w:rsidP="00197AE7">
            <w:pPr>
              <w:pStyle w:val="NormalNoSpace"/>
              <w:jc w:val="center"/>
              <w:rPr>
                <w:caps w:val="0"/>
              </w:rPr>
            </w:pPr>
          </w:p>
          <w:p w14:paraId="4470BB6E" w14:textId="55250D34" w:rsidR="007043C7" w:rsidRPr="00B271DB" w:rsidRDefault="00D2069F" w:rsidP="00197AE7">
            <w:pPr>
              <w:pStyle w:val="NormalNoSpace"/>
              <w:jc w:val="center"/>
              <w:rPr>
                <w:caps w:val="0"/>
              </w:rPr>
            </w:pPr>
            <w:r w:rsidRPr="00B271DB">
              <w:rPr>
                <w:noProof/>
              </w:rPr>
              <mc:AlternateContent>
                <mc:Choice Requires="wps">
                  <w:drawing>
                    <wp:anchor distT="0" distB="0" distL="114300" distR="114300" simplePos="0" relativeHeight="251658240" behindDoc="0" locked="0" layoutInCell="1" allowOverlap="1" wp14:anchorId="18AB035E" wp14:editId="3E357E70">
                      <wp:simplePos x="0" y="0"/>
                      <wp:positionH relativeFrom="margin">
                        <wp:align>right</wp:align>
                      </wp:positionH>
                      <wp:positionV relativeFrom="margin">
                        <wp:align>center</wp:align>
                      </wp:positionV>
                      <wp:extent cx="574040" cy="10899648"/>
                      <wp:effectExtent l="0" t="0" r="0" b="0"/>
                      <wp:wrapNone/>
                      <wp:docPr id="203" name="Rectangle 203"/>
                      <wp:cNvGraphicFramePr/>
                      <a:graphic xmlns:a="http://schemas.openxmlformats.org/drawingml/2006/main">
                        <a:graphicData uri="http://schemas.microsoft.com/office/word/2010/wordprocessingShape">
                          <wps:wsp>
                            <wps:cNvSpPr/>
                            <wps:spPr>
                              <a:xfrm>
                                <a:off x="0" y="0"/>
                                <a:ext cx="574040" cy="10899648"/>
                              </a:xfrm>
                              <a:prstGeom prst="rect">
                                <a:avLst/>
                              </a:prstGeom>
                              <a:solidFill>
                                <a:srgbClr val="003F7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A9F123" w14:textId="47907CDC" w:rsidR="001127F4" w:rsidRPr="009F52F1" w:rsidRDefault="001127F4" w:rsidP="0086619D">
                                  <w:pPr>
                                    <w:jc w:val="center"/>
                                    <w:rPr>
                                      <w:color w:val="FFFFFF" w:themeColor="background1"/>
                                      <w:sz w:val="48"/>
                                      <w:szCs w:val="48"/>
                                    </w:rPr>
                                  </w:pPr>
                                  <w:r>
                                    <w:rPr>
                                      <w:color w:val="FFFFFF" w:themeColor="background1"/>
                                      <w:sz w:val="48"/>
                                      <w:szCs w:val="48"/>
                                    </w:rPr>
                                    <w:t>Tailored for Focused Portfolios</w:t>
                                  </w:r>
                                </w:p>
                              </w:txbxContent>
                            </wps:txbx>
                            <wps:bodyPr rot="0" spcFirstLastPara="0" vertOverflow="overflow" horzOverflow="overflow" vert="vert" wrap="square" lIns="91440" tIns="182880" rIns="109728"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B035E" id="Rectangle 203" o:spid="_x0000_s1026" style="position:absolute;left:0;text-align:left;margin-left:-6pt;margin-top:0;width:45.2pt;height:858.25pt;z-index:251658240;visibility:visible;mso-wrap-style:square;mso-width-percent:0;mso-height-percent:0;mso-wrap-distance-left:9pt;mso-wrap-distance-top:0;mso-wrap-distance-right:9pt;mso-wrap-distance-bottom:0;mso-position-horizontal:right;mso-position-horizontal-relative:margin;mso-position-vertical:center;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" fillcolor="#003f72" stroked="f" strokeweight="1pt">
                      <v:textbox style="layout-flow:vertical" inset=",14.4pt,8.64pt,18pt">
                        <w:txbxContent>
                          <w:p w14:paraId="44A9F123" w14:textId="47907CDC" w:rsidR="001127F4" w:rsidRPr="009F52F1" w:rsidRDefault="001127F4" w:rsidP="0086619D">
                            <w:pPr>
                              <w:jc w:val="center"/>
                              <w:rPr>
                                <w:color w:val="FFFFFF" w:themeColor="background1"/>
                                <w:sz w:val="48"/>
                                <w:szCs w:val="48"/>
                              </w:rPr>
                            </w:pPr>
                            <w:r>
                              <w:rPr>
                                <w:color w:val="FFFFFF" w:themeColor="background1"/>
                                <w:sz w:val="48"/>
                                <w:szCs w:val="48"/>
                              </w:rPr>
                              <w:t>Tailored for Focused Portfolios</w:t>
                            </w:r>
                          </w:p>
                        </w:txbxContent>
                      </v:textbox>
                      <w10:wrap anchorx="margin" anchory="margin"/>
                    </v:rect>
                  </w:pict>
                </mc:Fallback>
              </mc:AlternateContent>
            </w:r>
          </w:p>
        </w:tc>
      </w:tr>
    </w:tbl>
    <w:p w14:paraId="4D5C031D" w14:textId="77777777" w:rsidR="007043C7" w:rsidRPr="00B271DB" w:rsidRDefault="007043C7" w:rsidP="007043C7">
      <w:pPr>
        <w:pStyle w:val="Tiny"/>
      </w:pPr>
    </w:p>
    <w:p w14:paraId="5DF05DFA" w14:textId="77777777" w:rsidR="009A28E5" w:rsidRPr="00B271DB" w:rsidRDefault="009A28E5" w:rsidP="009A28E5"/>
    <w:p w14:paraId="695235FB" w14:textId="77777777" w:rsidR="009F52F1" w:rsidRPr="00B271DB" w:rsidRDefault="009F52F1" w:rsidP="009A28E5"/>
    <w:p w14:paraId="11EDC92F" w14:textId="77777777" w:rsidR="009F52F1" w:rsidRPr="00B271DB" w:rsidRDefault="009F52F1" w:rsidP="009A28E5"/>
    <w:p w14:paraId="6A4BD23C" w14:textId="77777777" w:rsidR="009F52F1" w:rsidRPr="00B271DB" w:rsidRDefault="009F52F1" w:rsidP="009A28E5"/>
    <w:p w14:paraId="79CD308B" w14:textId="77777777" w:rsidR="009F52F1" w:rsidRPr="00B271DB" w:rsidRDefault="009F52F1" w:rsidP="009A28E5"/>
    <w:p w14:paraId="4FCC4226" w14:textId="77777777" w:rsidR="009F52F1" w:rsidRPr="00B271DB" w:rsidRDefault="009F52F1" w:rsidP="009A28E5"/>
    <w:p w14:paraId="7FA09794" w14:textId="482F8E37" w:rsidR="001E4991" w:rsidRDefault="006D1A08" w:rsidP="00F5709E">
      <w:pPr>
        <w:spacing w:after="0"/>
        <w:rPr>
          <w:rFonts w:cs="Arial"/>
          <w:i/>
          <w:iCs/>
        </w:rPr>
      </w:pPr>
      <w:r>
        <w:rPr>
          <w:rFonts w:cs="Arial"/>
          <w:i/>
          <w:iCs/>
        </w:rPr>
        <w:t>R</w:t>
      </w:r>
      <w:r w:rsidR="00FA73DE" w:rsidRPr="00B271DB">
        <w:rPr>
          <w:rFonts w:cs="Arial"/>
          <w:i/>
          <w:iCs/>
        </w:rPr>
        <w:t xml:space="preserve">efer to the “Tailored </w:t>
      </w:r>
      <w:r w:rsidR="00975D66">
        <w:rPr>
          <w:rFonts w:cs="Arial"/>
          <w:i/>
          <w:iCs/>
        </w:rPr>
        <w:t>for</w:t>
      </w:r>
      <w:r w:rsidR="00FA73DE" w:rsidRPr="00B271DB">
        <w:rPr>
          <w:rFonts w:cs="Arial"/>
          <w:i/>
          <w:iCs/>
        </w:rPr>
        <w:t xml:space="preserve"> </w:t>
      </w:r>
      <w:r w:rsidR="00E244B4">
        <w:rPr>
          <w:rFonts w:cs="Arial"/>
          <w:i/>
          <w:iCs/>
        </w:rPr>
        <w:t>Focused Portfolios</w:t>
      </w:r>
      <w:r w:rsidR="00FA73DE" w:rsidRPr="00B271DB">
        <w:rPr>
          <w:rFonts w:cs="Arial"/>
          <w:i/>
          <w:iCs/>
        </w:rPr>
        <w:t xml:space="preserve">” </w:t>
      </w:r>
      <w:r w:rsidR="00F112AD" w:rsidRPr="00B271DB">
        <w:rPr>
          <w:rFonts w:cs="Arial"/>
          <w:i/>
          <w:iCs/>
        </w:rPr>
        <w:t xml:space="preserve">Instructions </w:t>
      </w:r>
      <w:r w:rsidR="00FA73DE" w:rsidRPr="00B271DB">
        <w:rPr>
          <w:rFonts w:cs="Arial"/>
          <w:i/>
          <w:iCs/>
        </w:rPr>
        <w:t xml:space="preserve">to complete this </w:t>
      </w:r>
      <w:r w:rsidR="005E5FAA">
        <w:rPr>
          <w:rFonts w:cs="Arial"/>
          <w:i/>
          <w:iCs/>
        </w:rPr>
        <w:t>f</w:t>
      </w:r>
      <w:r w:rsidR="00FA73DE" w:rsidRPr="00B271DB">
        <w:rPr>
          <w:rFonts w:cs="Arial"/>
          <w:i/>
          <w:iCs/>
        </w:rPr>
        <w:t>orm.</w:t>
      </w:r>
    </w:p>
    <w:p w14:paraId="636FB396" w14:textId="77777777" w:rsidR="00F5709E" w:rsidRPr="00701406" w:rsidRDefault="00F5709E" w:rsidP="00F5709E">
      <w:pPr>
        <w:spacing w:after="0"/>
        <w:rPr>
          <w:rFonts w:cs="Arial"/>
          <w:i/>
          <w:iCs/>
        </w:rPr>
      </w:pPr>
    </w:p>
    <w:p w14:paraId="67247401" w14:textId="028E9206" w:rsidR="00304EE8" w:rsidRDefault="009F52F1" w:rsidP="00F5709E">
      <w:pPr>
        <w:spacing w:after="0"/>
        <w:rPr>
          <w:rStyle w:val="10"/>
          <w:color w:val="1E1E1E" w:themeColor="background2"/>
        </w:rPr>
      </w:pPr>
      <w:r w:rsidRPr="00B271DB">
        <w:rPr>
          <w:rStyle w:val="10"/>
          <w:color w:val="1E1E1E" w:themeColor="background2"/>
        </w:rPr>
        <w:t>Summary Information</w:t>
      </w:r>
    </w:p>
    <w:tbl>
      <w:tblPr>
        <w:tblStyle w:val="aa"/>
        <w:tblW w:w="0" w:type="auto"/>
        <w:tblLook w:val="04A0" w:firstRow="1" w:lastRow="0" w:firstColumn="1" w:lastColumn="0" w:noHBand="0" w:noVBand="1"/>
      </w:tblPr>
      <w:tblGrid>
        <w:gridCol w:w="4320"/>
        <w:gridCol w:w="5472"/>
      </w:tblGrid>
      <w:tr w:rsidR="001C2E6F" w:rsidRPr="00B271DB" w14:paraId="08A72EA9" w14:textId="77777777" w:rsidTr="00245DCD">
        <w:trPr>
          <w:trHeight w:val="461"/>
        </w:trPr>
        <w:tc>
          <w:tcPr>
            <w:tcW w:w="4320" w:type="dxa"/>
            <w:shd w:val="clear" w:color="auto" w:fill="F2F2F2" w:themeFill="background1" w:themeFillShade="F2"/>
            <w:vAlign w:val="center"/>
          </w:tcPr>
          <w:p w14:paraId="4AF42D59" w14:textId="77777777" w:rsidR="001C2E6F" w:rsidRPr="00B271DB" w:rsidRDefault="001C2E6F" w:rsidP="001C2E6F">
            <w:pPr>
              <w:rPr>
                <w:rFonts w:cs="Arial"/>
                <w:b/>
              </w:rPr>
            </w:pPr>
            <w:bookmarkStart w:id="0" w:name="_Hlk15379458"/>
            <w:r w:rsidRPr="00B271DB">
              <w:rPr>
                <w:rFonts w:eastAsiaTheme="minorEastAsia"/>
                <w:b/>
                <w:bCs/>
              </w:rPr>
              <w:t>Country(s)</w:t>
            </w:r>
          </w:p>
        </w:tc>
        <w:tc>
          <w:tcPr>
            <w:tcW w:w="5472" w:type="dxa"/>
          </w:tcPr>
          <w:p w14:paraId="147C892D" w14:textId="0BAE1176" w:rsidR="001C2E6F" w:rsidRPr="00B271DB" w:rsidRDefault="001C2E6F" w:rsidP="001C2E6F">
            <w:pPr>
              <w:rPr>
                <w:rFonts w:cs="Arial"/>
              </w:rPr>
            </w:pPr>
            <w:r w:rsidRPr="001C2E6F">
              <w:rPr>
                <w:rFonts w:cs="Arial"/>
              </w:rPr>
              <w:t>Kyrgyz Republic</w:t>
            </w:r>
          </w:p>
        </w:tc>
      </w:tr>
      <w:tr w:rsidR="001C2E6F" w:rsidRPr="00B271DB" w14:paraId="50B0FF9E" w14:textId="77777777" w:rsidTr="00245DCD">
        <w:trPr>
          <w:trHeight w:val="461"/>
        </w:trPr>
        <w:tc>
          <w:tcPr>
            <w:tcW w:w="4320" w:type="dxa"/>
            <w:shd w:val="clear" w:color="auto" w:fill="F2F2F2" w:themeFill="background1" w:themeFillShade="F2"/>
            <w:vAlign w:val="center"/>
          </w:tcPr>
          <w:p w14:paraId="10B5BC6D" w14:textId="77777777" w:rsidR="001C2E6F" w:rsidRPr="00B271DB" w:rsidRDefault="001C2E6F" w:rsidP="001C2E6F">
            <w:pPr>
              <w:rPr>
                <w:rFonts w:cs="Arial"/>
                <w:b/>
              </w:rPr>
            </w:pPr>
            <w:r w:rsidRPr="00B271DB">
              <w:rPr>
                <w:b/>
                <w:bCs/>
              </w:rPr>
              <w:t>Component(s)</w:t>
            </w:r>
          </w:p>
        </w:tc>
        <w:tc>
          <w:tcPr>
            <w:tcW w:w="5472" w:type="dxa"/>
          </w:tcPr>
          <w:p w14:paraId="270A4976" w14:textId="34668B95" w:rsidR="001C2E6F" w:rsidRPr="00B271DB" w:rsidRDefault="001C2E6F" w:rsidP="001C2E6F">
            <w:pPr>
              <w:rPr>
                <w:rFonts w:cs="Arial"/>
              </w:rPr>
            </w:pPr>
            <w:r w:rsidRPr="001C2E6F">
              <w:rPr>
                <w:rFonts w:cs="Arial"/>
              </w:rPr>
              <w:t>HIV/TB</w:t>
            </w:r>
          </w:p>
        </w:tc>
      </w:tr>
      <w:tr w:rsidR="001C2E6F" w:rsidRPr="00B271DB" w14:paraId="187C0205" w14:textId="77777777" w:rsidTr="00245DCD">
        <w:trPr>
          <w:trHeight w:val="461"/>
        </w:trPr>
        <w:tc>
          <w:tcPr>
            <w:tcW w:w="4320" w:type="dxa"/>
            <w:shd w:val="clear" w:color="auto" w:fill="F2F2F2" w:themeFill="background1" w:themeFillShade="F2"/>
            <w:vAlign w:val="center"/>
          </w:tcPr>
          <w:p w14:paraId="314B42BD" w14:textId="77777777" w:rsidR="001C2E6F" w:rsidRPr="00B271DB" w:rsidRDefault="001C2E6F" w:rsidP="001C2E6F">
            <w:pPr>
              <w:rPr>
                <w:rFonts w:cs="Arial"/>
                <w:b/>
              </w:rPr>
            </w:pPr>
            <w:r w:rsidRPr="00B271DB">
              <w:rPr>
                <w:b/>
                <w:bCs/>
              </w:rPr>
              <w:t>Planned grant(s) start date</w:t>
            </w:r>
            <w:r>
              <w:rPr>
                <w:b/>
                <w:bCs/>
              </w:rPr>
              <w:t>(s)</w:t>
            </w:r>
          </w:p>
        </w:tc>
        <w:tc>
          <w:tcPr>
            <w:tcW w:w="5472" w:type="dxa"/>
          </w:tcPr>
          <w:p w14:paraId="2F4C2D8B" w14:textId="5D05A998" w:rsidR="001C2E6F" w:rsidRPr="00B271DB" w:rsidRDefault="001C2E6F" w:rsidP="001C2E6F">
            <w:pPr>
              <w:rPr>
                <w:rFonts w:cs="Arial"/>
              </w:rPr>
            </w:pPr>
            <w:r w:rsidRPr="001C2E6F">
              <w:rPr>
                <w:rFonts w:cs="Arial"/>
              </w:rPr>
              <w:t>01.01.2021</w:t>
            </w:r>
          </w:p>
        </w:tc>
      </w:tr>
      <w:tr w:rsidR="001C2E6F" w:rsidRPr="00B271DB" w14:paraId="600C51E2" w14:textId="77777777" w:rsidTr="00245DCD">
        <w:trPr>
          <w:trHeight w:val="461"/>
        </w:trPr>
        <w:tc>
          <w:tcPr>
            <w:tcW w:w="4320" w:type="dxa"/>
            <w:shd w:val="clear" w:color="auto" w:fill="F2F2F2" w:themeFill="background1" w:themeFillShade="F2"/>
            <w:vAlign w:val="center"/>
          </w:tcPr>
          <w:p w14:paraId="68662918" w14:textId="77777777" w:rsidR="001C2E6F" w:rsidRPr="00B271DB" w:rsidRDefault="001C2E6F" w:rsidP="001C2E6F">
            <w:pPr>
              <w:rPr>
                <w:rFonts w:cs="Arial"/>
                <w:b/>
              </w:rPr>
            </w:pPr>
            <w:r w:rsidRPr="00B271DB">
              <w:rPr>
                <w:b/>
                <w:bCs/>
              </w:rPr>
              <w:t>Planned grant(s) end date</w:t>
            </w:r>
            <w:r>
              <w:rPr>
                <w:b/>
                <w:bCs/>
              </w:rPr>
              <w:t>(s)</w:t>
            </w:r>
          </w:p>
        </w:tc>
        <w:tc>
          <w:tcPr>
            <w:tcW w:w="5472" w:type="dxa"/>
          </w:tcPr>
          <w:p w14:paraId="32436F29" w14:textId="3D481D96" w:rsidR="001C2E6F" w:rsidRPr="00B271DB" w:rsidRDefault="001C2E6F" w:rsidP="001C2E6F">
            <w:pPr>
              <w:rPr>
                <w:rFonts w:cs="Arial"/>
              </w:rPr>
            </w:pPr>
            <w:r w:rsidRPr="001C2E6F">
              <w:rPr>
                <w:rFonts w:cs="Arial"/>
              </w:rPr>
              <w:t>31.12.2023</w:t>
            </w:r>
          </w:p>
        </w:tc>
      </w:tr>
      <w:tr w:rsidR="001C2E6F" w:rsidRPr="00B271DB" w14:paraId="0AD254AE" w14:textId="77777777" w:rsidTr="00245DCD">
        <w:trPr>
          <w:trHeight w:val="461"/>
        </w:trPr>
        <w:tc>
          <w:tcPr>
            <w:tcW w:w="4320" w:type="dxa"/>
            <w:shd w:val="clear" w:color="auto" w:fill="F2F2F2" w:themeFill="background1" w:themeFillShade="F2"/>
            <w:vAlign w:val="center"/>
          </w:tcPr>
          <w:p w14:paraId="53AE2AB6" w14:textId="77777777" w:rsidR="001C2E6F" w:rsidRPr="00B271DB" w:rsidRDefault="001C2E6F" w:rsidP="001C2E6F">
            <w:pPr>
              <w:rPr>
                <w:rFonts w:cs="Arial"/>
                <w:b/>
              </w:rPr>
            </w:pPr>
            <w:r w:rsidRPr="00B271DB">
              <w:rPr>
                <w:b/>
                <w:bCs/>
              </w:rPr>
              <w:t>Principal Recipient</w:t>
            </w:r>
            <w:r>
              <w:rPr>
                <w:b/>
                <w:bCs/>
              </w:rPr>
              <w:t>(s)</w:t>
            </w:r>
            <w:r w:rsidRPr="00B271DB">
              <w:rPr>
                <w:b/>
                <w:bCs/>
              </w:rPr>
              <w:t xml:space="preserve"> </w:t>
            </w:r>
          </w:p>
        </w:tc>
        <w:tc>
          <w:tcPr>
            <w:tcW w:w="5472" w:type="dxa"/>
          </w:tcPr>
          <w:p w14:paraId="5BA95943" w14:textId="0A479543" w:rsidR="001C2E6F" w:rsidRPr="00B271DB" w:rsidRDefault="001C2E6F" w:rsidP="001C2E6F">
            <w:pPr>
              <w:rPr>
                <w:rFonts w:cs="Arial"/>
              </w:rPr>
            </w:pPr>
            <w:r>
              <w:rPr>
                <w:rFonts w:cs="Arial"/>
              </w:rPr>
              <w:t xml:space="preserve">United Nations Development </w:t>
            </w:r>
            <w:proofErr w:type="spellStart"/>
            <w:r>
              <w:rPr>
                <w:rFonts w:cs="Arial"/>
              </w:rPr>
              <w:t>Programme</w:t>
            </w:r>
            <w:proofErr w:type="spellEnd"/>
          </w:p>
        </w:tc>
      </w:tr>
      <w:tr w:rsidR="001C2E6F" w:rsidRPr="00B271DB" w14:paraId="4C4543EA" w14:textId="77777777" w:rsidTr="00245DCD">
        <w:trPr>
          <w:trHeight w:val="461"/>
        </w:trPr>
        <w:tc>
          <w:tcPr>
            <w:tcW w:w="4320" w:type="dxa"/>
            <w:shd w:val="clear" w:color="auto" w:fill="F2F2F2" w:themeFill="background1" w:themeFillShade="F2"/>
            <w:vAlign w:val="center"/>
          </w:tcPr>
          <w:p w14:paraId="42075BEC" w14:textId="77777777" w:rsidR="001C2E6F" w:rsidRPr="00B271DB" w:rsidRDefault="001C2E6F" w:rsidP="001C2E6F">
            <w:pPr>
              <w:rPr>
                <w:rFonts w:cs="Arial"/>
                <w:b/>
              </w:rPr>
            </w:pPr>
            <w:r w:rsidRPr="00B271DB">
              <w:rPr>
                <w:b/>
                <w:bCs/>
              </w:rPr>
              <w:t>Currency</w:t>
            </w:r>
          </w:p>
        </w:tc>
        <w:tc>
          <w:tcPr>
            <w:tcW w:w="5472" w:type="dxa"/>
          </w:tcPr>
          <w:p w14:paraId="2F5E35DE" w14:textId="12A3D684" w:rsidR="001C2E6F" w:rsidRPr="00B271DB" w:rsidRDefault="001C2E6F" w:rsidP="001C2E6F">
            <w:pPr>
              <w:rPr>
                <w:rFonts w:cs="Arial"/>
              </w:rPr>
            </w:pPr>
            <w:r w:rsidRPr="001C2E6F">
              <w:rPr>
                <w:rFonts w:cs="Arial"/>
              </w:rPr>
              <w:t>US Dollars</w:t>
            </w:r>
          </w:p>
        </w:tc>
      </w:tr>
      <w:tr w:rsidR="001C2E6F" w:rsidRPr="00B271DB" w14:paraId="5875766C" w14:textId="77777777" w:rsidTr="00245DCD">
        <w:trPr>
          <w:trHeight w:val="461"/>
        </w:trPr>
        <w:tc>
          <w:tcPr>
            <w:tcW w:w="4320" w:type="dxa"/>
            <w:shd w:val="clear" w:color="auto" w:fill="F2F2F2" w:themeFill="background1" w:themeFillShade="F2"/>
            <w:vAlign w:val="center"/>
          </w:tcPr>
          <w:p w14:paraId="184B3FAD" w14:textId="77777777" w:rsidR="001C2E6F" w:rsidRPr="00B271DB" w:rsidRDefault="001C2E6F" w:rsidP="001C2E6F">
            <w:pPr>
              <w:rPr>
                <w:rFonts w:cs="Arial"/>
                <w:b/>
              </w:rPr>
            </w:pPr>
            <w:r w:rsidRPr="00B271DB">
              <w:rPr>
                <w:b/>
                <w:bCs/>
              </w:rPr>
              <w:t>Allocation Funding Request Amount</w:t>
            </w:r>
          </w:p>
        </w:tc>
        <w:tc>
          <w:tcPr>
            <w:tcW w:w="5472" w:type="dxa"/>
          </w:tcPr>
          <w:p w14:paraId="19D69742" w14:textId="7C9E8DE6" w:rsidR="001C2E6F" w:rsidRPr="00B271DB" w:rsidRDefault="001C2E6F" w:rsidP="001C2E6F">
            <w:pPr>
              <w:rPr>
                <w:rFonts w:cs="Arial"/>
              </w:rPr>
            </w:pPr>
            <w:r w:rsidRPr="001C2E6F">
              <w:rPr>
                <w:rFonts w:cs="Arial"/>
              </w:rPr>
              <w:t>26</w:t>
            </w:r>
            <w:r w:rsidR="009134CC">
              <w:rPr>
                <w:rFonts w:cs="Arial"/>
              </w:rPr>
              <w:t>,</w:t>
            </w:r>
            <w:r w:rsidRPr="001C2E6F">
              <w:rPr>
                <w:rFonts w:cs="Arial"/>
              </w:rPr>
              <w:t>436</w:t>
            </w:r>
            <w:r w:rsidR="009134CC">
              <w:rPr>
                <w:rFonts w:cs="Arial"/>
              </w:rPr>
              <w:t>,</w:t>
            </w:r>
            <w:r w:rsidRPr="001C2E6F">
              <w:rPr>
                <w:rFonts w:cs="Arial"/>
              </w:rPr>
              <w:t>393</w:t>
            </w:r>
          </w:p>
        </w:tc>
      </w:tr>
      <w:tr w:rsidR="00F5709E" w:rsidRPr="00B271DB" w14:paraId="464BB29D" w14:textId="77777777" w:rsidTr="00245DCD">
        <w:trPr>
          <w:trHeight w:val="461"/>
        </w:trPr>
        <w:tc>
          <w:tcPr>
            <w:tcW w:w="4320" w:type="dxa"/>
            <w:shd w:val="clear" w:color="auto" w:fill="F2F2F2" w:themeFill="background1" w:themeFillShade="F2"/>
            <w:vAlign w:val="center"/>
          </w:tcPr>
          <w:p w14:paraId="2D4CF6F6" w14:textId="77777777" w:rsidR="00F5709E" w:rsidRPr="00B271DB" w:rsidRDefault="00F5709E" w:rsidP="00245DCD">
            <w:pPr>
              <w:rPr>
                <w:rFonts w:cs="Arial"/>
                <w:b/>
              </w:rPr>
            </w:pPr>
            <w:r w:rsidRPr="00B271DB">
              <w:rPr>
                <w:b/>
                <w:bCs/>
              </w:rPr>
              <w:t>Prioritized Above Allocation Request (PAAR) Amount</w:t>
            </w:r>
            <w:r w:rsidRPr="00B271DB">
              <w:rPr>
                <w:rStyle w:val="af"/>
                <w:b/>
                <w:bCs/>
              </w:rPr>
              <w:footnoteReference w:id="2"/>
            </w:r>
            <w:r>
              <w:rPr>
                <w:b/>
                <w:bCs/>
              </w:rPr>
              <w:t xml:space="preserve"> </w:t>
            </w:r>
          </w:p>
        </w:tc>
        <w:tc>
          <w:tcPr>
            <w:tcW w:w="5472" w:type="dxa"/>
          </w:tcPr>
          <w:p w14:paraId="7CAAFA27" w14:textId="7AAE62A0" w:rsidR="00F5709E" w:rsidRPr="00B271DB" w:rsidRDefault="0009163D" w:rsidP="00245DCD">
            <w:pPr>
              <w:rPr>
                <w:rFonts w:cs="Arial"/>
              </w:rPr>
            </w:pPr>
            <w:r>
              <w:rPr>
                <w:rFonts w:cs="Arial"/>
              </w:rPr>
              <w:t>10</w:t>
            </w:r>
            <w:r w:rsidR="009134CC">
              <w:rPr>
                <w:rFonts w:cs="Arial"/>
              </w:rPr>
              <w:t>,</w:t>
            </w:r>
            <w:r>
              <w:rPr>
                <w:rFonts w:cs="Arial"/>
              </w:rPr>
              <w:t>301</w:t>
            </w:r>
            <w:r w:rsidR="009134CC">
              <w:rPr>
                <w:rFonts w:cs="Arial"/>
              </w:rPr>
              <w:t>,</w:t>
            </w:r>
            <w:r>
              <w:rPr>
                <w:rFonts w:cs="Arial"/>
              </w:rPr>
              <w:t>131</w:t>
            </w:r>
          </w:p>
        </w:tc>
      </w:tr>
      <w:tr w:rsidR="00F5709E" w:rsidRPr="00B271DB" w14:paraId="356F7A0D" w14:textId="77777777" w:rsidTr="00245DCD">
        <w:trPr>
          <w:trHeight w:val="461"/>
        </w:trPr>
        <w:tc>
          <w:tcPr>
            <w:tcW w:w="4320" w:type="dxa"/>
            <w:shd w:val="clear" w:color="auto" w:fill="F2F2F2" w:themeFill="background1" w:themeFillShade="F2"/>
            <w:vAlign w:val="center"/>
          </w:tcPr>
          <w:p w14:paraId="61100208" w14:textId="77777777" w:rsidR="00F5709E" w:rsidRDefault="00F5709E" w:rsidP="00245DCD">
            <w:pPr>
              <w:spacing w:after="0"/>
              <w:rPr>
                <w:b/>
                <w:bCs/>
              </w:rPr>
            </w:pPr>
            <w:r w:rsidRPr="00B271DB">
              <w:rPr>
                <w:b/>
                <w:bCs/>
              </w:rPr>
              <w:t>Matching Funds</w:t>
            </w:r>
            <w:r>
              <w:rPr>
                <w:b/>
                <w:bCs/>
              </w:rPr>
              <w:t xml:space="preserve"> Request</w:t>
            </w:r>
            <w:r w:rsidRPr="00B271DB">
              <w:rPr>
                <w:b/>
                <w:bCs/>
              </w:rPr>
              <w:t xml:space="preserve"> Amount</w:t>
            </w:r>
            <w:r>
              <w:rPr>
                <w:rStyle w:val="af"/>
                <w:b/>
                <w:bCs/>
              </w:rPr>
              <w:footnoteReference w:id="3"/>
            </w:r>
            <w:r>
              <w:rPr>
                <w:b/>
                <w:bCs/>
              </w:rPr>
              <w:t xml:space="preserve"> </w:t>
            </w:r>
          </w:p>
          <w:p w14:paraId="3E2AD44F" w14:textId="77777777" w:rsidR="00F5709E" w:rsidRPr="00890D60" w:rsidRDefault="00F5709E" w:rsidP="00245DCD">
            <w:pPr>
              <w:rPr>
                <w:rFonts w:cs="Arial"/>
              </w:rPr>
            </w:pPr>
            <w:r w:rsidRPr="00890D60">
              <w:rPr>
                <w:bCs/>
              </w:rPr>
              <w:t>(if applicable)</w:t>
            </w:r>
          </w:p>
        </w:tc>
        <w:tc>
          <w:tcPr>
            <w:tcW w:w="5472" w:type="dxa"/>
          </w:tcPr>
          <w:p w14:paraId="0C1FA7A7" w14:textId="04D520EA" w:rsidR="00F5709E" w:rsidRPr="00B271DB" w:rsidRDefault="00A024B5" w:rsidP="00245DCD">
            <w:pPr>
              <w:rPr>
                <w:rFonts w:cs="Arial"/>
              </w:rPr>
            </w:pPr>
            <w:r>
              <w:rPr>
                <w:rFonts w:cs="Arial"/>
              </w:rPr>
              <w:t>1,000</w:t>
            </w:r>
            <w:r w:rsidR="009134CC">
              <w:rPr>
                <w:rFonts w:cs="Arial"/>
              </w:rPr>
              <w:t>,</w:t>
            </w:r>
            <w:r>
              <w:rPr>
                <w:rFonts w:cs="Arial"/>
              </w:rPr>
              <w:t>000</w:t>
            </w:r>
          </w:p>
        </w:tc>
      </w:tr>
      <w:bookmarkEnd w:id="0"/>
    </w:tbl>
    <w:p w14:paraId="32848ED4" w14:textId="10D69B93" w:rsidR="00F5709E" w:rsidRDefault="00F5709E" w:rsidP="00F5709E">
      <w:pPr>
        <w:spacing w:after="0"/>
        <w:rPr>
          <w:rStyle w:val="10"/>
          <w:color w:val="1E1E1E" w:themeColor="background2"/>
        </w:rPr>
      </w:pPr>
    </w:p>
    <w:p w14:paraId="141AFFEB" w14:textId="68DBD69B" w:rsidR="00F5709E" w:rsidRDefault="00F5709E" w:rsidP="00F5709E">
      <w:pPr>
        <w:spacing w:after="0"/>
        <w:rPr>
          <w:rStyle w:val="10"/>
          <w:color w:val="1E1E1E" w:themeColor="background2"/>
        </w:rPr>
      </w:pPr>
    </w:p>
    <w:p w14:paraId="32CD72B3" w14:textId="1A0985E6" w:rsidR="00F5709E" w:rsidRDefault="00F5709E" w:rsidP="00F5709E">
      <w:pPr>
        <w:spacing w:after="0"/>
        <w:rPr>
          <w:rStyle w:val="10"/>
          <w:color w:val="1E1E1E" w:themeColor="background2"/>
        </w:rPr>
      </w:pPr>
    </w:p>
    <w:p w14:paraId="0E1ACD44" w14:textId="2DDA8342" w:rsidR="00F5709E" w:rsidRPr="00B271DB" w:rsidRDefault="00F5709E" w:rsidP="00F5709E">
      <w:pPr>
        <w:spacing w:after="0"/>
        <w:jc w:val="center"/>
        <w:rPr>
          <w:rFonts w:cs="Arial"/>
          <w:i/>
          <w:iCs/>
        </w:rPr>
      </w:pPr>
      <w:r w:rsidRPr="009F52F1">
        <w:rPr>
          <w:noProof/>
        </w:rPr>
        <w:drawing>
          <wp:inline distT="0" distB="0" distL="0" distR="0" wp14:anchorId="32EA3BCA" wp14:editId="5F0492CA">
            <wp:extent cx="2700000" cy="328154"/>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1945991581" name="Picture 1"/>
                    <pic:cNvPicPr/>
                  </pic:nvPicPr>
                  <pic:blipFill>
                    <a:blip r:embed="rId14"/>
                    <a:srcRect/>
                    <a:stretch/>
                  </pic:blipFill>
                  <pic:spPr>
                    <a:xfrm>
                      <a:off x="0" y="0"/>
                      <a:ext cx="2700000" cy="328154"/>
                    </a:xfrm>
                    <a:prstGeom prst="rect">
                      <a:avLst/>
                    </a:prstGeom>
                  </pic:spPr>
                </pic:pic>
              </a:graphicData>
            </a:graphic>
          </wp:inline>
        </w:drawing>
      </w:r>
    </w:p>
    <w:p w14:paraId="7467D48D" w14:textId="77777777" w:rsidR="001D5CEF" w:rsidRDefault="001D5CEF">
      <w:pPr>
        <w:spacing w:after="160" w:line="0" w:lineRule="auto"/>
        <w:rPr>
          <w:rFonts w:eastAsiaTheme="majorEastAsia" w:cs="Arial"/>
          <w:bCs/>
          <w:noProof/>
          <w:sz w:val="36"/>
          <w:szCs w:val="30"/>
          <w:highlight w:val="lightGray"/>
        </w:rPr>
      </w:pPr>
      <w:r>
        <w:rPr>
          <w:highlight w:val="lightGray"/>
        </w:rPr>
        <w:br w:type="page"/>
      </w:r>
    </w:p>
    <w:p w14:paraId="52502048" w14:textId="0CCCBA79" w:rsidR="00854A89" w:rsidRPr="003860E7" w:rsidRDefault="00824D66" w:rsidP="00824D66">
      <w:pPr>
        <w:pStyle w:val="1"/>
        <w:numPr>
          <w:ilvl w:val="0"/>
          <w:numId w:val="0"/>
        </w:numPr>
        <w:pBdr>
          <w:top w:val="single" w:sz="6" w:space="1" w:color="D9D9D9" w:themeColor="background1" w:themeShade="D9"/>
          <w:left w:val="single" w:sz="6" w:space="4" w:color="D9D9D9" w:themeColor="background1" w:themeShade="D9"/>
          <w:bottom w:val="single" w:sz="6" w:space="1" w:color="D9D9D9" w:themeColor="background1" w:themeShade="D9"/>
          <w:right w:val="single" w:sz="6" w:space="4" w:color="D9D9D9" w:themeColor="background1" w:themeShade="D9"/>
        </w:pBdr>
        <w:shd w:val="clear" w:color="auto" w:fill="D9D9D9" w:themeFill="background1" w:themeFillShade="D9"/>
        <w:spacing w:before="0" w:after="120"/>
        <w:ind w:left="567" w:hanging="567"/>
        <w:rPr>
          <w:b/>
          <w:sz w:val="30"/>
        </w:rPr>
      </w:pPr>
      <w:r>
        <w:rPr>
          <w:b/>
          <w:sz w:val="30"/>
        </w:rPr>
        <w:lastRenderedPageBreak/>
        <w:t xml:space="preserve">Section 1: </w:t>
      </w:r>
      <w:r w:rsidR="00485066" w:rsidRPr="00F25018">
        <w:rPr>
          <w:b/>
          <w:sz w:val="30"/>
        </w:rPr>
        <w:t>Funding Request and Prioritization</w:t>
      </w:r>
    </w:p>
    <w:p w14:paraId="7A8EB95A" w14:textId="62130BDB" w:rsidR="00A77418" w:rsidRPr="008C21CF" w:rsidRDefault="00A77418" w:rsidP="00027195">
      <w:pPr>
        <w:spacing w:after="0" w:line="240" w:lineRule="auto"/>
        <w:jc w:val="both"/>
        <w:textAlignment w:val="baseline"/>
        <w:rPr>
          <w:rFonts w:ascii="Segoe UI" w:eastAsia="Times New Roman" w:hAnsi="Segoe UI" w:cs="Segoe UI"/>
        </w:rPr>
      </w:pPr>
      <w:r w:rsidRPr="00BF4BEE">
        <w:rPr>
          <w:rFonts w:eastAsia="Times New Roman" w:cs="Arial"/>
        </w:rPr>
        <w:t xml:space="preserve">To </w:t>
      </w:r>
      <w:r w:rsidR="00414929">
        <w:rPr>
          <w:rFonts w:eastAsia="Times New Roman" w:cs="Arial"/>
        </w:rPr>
        <w:t>respond to the ques</w:t>
      </w:r>
      <w:r w:rsidR="00FA6A3F">
        <w:rPr>
          <w:rFonts w:eastAsia="Times New Roman" w:cs="Arial"/>
        </w:rPr>
        <w:t>tion</w:t>
      </w:r>
      <w:r w:rsidR="00414929">
        <w:rPr>
          <w:rFonts w:eastAsia="Times New Roman" w:cs="Arial"/>
        </w:rPr>
        <w:t>s below</w:t>
      </w:r>
      <w:r w:rsidRPr="00BF4BEE">
        <w:rPr>
          <w:rFonts w:eastAsia="Times New Roman" w:cs="Arial"/>
        </w:rPr>
        <w:t xml:space="preserve">, </w:t>
      </w:r>
      <w:r w:rsidR="00F112AD">
        <w:rPr>
          <w:rFonts w:eastAsia="Times New Roman" w:cs="Arial"/>
        </w:rPr>
        <w:t xml:space="preserve">refer to the </w:t>
      </w:r>
      <w:r w:rsidR="00F112AD" w:rsidRPr="00664D00">
        <w:rPr>
          <w:rFonts w:eastAsia="Times New Roman" w:cs="Arial"/>
          <w:i/>
          <w:iCs/>
        </w:rPr>
        <w:t>Instructions</w:t>
      </w:r>
      <w:r w:rsidR="00F112AD">
        <w:rPr>
          <w:rFonts w:eastAsia="Times New Roman" w:cs="Arial"/>
        </w:rPr>
        <w:t xml:space="preserve">, </w:t>
      </w:r>
      <w:r w:rsidR="00975618">
        <w:rPr>
          <w:rFonts w:eastAsia="Times New Roman" w:cs="Arial"/>
        </w:rPr>
        <w:t>as well as</w:t>
      </w:r>
      <w:r w:rsidRPr="00BF4BEE">
        <w:rPr>
          <w:rFonts w:eastAsia="Times New Roman" w:cs="Arial"/>
        </w:rPr>
        <w:t xml:space="preserve"> national </w:t>
      </w:r>
      <w:r w:rsidR="00F401B6">
        <w:rPr>
          <w:rFonts w:eastAsia="Times New Roman" w:cs="Arial"/>
        </w:rPr>
        <w:t>strategy</w:t>
      </w:r>
      <w:r w:rsidRPr="00BF4BEE">
        <w:rPr>
          <w:rFonts w:eastAsia="Times New Roman" w:cs="Arial"/>
        </w:rPr>
        <w:t xml:space="preserve"> documents</w:t>
      </w:r>
      <w:r w:rsidR="00F112AD">
        <w:rPr>
          <w:rFonts w:eastAsia="Times New Roman" w:cs="Arial"/>
        </w:rPr>
        <w:t>,</w:t>
      </w:r>
      <w:r w:rsidRPr="00BF4BEE">
        <w:rPr>
          <w:rFonts w:eastAsia="Times New Roman" w:cs="Arial"/>
        </w:rPr>
        <w:t xml:space="preserve"> </w:t>
      </w:r>
      <w:r w:rsidRPr="00BF4BEE">
        <w:rPr>
          <w:rFonts w:eastAsia="Times New Roman" w:cs="Arial"/>
          <w:b/>
          <w:bCs/>
        </w:rPr>
        <w:t>Programmatic Gap Table(s), Funding Landscape Table(s), Performance Framework, Budget and Essential Data Table(s)</w:t>
      </w:r>
      <w:r w:rsidRPr="00BF4BEE">
        <w:rPr>
          <w:rFonts w:eastAsia="Times New Roman" w:cs="Arial"/>
        </w:rPr>
        <w:t>.  </w:t>
      </w:r>
    </w:p>
    <w:p w14:paraId="3E738F92" w14:textId="3BEE3578" w:rsidR="00485066" w:rsidRPr="00B271DB" w:rsidRDefault="00854A89" w:rsidP="00485066">
      <w:pPr>
        <w:spacing w:after="0" w:line="240" w:lineRule="auto"/>
        <w:rPr>
          <w:rFonts w:cs="Arial"/>
          <w:szCs w:val="20"/>
        </w:rPr>
      </w:pPr>
      <w:r>
        <w:rPr>
          <w:rStyle w:val="eop"/>
          <w:rFonts w:cs="Arial"/>
        </w:rPr>
        <w:t> </w:t>
      </w:r>
    </w:p>
    <w:p w14:paraId="725798D2" w14:textId="4325C6E0" w:rsidR="00485066" w:rsidRPr="00B271DB" w:rsidRDefault="00B4096F" w:rsidP="00485066">
      <w:pPr>
        <w:pStyle w:val="21"/>
        <w:numPr>
          <w:ilvl w:val="1"/>
          <w:numId w:val="18"/>
        </w:numPr>
        <w:shd w:val="clear" w:color="auto" w:fill="D9D9D9" w:themeFill="background1" w:themeFillShade="D9"/>
        <w:spacing w:before="0" w:after="0" w:line="240" w:lineRule="auto"/>
        <w:rPr>
          <w:b w:val="0"/>
          <w:szCs w:val="20"/>
        </w:rPr>
      </w:pPr>
      <w:r>
        <w:rPr>
          <w:szCs w:val="20"/>
        </w:rPr>
        <w:t xml:space="preserve">Overall Context and </w:t>
      </w:r>
      <w:r w:rsidR="00B63C35">
        <w:rPr>
          <w:szCs w:val="20"/>
        </w:rPr>
        <w:t>Funding Priorities</w:t>
      </w:r>
    </w:p>
    <w:p w14:paraId="258EA6C1" w14:textId="77777777" w:rsidR="00485066" w:rsidRPr="00B271DB" w:rsidRDefault="00485066" w:rsidP="008C21CF">
      <w:pPr>
        <w:spacing w:after="0"/>
        <w:rPr>
          <w:rFonts w:cs="Arial"/>
          <w:bCs/>
        </w:rPr>
      </w:pPr>
    </w:p>
    <w:p w14:paraId="787CA4B2" w14:textId="3F7EB6CB" w:rsidR="00A77418" w:rsidRPr="004619FD" w:rsidRDefault="001D5CEF" w:rsidP="008C21CF">
      <w:pPr>
        <w:pStyle w:val="paragraph"/>
        <w:spacing w:before="0" w:beforeAutospacing="0" w:after="0" w:afterAutospacing="0"/>
        <w:jc w:val="both"/>
        <w:textAlignment w:val="baseline"/>
        <w:rPr>
          <w:rFonts w:asciiTheme="minorHAnsi" w:hAnsiTheme="minorHAnsi" w:cstheme="minorHAnsi"/>
          <w:sz w:val="22"/>
          <w:szCs w:val="22"/>
        </w:rPr>
      </w:pPr>
      <w:r w:rsidRPr="004619FD">
        <w:rPr>
          <w:rStyle w:val="normaltextrun"/>
          <w:rFonts w:asciiTheme="minorHAnsi" w:hAnsiTheme="minorHAnsi" w:cstheme="minorHAnsi"/>
          <w:sz w:val="22"/>
          <w:szCs w:val="22"/>
        </w:rPr>
        <w:t xml:space="preserve">a) </w:t>
      </w:r>
      <w:r w:rsidR="00F112AD">
        <w:rPr>
          <w:rStyle w:val="normaltextrun"/>
          <w:rFonts w:asciiTheme="minorHAnsi" w:hAnsiTheme="minorHAnsi" w:cstheme="minorHAnsi"/>
          <w:sz w:val="22"/>
          <w:szCs w:val="22"/>
        </w:rPr>
        <w:t>H</w:t>
      </w:r>
      <w:r w:rsidR="00DF3ABE">
        <w:rPr>
          <w:rStyle w:val="normaltextrun"/>
          <w:rFonts w:asciiTheme="minorHAnsi" w:hAnsiTheme="minorHAnsi" w:cstheme="minorHAnsi"/>
          <w:sz w:val="22"/>
          <w:szCs w:val="22"/>
        </w:rPr>
        <w:t>ighlight the</w:t>
      </w:r>
      <w:r w:rsidRPr="004619FD">
        <w:rPr>
          <w:rStyle w:val="normaltextrun"/>
          <w:rFonts w:asciiTheme="minorHAnsi" w:hAnsiTheme="minorHAnsi" w:cstheme="minorHAnsi"/>
          <w:sz w:val="22"/>
          <w:szCs w:val="22"/>
        </w:rPr>
        <w:t xml:space="preserve"> </w:t>
      </w:r>
      <w:r w:rsidR="00A77418" w:rsidRPr="004619FD">
        <w:rPr>
          <w:rStyle w:val="normaltextrun"/>
          <w:rFonts w:asciiTheme="minorHAnsi" w:hAnsiTheme="minorHAnsi" w:cstheme="minorHAnsi"/>
          <w:sz w:val="22"/>
          <w:szCs w:val="22"/>
        </w:rPr>
        <w:t xml:space="preserve">critical elements of the </w:t>
      </w:r>
      <w:r w:rsidR="00A77418" w:rsidRPr="00B74DAA">
        <w:rPr>
          <w:rStyle w:val="normaltextrun"/>
          <w:rFonts w:asciiTheme="minorHAnsi" w:hAnsiTheme="minorHAnsi" w:cstheme="minorHAnsi"/>
          <w:b/>
          <w:sz w:val="22"/>
          <w:szCs w:val="22"/>
        </w:rPr>
        <w:t>country context</w:t>
      </w:r>
      <w:r w:rsidR="00A77418" w:rsidRPr="004619FD">
        <w:rPr>
          <w:rStyle w:val="normaltextrun"/>
          <w:rFonts w:asciiTheme="minorHAnsi" w:hAnsiTheme="minorHAnsi" w:cstheme="minorHAnsi"/>
          <w:sz w:val="22"/>
          <w:szCs w:val="22"/>
        </w:rPr>
        <w:t xml:space="preserve"> that informed the development of this funding request</w:t>
      </w:r>
      <w:r w:rsidR="00907DE9">
        <w:rPr>
          <w:rStyle w:val="eop"/>
          <w:rFonts w:asciiTheme="minorHAnsi" w:hAnsiTheme="minorHAnsi" w:cstheme="minorHAnsi"/>
          <w:sz w:val="22"/>
          <w:szCs w:val="22"/>
        </w:rPr>
        <w:t xml:space="preserve">, including </w:t>
      </w:r>
      <w:r w:rsidR="00CF198D">
        <w:rPr>
          <w:rStyle w:val="eop"/>
          <w:rFonts w:asciiTheme="minorHAnsi" w:hAnsiTheme="minorHAnsi" w:cstheme="minorHAnsi"/>
          <w:sz w:val="22"/>
          <w:szCs w:val="22"/>
        </w:rPr>
        <w:t xml:space="preserve">key and/or vulnerable </w:t>
      </w:r>
      <w:r w:rsidR="0067503A">
        <w:rPr>
          <w:rStyle w:val="eop"/>
          <w:rFonts w:asciiTheme="minorHAnsi" w:hAnsiTheme="minorHAnsi" w:cstheme="minorHAnsi"/>
          <w:sz w:val="22"/>
          <w:szCs w:val="22"/>
        </w:rPr>
        <w:t xml:space="preserve">populations, </w:t>
      </w:r>
      <w:r w:rsidR="00907DE9">
        <w:rPr>
          <w:rStyle w:val="eop"/>
          <w:rFonts w:asciiTheme="minorHAnsi" w:hAnsiTheme="minorHAnsi" w:cstheme="minorHAnsi"/>
          <w:sz w:val="22"/>
          <w:szCs w:val="22"/>
        </w:rPr>
        <w:t>human rights and gender cons</w:t>
      </w:r>
      <w:r w:rsidR="0067503A">
        <w:rPr>
          <w:rStyle w:val="eop"/>
          <w:rFonts w:asciiTheme="minorHAnsi" w:hAnsiTheme="minorHAnsi" w:cstheme="minorHAnsi"/>
          <w:sz w:val="22"/>
          <w:szCs w:val="22"/>
        </w:rPr>
        <w:t xml:space="preserve">iderations. </w:t>
      </w:r>
    </w:p>
    <w:p w14:paraId="6C9FF455" w14:textId="6938CC81" w:rsidR="00485066" w:rsidRPr="00B271DB" w:rsidRDefault="00485066" w:rsidP="00633BBC">
      <w:pPr>
        <w:pStyle w:val="paragraph"/>
        <w:spacing w:before="0" w:beforeAutospacing="0" w:after="0" w:afterAutospacing="0"/>
        <w:jc w:val="both"/>
        <w:textAlignment w:val="baseline"/>
        <w:rPr>
          <w:rFonts w:eastAsia="Calibri" w:cs="Arial"/>
        </w:rPr>
      </w:pPr>
    </w:p>
    <w:tbl>
      <w:tblPr>
        <w:tblStyle w:val="aa"/>
        <w:tblW w:w="0" w:type="auto"/>
        <w:tblLook w:val="04A0" w:firstRow="1" w:lastRow="0" w:firstColumn="1" w:lastColumn="0" w:noHBand="0" w:noVBand="1"/>
      </w:tblPr>
      <w:tblGrid>
        <w:gridCol w:w="10456"/>
      </w:tblGrid>
      <w:tr w:rsidR="00485066" w:rsidRPr="00B271DB" w14:paraId="277B5374" w14:textId="77777777" w:rsidTr="005279BC">
        <w:tc>
          <w:tcPr>
            <w:tcW w:w="10790" w:type="dxa"/>
          </w:tcPr>
          <w:p w14:paraId="51290A3F" w14:textId="78418339" w:rsidR="00AC767A" w:rsidRPr="0092718A" w:rsidRDefault="00AC767A" w:rsidP="00C42233">
            <w:pPr>
              <w:jc w:val="both"/>
              <w:rPr>
                <w:rFonts w:asciiTheme="minorHAnsi" w:hAnsiTheme="minorHAnsi" w:cstheme="minorHAnsi"/>
                <w:sz w:val="20"/>
                <w:szCs w:val="20"/>
                <w:lang w:val="en-GB"/>
              </w:rPr>
            </w:pPr>
            <w:r w:rsidRPr="0092718A">
              <w:rPr>
                <w:rFonts w:asciiTheme="minorHAnsi" w:hAnsiTheme="minorHAnsi" w:cstheme="minorHAnsi"/>
                <w:b/>
                <w:i/>
                <w:sz w:val="20"/>
                <w:szCs w:val="20"/>
                <w:lang w:val="en-GB"/>
              </w:rPr>
              <w:t>Epidemiological Situation with HIV:</w:t>
            </w:r>
            <w:r w:rsidRPr="0092718A">
              <w:rPr>
                <w:rFonts w:asciiTheme="minorHAnsi" w:hAnsiTheme="minorHAnsi" w:cstheme="minorHAnsi"/>
                <w:sz w:val="20"/>
                <w:szCs w:val="20"/>
                <w:lang w:val="en-GB"/>
              </w:rPr>
              <w:t xml:space="preserve"> Notwithstanding the low incidence, high rates of HIV </w:t>
            </w:r>
            <w:r w:rsidR="00A66606" w:rsidRPr="0092718A">
              <w:rPr>
                <w:rFonts w:asciiTheme="minorHAnsi" w:hAnsiTheme="minorHAnsi" w:cstheme="minorHAnsi"/>
                <w:sz w:val="20"/>
                <w:szCs w:val="20"/>
                <w:lang w:val="en-GB"/>
              </w:rPr>
              <w:t>transmission</w:t>
            </w:r>
            <w:r w:rsidRPr="0092718A">
              <w:rPr>
                <w:rFonts w:asciiTheme="minorHAnsi" w:hAnsiTheme="minorHAnsi" w:cstheme="minorHAnsi"/>
                <w:sz w:val="20"/>
                <w:szCs w:val="20"/>
                <w:lang w:val="en-GB"/>
              </w:rPr>
              <w:t xml:space="preserve"> continue to persist in Kyrgyzstan. Over the past five years, the total number of officially registered HIV cases in the country has almost doubled (from 4,819 cases in 2013 to 9,135 cases in 2019). The estimated number of PLHIV amounts to 8,500</w:t>
            </w:r>
            <w:r w:rsidRPr="0092718A">
              <w:rPr>
                <w:rStyle w:val="af"/>
                <w:rFonts w:asciiTheme="minorHAnsi" w:hAnsiTheme="minorHAnsi" w:cstheme="minorHAnsi"/>
                <w:sz w:val="20"/>
                <w:szCs w:val="20"/>
                <w:lang w:val="en-GB"/>
              </w:rPr>
              <w:footnoteReference w:id="4"/>
            </w:r>
            <w:r w:rsidRPr="0092718A">
              <w:rPr>
                <w:rFonts w:asciiTheme="minorHAnsi" w:hAnsiTheme="minorHAnsi" w:cstheme="minorHAnsi"/>
                <w:sz w:val="20"/>
                <w:szCs w:val="20"/>
                <w:lang w:val="en-GB"/>
              </w:rPr>
              <w:t xml:space="preserve"> whereas the HIV prevalence was 142.9 per 100,000 population as of December 31, 2019</w:t>
            </w:r>
            <w:r w:rsidRPr="0092718A">
              <w:rPr>
                <w:rStyle w:val="af"/>
                <w:rFonts w:asciiTheme="minorHAnsi" w:hAnsiTheme="minorHAnsi" w:cstheme="minorHAnsi"/>
                <w:sz w:val="20"/>
                <w:szCs w:val="20"/>
                <w:lang w:val="en-GB"/>
              </w:rPr>
              <w:footnoteReference w:id="5"/>
            </w:r>
            <w:r w:rsidRPr="0092718A">
              <w:rPr>
                <w:rFonts w:asciiTheme="minorHAnsi" w:hAnsiTheme="minorHAnsi" w:cstheme="minorHAnsi"/>
                <w:sz w:val="20"/>
                <w:szCs w:val="20"/>
                <w:lang w:val="en-GB"/>
              </w:rPr>
              <w:t xml:space="preserve">. While the prevalence rate remains relatively stable, a slight increase in the incidence rate </w:t>
            </w:r>
            <w:proofErr w:type="gramStart"/>
            <w:r w:rsidRPr="0092718A">
              <w:rPr>
                <w:rFonts w:asciiTheme="minorHAnsi" w:hAnsiTheme="minorHAnsi" w:cstheme="minorHAnsi"/>
                <w:sz w:val="20"/>
                <w:szCs w:val="20"/>
                <w:lang w:val="en-GB"/>
              </w:rPr>
              <w:t>is observed</w:t>
            </w:r>
            <w:proofErr w:type="gramEnd"/>
            <w:r w:rsidRPr="0092718A">
              <w:rPr>
                <w:rFonts w:asciiTheme="minorHAnsi" w:hAnsiTheme="minorHAnsi" w:cstheme="minorHAnsi"/>
                <w:sz w:val="20"/>
                <w:szCs w:val="20"/>
                <w:lang w:val="en-GB"/>
              </w:rPr>
              <w:t xml:space="preserve"> from 9.8 in 2015 to 12.3 per 100,000 population as of December 31, 2019. The total number of registered HIV cases in the Kyrgyz Republic as of December 31, 2019 amounted to 9,135 people whereof 2,049 have died</w:t>
            </w:r>
            <w:r w:rsidRPr="0092718A">
              <w:rPr>
                <w:rStyle w:val="af"/>
                <w:rFonts w:asciiTheme="minorHAnsi" w:hAnsiTheme="minorHAnsi" w:cstheme="minorHAnsi"/>
                <w:sz w:val="20"/>
                <w:szCs w:val="20"/>
                <w:lang w:val="en-GB"/>
              </w:rPr>
              <w:footnoteReference w:id="6"/>
            </w:r>
            <w:r w:rsidRPr="0092718A">
              <w:rPr>
                <w:rFonts w:asciiTheme="minorHAnsi" w:hAnsiTheme="minorHAnsi" w:cstheme="minorHAnsi"/>
                <w:sz w:val="20"/>
                <w:szCs w:val="20"/>
                <w:lang w:val="en-GB"/>
              </w:rPr>
              <w:t xml:space="preserve">. While in 2013, 478 new cases of HIV infection </w:t>
            </w:r>
            <w:proofErr w:type="gramStart"/>
            <w:r w:rsidRPr="0092718A">
              <w:rPr>
                <w:rFonts w:asciiTheme="minorHAnsi" w:hAnsiTheme="minorHAnsi" w:cstheme="minorHAnsi"/>
                <w:sz w:val="20"/>
                <w:szCs w:val="20"/>
                <w:lang w:val="en-GB"/>
              </w:rPr>
              <w:t>were registered</w:t>
            </w:r>
            <w:proofErr w:type="gramEnd"/>
            <w:r w:rsidRPr="0092718A">
              <w:rPr>
                <w:rFonts w:asciiTheme="minorHAnsi" w:hAnsiTheme="minorHAnsi" w:cstheme="minorHAnsi"/>
                <w:sz w:val="20"/>
                <w:szCs w:val="20"/>
                <w:lang w:val="en-GB"/>
              </w:rPr>
              <w:t xml:space="preserve">, in 2018 and 2019, 820 and 788 new infections were registered, respectively. In recent years, there has been an increase in the number of HIV-positive women reaching 43% of the total number of PLHIV in 2019. According to the official statistics, the HIV epidemic in Kyrgyzstan continues to </w:t>
            </w:r>
            <w:proofErr w:type="gramStart"/>
            <w:r w:rsidRPr="0092718A">
              <w:rPr>
                <w:rFonts w:asciiTheme="minorHAnsi" w:hAnsiTheme="minorHAnsi" w:cstheme="minorHAnsi"/>
                <w:sz w:val="20"/>
                <w:szCs w:val="20"/>
                <w:lang w:val="en-GB"/>
              </w:rPr>
              <w:t>be concentrated</w:t>
            </w:r>
            <w:proofErr w:type="gramEnd"/>
            <w:r w:rsidRPr="0092718A">
              <w:rPr>
                <w:rFonts w:asciiTheme="minorHAnsi" w:hAnsiTheme="minorHAnsi" w:cstheme="minorHAnsi"/>
                <w:sz w:val="20"/>
                <w:szCs w:val="20"/>
                <w:lang w:val="en-GB"/>
              </w:rPr>
              <w:t xml:space="preserve"> among key affected populations, primarily among PWID, SW, MSM and TG. At the same time, starting from 2012, a steady upward trend in sexual transmission of HIV could </w:t>
            </w:r>
            <w:proofErr w:type="gramStart"/>
            <w:r w:rsidRPr="0092718A">
              <w:rPr>
                <w:rFonts w:asciiTheme="minorHAnsi" w:hAnsiTheme="minorHAnsi" w:cstheme="minorHAnsi"/>
                <w:sz w:val="20"/>
                <w:szCs w:val="20"/>
                <w:lang w:val="en-GB"/>
              </w:rPr>
              <w:t>be observed</w:t>
            </w:r>
            <w:proofErr w:type="gramEnd"/>
            <w:r w:rsidRPr="0092718A">
              <w:rPr>
                <w:rFonts w:asciiTheme="minorHAnsi" w:hAnsiTheme="minorHAnsi" w:cstheme="minorHAnsi"/>
                <w:sz w:val="20"/>
                <w:szCs w:val="20"/>
                <w:lang w:val="en-GB"/>
              </w:rPr>
              <w:t>. In 2019, sexual transmission accounted for 70% of all registered HIV cases, whereas mother-to-child-transmission accounted for 12.3%.</w:t>
            </w:r>
            <w:r w:rsidRPr="0092718A">
              <w:rPr>
                <w:rStyle w:val="af"/>
                <w:rFonts w:asciiTheme="minorHAnsi" w:hAnsiTheme="minorHAnsi" w:cstheme="minorHAnsi"/>
                <w:sz w:val="20"/>
                <w:szCs w:val="20"/>
                <w:lang w:val="en-GB"/>
              </w:rPr>
              <w:footnoteReference w:id="7"/>
            </w:r>
            <w:r w:rsidRPr="0092718A">
              <w:rPr>
                <w:rFonts w:asciiTheme="minorHAnsi" w:hAnsiTheme="minorHAnsi" w:cstheme="minorHAnsi"/>
                <w:sz w:val="20"/>
                <w:szCs w:val="20"/>
                <w:lang w:val="en-GB"/>
              </w:rPr>
              <w:t xml:space="preserve"> </w:t>
            </w:r>
          </w:p>
          <w:p w14:paraId="2E7B0082" w14:textId="5D501F2F" w:rsidR="00AC767A" w:rsidRPr="0092718A" w:rsidRDefault="00AC767A" w:rsidP="00C42233">
            <w:pPr>
              <w:jc w:val="both"/>
              <w:rPr>
                <w:rFonts w:asciiTheme="minorHAnsi" w:hAnsiTheme="minorHAnsi" w:cstheme="minorHAnsi"/>
                <w:sz w:val="20"/>
                <w:szCs w:val="20"/>
                <w:lang w:val="en-GB"/>
              </w:rPr>
            </w:pPr>
            <w:r w:rsidRPr="0092718A">
              <w:rPr>
                <w:rFonts w:asciiTheme="minorHAnsi" w:hAnsiTheme="minorHAnsi" w:cstheme="minorHAnsi"/>
                <w:sz w:val="20"/>
                <w:szCs w:val="20"/>
                <w:lang w:val="en-GB"/>
              </w:rPr>
              <w:t xml:space="preserve">The latest routine data of the Republican AIDS </w:t>
            </w:r>
            <w:r w:rsidR="000E0899" w:rsidRPr="0092718A">
              <w:rPr>
                <w:rFonts w:asciiTheme="minorHAnsi" w:hAnsiTheme="minorHAnsi" w:cstheme="minorHAnsi"/>
                <w:sz w:val="20"/>
                <w:szCs w:val="20"/>
                <w:lang w:val="en-GB"/>
              </w:rPr>
              <w:t>Centre</w:t>
            </w:r>
            <w:r w:rsidRPr="0092718A">
              <w:rPr>
                <w:rFonts w:asciiTheme="minorHAnsi" w:hAnsiTheme="minorHAnsi" w:cstheme="minorHAnsi"/>
                <w:sz w:val="20"/>
                <w:szCs w:val="20"/>
                <w:lang w:val="en-GB"/>
              </w:rPr>
              <w:t xml:space="preserve"> shows that most new HIV cases </w:t>
            </w:r>
            <w:proofErr w:type="gramStart"/>
            <w:r w:rsidRPr="0092718A">
              <w:rPr>
                <w:rFonts w:asciiTheme="minorHAnsi" w:hAnsiTheme="minorHAnsi" w:cstheme="minorHAnsi"/>
                <w:sz w:val="20"/>
                <w:szCs w:val="20"/>
                <w:lang w:val="en-GB"/>
              </w:rPr>
              <w:t>are detected</w:t>
            </w:r>
            <w:proofErr w:type="gramEnd"/>
            <w:r w:rsidRPr="0092718A">
              <w:rPr>
                <w:rFonts w:asciiTheme="minorHAnsi" w:hAnsiTheme="minorHAnsi" w:cstheme="minorHAnsi"/>
                <w:sz w:val="20"/>
                <w:szCs w:val="20"/>
                <w:lang w:val="en-GB"/>
              </w:rPr>
              <w:t xml:space="preserve"> among sexual partners of PWID - 4.6% (422 cases, N = 9,135), PLHIV - 7.5% (689 cases, N = 9,135)</w:t>
            </w:r>
            <w:r w:rsidRPr="0092718A">
              <w:rPr>
                <w:rStyle w:val="af"/>
                <w:rFonts w:asciiTheme="minorHAnsi" w:hAnsiTheme="minorHAnsi" w:cstheme="minorHAnsi"/>
                <w:sz w:val="20"/>
                <w:szCs w:val="20"/>
                <w:lang w:val="en-GB"/>
              </w:rPr>
              <w:footnoteReference w:id="8"/>
            </w:r>
            <w:r w:rsidRPr="0092718A">
              <w:rPr>
                <w:rFonts w:asciiTheme="minorHAnsi" w:hAnsiTheme="minorHAnsi" w:cstheme="minorHAnsi"/>
                <w:sz w:val="20"/>
                <w:szCs w:val="20"/>
                <w:lang w:val="en-GB"/>
              </w:rPr>
              <w:t xml:space="preserve"> and, presumably, among labour migrants. Moreover, following the sentinel surveillance (SS) for 2016, HIV prevalence among PWID amounted to 14.3% (estimated number is 25,000), among MSM to 6.6% (estimated number is 16,900), and among SW to 2.0%</w:t>
            </w:r>
            <w:r w:rsidRPr="0092718A">
              <w:rPr>
                <w:rStyle w:val="af"/>
                <w:rFonts w:asciiTheme="minorHAnsi" w:hAnsiTheme="minorHAnsi" w:cstheme="minorHAnsi"/>
                <w:sz w:val="20"/>
                <w:szCs w:val="20"/>
                <w:lang w:val="en-GB"/>
              </w:rPr>
              <w:footnoteReference w:id="9"/>
            </w:r>
            <w:r w:rsidRPr="0092718A">
              <w:rPr>
                <w:rFonts w:asciiTheme="minorHAnsi" w:hAnsiTheme="minorHAnsi" w:cstheme="minorHAnsi"/>
                <w:sz w:val="20"/>
                <w:szCs w:val="20"/>
                <w:lang w:val="en-GB"/>
              </w:rPr>
              <w:t xml:space="preserve"> (estimated number is 7,100</w:t>
            </w:r>
            <w:r w:rsidRPr="0092718A">
              <w:rPr>
                <w:rStyle w:val="af"/>
                <w:rFonts w:asciiTheme="minorHAnsi" w:hAnsiTheme="minorHAnsi" w:cstheme="minorHAnsi"/>
                <w:sz w:val="20"/>
                <w:szCs w:val="20"/>
                <w:lang w:val="en-GB"/>
              </w:rPr>
              <w:footnoteReference w:id="10"/>
            </w:r>
            <w:r w:rsidRPr="0092718A">
              <w:rPr>
                <w:rFonts w:asciiTheme="minorHAnsi" w:hAnsiTheme="minorHAnsi" w:cstheme="minorHAnsi"/>
                <w:sz w:val="20"/>
                <w:szCs w:val="20"/>
                <w:lang w:val="en-GB"/>
              </w:rPr>
              <w:t>). There are no official data on transgender people. The average annual number of prisoners in the penitentiary system of the Kyrgyz Republic amounts to about 8,000 people, with an annual rotation of about 3,500 people. There is a high prevalence of HIV (11.3%), HCV (34.5%) and syphilis (14%) among prisoners</w:t>
            </w:r>
            <w:r w:rsidRPr="0092718A">
              <w:rPr>
                <w:rStyle w:val="af"/>
                <w:rFonts w:asciiTheme="minorHAnsi" w:hAnsiTheme="minorHAnsi" w:cstheme="minorHAnsi"/>
                <w:sz w:val="20"/>
                <w:szCs w:val="20"/>
                <w:lang w:val="en-GB"/>
              </w:rPr>
              <w:footnoteReference w:id="11"/>
            </w:r>
            <w:r w:rsidRPr="0092718A">
              <w:rPr>
                <w:rFonts w:asciiTheme="minorHAnsi" w:hAnsiTheme="minorHAnsi" w:cstheme="minorHAnsi"/>
                <w:sz w:val="20"/>
                <w:szCs w:val="20"/>
                <w:lang w:val="en-GB"/>
              </w:rPr>
              <w:t xml:space="preserve">. </w:t>
            </w:r>
          </w:p>
          <w:p w14:paraId="0F7F967D" w14:textId="77777777" w:rsidR="00AC767A" w:rsidRPr="0092718A" w:rsidRDefault="00AC767A" w:rsidP="00C42233">
            <w:pPr>
              <w:jc w:val="both"/>
              <w:rPr>
                <w:rFonts w:asciiTheme="minorHAnsi" w:hAnsiTheme="minorHAnsi" w:cstheme="minorHAnsi"/>
                <w:sz w:val="20"/>
                <w:szCs w:val="20"/>
                <w:lang w:val="en-GB"/>
              </w:rPr>
            </w:pPr>
            <w:r w:rsidRPr="0092718A">
              <w:rPr>
                <w:rFonts w:asciiTheme="minorHAnsi" w:hAnsiTheme="minorHAnsi" w:cstheme="minorHAnsi"/>
                <w:b/>
                <w:i/>
                <w:sz w:val="20"/>
                <w:szCs w:val="20"/>
                <w:lang w:val="en-GB"/>
              </w:rPr>
              <w:t>National strategic response to HIV:</w:t>
            </w:r>
            <w:r w:rsidRPr="0092718A">
              <w:rPr>
                <w:rFonts w:asciiTheme="minorHAnsi" w:hAnsiTheme="minorHAnsi" w:cstheme="minorHAnsi"/>
                <w:sz w:val="20"/>
                <w:szCs w:val="20"/>
                <w:lang w:val="en-GB"/>
              </w:rPr>
              <w:t xml:space="preserve"> The national response to HIV </w:t>
            </w:r>
            <w:proofErr w:type="gramStart"/>
            <w:r w:rsidRPr="0092718A">
              <w:rPr>
                <w:rFonts w:asciiTheme="minorHAnsi" w:hAnsiTheme="minorHAnsi" w:cstheme="minorHAnsi"/>
                <w:sz w:val="20"/>
                <w:szCs w:val="20"/>
                <w:lang w:val="en-GB"/>
              </w:rPr>
              <w:t>is implemented</w:t>
            </w:r>
            <w:proofErr w:type="gramEnd"/>
            <w:r w:rsidRPr="0092718A">
              <w:rPr>
                <w:rFonts w:asciiTheme="minorHAnsi" w:hAnsiTheme="minorHAnsi" w:cstheme="minorHAnsi"/>
                <w:sz w:val="20"/>
                <w:szCs w:val="20"/>
                <w:lang w:val="en-GB"/>
              </w:rPr>
              <w:t xml:space="preserve"> according to the Government Programme for 2017-2021</w:t>
            </w:r>
            <w:r w:rsidRPr="0092718A">
              <w:rPr>
                <w:rStyle w:val="af"/>
                <w:rFonts w:asciiTheme="minorHAnsi" w:hAnsiTheme="minorHAnsi" w:cstheme="minorHAnsi"/>
                <w:sz w:val="20"/>
                <w:szCs w:val="20"/>
                <w:lang w:val="en-GB"/>
              </w:rPr>
              <w:footnoteReference w:id="12"/>
            </w:r>
            <w:r w:rsidRPr="0092718A">
              <w:rPr>
                <w:rFonts w:asciiTheme="minorHAnsi" w:hAnsiTheme="minorHAnsi" w:cstheme="minorHAnsi"/>
                <w:sz w:val="20"/>
                <w:szCs w:val="20"/>
                <w:lang w:val="en-GB"/>
              </w:rPr>
              <w:t xml:space="preserve">, which was informed by the 2016 IBBS Midterm Review. The interventions of the Government Programme aim at ensuring universal access to prevention, treatment, care and support for PLHIV in line with the 90-90-90 goals. Furthermore, it aims to adequately respond to the epidemic concentrated among key populations (PWID, SW, MSM, TG, prisoners) as well as to update national policies. The Programme includes a plan on how to transition to government funding (Appendix No. 5). It commits to increasing government funds for HIV related services, streamlining treatment regimens, improving access to ARV drugs and reducing their costs, improving legislation on drug procurement and introducing mechanisms of government social contracting for the implementation of prevention programmes among key populations. Furthermore, in 2018, the Government of the Kyrgyz Republic adopted the new Health Development Programme for 2019-2030, including a five-year Action Plan for the period 2019-2023. It defines activities in several areas, including the reduction of HIV incidence and (primary and secondary) disability indicators with a focus on socially significant diseases including reduction of HIV incidence. </w:t>
            </w:r>
          </w:p>
          <w:p w14:paraId="55DFC017" w14:textId="77777777" w:rsidR="00C42233" w:rsidRPr="0092718A" w:rsidRDefault="00C42233" w:rsidP="00C42233">
            <w:pPr>
              <w:jc w:val="both"/>
              <w:rPr>
                <w:rFonts w:asciiTheme="minorHAnsi" w:hAnsiTheme="minorHAnsi" w:cstheme="minorHAnsi"/>
                <w:b/>
                <w:i/>
                <w:sz w:val="20"/>
                <w:szCs w:val="20"/>
                <w:lang w:val="en-GB"/>
              </w:rPr>
            </w:pPr>
            <w:r w:rsidRPr="0092718A">
              <w:rPr>
                <w:rFonts w:asciiTheme="minorHAnsi" w:hAnsiTheme="minorHAnsi" w:cstheme="minorHAnsi"/>
                <w:b/>
                <w:i/>
                <w:sz w:val="20"/>
                <w:szCs w:val="20"/>
                <w:lang w:val="en-GB"/>
              </w:rPr>
              <w:t xml:space="preserve">Progress in the implementation of the national strategic response to HIV: </w:t>
            </w:r>
          </w:p>
          <w:p w14:paraId="03D9248D" w14:textId="77777777" w:rsidR="00C42233" w:rsidRPr="0092718A" w:rsidRDefault="00C42233" w:rsidP="00C42233">
            <w:pPr>
              <w:jc w:val="both"/>
              <w:rPr>
                <w:rFonts w:asciiTheme="minorHAnsi" w:hAnsiTheme="minorHAnsi" w:cstheme="minorHAnsi"/>
                <w:sz w:val="20"/>
                <w:szCs w:val="20"/>
                <w:lang w:val="en-GB"/>
              </w:rPr>
            </w:pPr>
            <w:r w:rsidRPr="0092718A">
              <w:rPr>
                <w:rFonts w:asciiTheme="minorHAnsi" w:hAnsiTheme="minorHAnsi" w:cstheme="minorHAnsi"/>
                <w:sz w:val="20"/>
                <w:szCs w:val="20"/>
                <w:lang w:val="en-GB"/>
              </w:rPr>
              <w:t xml:space="preserve">According to the 2018 Spectrum estimates, the number of PLHIV in the country amounted to 8,500, out of which 68% </w:t>
            </w:r>
            <w:proofErr w:type="gramStart"/>
            <w:r w:rsidRPr="0092718A">
              <w:rPr>
                <w:rFonts w:asciiTheme="minorHAnsi" w:hAnsiTheme="minorHAnsi" w:cstheme="minorHAnsi"/>
                <w:sz w:val="20"/>
                <w:szCs w:val="20"/>
                <w:lang w:val="en-GB"/>
              </w:rPr>
              <w:t>were diagnosed</w:t>
            </w:r>
            <w:proofErr w:type="gramEnd"/>
            <w:r w:rsidRPr="0092718A">
              <w:rPr>
                <w:rFonts w:asciiTheme="minorHAnsi" w:hAnsiTheme="minorHAnsi" w:cstheme="minorHAnsi"/>
                <w:sz w:val="20"/>
                <w:szCs w:val="20"/>
                <w:lang w:val="en-GB"/>
              </w:rPr>
              <w:t xml:space="preserve">. 64% of those diagnosed received ART, and 76% of those undergoing treatment had viral </w:t>
            </w:r>
            <w:r w:rsidRPr="0092718A">
              <w:rPr>
                <w:rFonts w:asciiTheme="minorHAnsi" w:hAnsiTheme="minorHAnsi" w:cstheme="minorHAnsi"/>
                <w:sz w:val="20"/>
                <w:szCs w:val="20"/>
                <w:lang w:val="en-GB"/>
              </w:rPr>
              <w:lastRenderedPageBreak/>
              <w:t>suppression (which corresponds to only 30% of reduced viral load among all PLHIV)</w:t>
            </w:r>
            <w:r w:rsidRPr="0092718A">
              <w:rPr>
                <w:rStyle w:val="af"/>
                <w:rFonts w:asciiTheme="minorHAnsi" w:hAnsiTheme="minorHAnsi" w:cstheme="minorHAnsi"/>
                <w:sz w:val="20"/>
                <w:szCs w:val="20"/>
                <w:lang w:val="en-GB"/>
              </w:rPr>
              <w:footnoteReference w:id="13"/>
            </w:r>
            <w:r w:rsidRPr="0092718A">
              <w:rPr>
                <w:rFonts w:asciiTheme="minorHAnsi" w:hAnsiTheme="minorHAnsi" w:cstheme="minorHAnsi"/>
                <w:sz w:val="20"/>
                <w:szCs w:val="20"/>
                <w:lang w:val="en-GB"/>
              </w:rPr>
              <w:t xml:space="preserve">. By the end of 2018, the Ministry of Health of the Kyrgyz Republic approved the Plan to expand treatment coverage and to increase adherence to ARV (Order of the Ministry of Health of the Kyrgyz Republic No. 892, 12/20/2018). The implementation of this plan improved the cascade treatment throughout the year 2019. Thus, by December 31, 2019, having the same total estimate, 6,458 PLHIV </w:t>
            </w:r>
            <w:proofErr w:type="gramStart"/>
            <w:r w:rsidRPr="0092718A">
              <w:rPr>
                <w:rFonts w:asciiTheme="minorHAnsi" w:hAnsiTheme="minorHAnsi" w:cstheme="minorHAnsi"/>
                <w:sz w:val="20"/>
                <w:szCs w:val="20"/>
                <w:lang w:val="en-GB"/>
              </w:rPr>
              <w:t>were diagnosed</w:t>
            </w:r>
            <w:proofErr w:type="gramEnd"/>
            <w:r w:rsidRPr="0092718A">
              <w:rPr>
                <w:rFonts w:asciiTheme="minorHAnsi" w:hAnsiTheme="minorHAnsi" w:cstheme="minorHAnsi"/>
                <w:sz w:val="20"/>
                <w:szCs w:val="20"/>
                <w:lang w:val="en-GB"/>
              </w:rPr>
              <w:t xml:space="preserve"> (76% vs 68% in 2018), out of those 4,378 PLHIV (68%) were </w:t>
            </w:r>
            <w:r w:rsidRPr="0092718A">
              <w:rPr>
                <w:rFonts w:asciiTheme="minorHAnsi" w:hAnsiTheme="minorHAnsi" w:cstheme="minorHAnsi"/>
                <w:sz w:val="20"/>
                <w:szCs w:val="20"/>
              </w:rPr>
              <w:t xml:space="preserve">registered, out of those </w:t>
            </w:r>
            <w:r w:rsidRPr="0092718A">
              <w:rPr>
                <w:rFonts w:asciiTheme="minorHAnsi" w:hAnsiTheme="minorHAnsi" w:cstheme="minorHAnsi"/>
                <w:sz w:val="20"/>
                <w:szCs w:val="20"/>
                <w:lang w:val="en-GB"/>
              </w:rPr>
              <w:t>4,058 people (93% vs 64% in 2018) received ART, and out of those 3,235 PLHIV (80% vs 76% in 2018) had a suppressed viral load</w:t>
            </w:r>
            <w:r w:rsidRPr="0092718A">
              <w:rPr>
                <w:rStyle w:val="af"/>
                <w:rFonts w:asciiTheme="minorHAnsi" w:hAnsiTheme="minorHAnsi" w:cstheme="minorHAnsi"/>
                <w:sz w:val="20"/>
                <w:szCs w:val="20"/>
                <w:lang w:val="en-GB"/>
              </w:rPr>
              <w:footnoteReference w:id="14"/>
            </w:r>
            <w:r w:rsidRPr="0092718A">
              <w:rPr>
                <w:rFonts w:asciiTheme="minorHAnsi" w:hAnsiTheme="minorHAnsi" w:cstheme="minorHAnsi"/>
                <w:sz w:val="20"/>
                <w:szCs w:val="20"/>
                <w:lang w:val="en-GB"/>
              </w:rPr>
              <w:t>.</w:t>
            </w:r>
          </w:p>
          <w:p w14:paraId="5DC4069D" w14:textId="1579D291" w:rsidR="00485066" w:rsidRPr="0092718A" w:rsidRDefault="00C42233" w:rsidP="00C42233">
            <w:pPr>
              <w:jc w:val="both"/>
              <w:rPr>
                <w:rFonts w:asciiTheme="minorHAnsi" w:hAnsiTheme="minorHAnsi" w:cstheme="minorHAnsi"/>
                <w:sz w:val="20"/>
                <w:szCs w:val="20"/>
                <w:lang w:val="en-GB"/>
              </w:rPr>
            </w:pPr>
            <w:r w:rsidRPr="0092718A">
              <w:rPr>
                <w:rFonts w:asciiTheme="minorHAnsi" w:hAnsiTheme="minorHAnsi" w:cstheme="minorHAnsi"/>
                <w:sz w:val="20"/>
                <w:szCs w:val="20"/>
                <w:lang w:val="en-GB"/>
              </w:rPr>
              <w:t xml:space="preserve">Following WHO recommendations, national treatment guidelines </w:t>
            </w:r>
            <w:proofErr w:type="gramStart"/>
            <w:r w:rsidRPr="0092718A">
              <w:rPr>
                <w:rFonts w:asciiTheme="minorHAnsi" w:hAnsiTheme="minorHAnsi" w:cstheme="minorHAnsi"/>
                <w:sz w:val="20"/>
                <w:szCs w:val="20"/>
                <w:lang w:val="en-GB"/>
              </w:rPr>
              <w:t>were updated</w:t>
            </w:r>
            <w:proofErr w:type="gramEnd"/>
            <w:r w:rsidRPr="0092718A">
              <w:rPr>
                <w:rFonts w:asciiTheme="minorHAnsi" w:hAnsiTheme="minorHAnsi" w:cstheme="minorHAnsi"/>
                <w:sz w:val="20"/>
                <w:szCs w:val="20"/>
                <w:lang w:val="en-GB"/>
              </w:rPr>
              <w:t xml:space="preserve">. By March 2020, 2,500 PLHIV switched to the dolutegravir (DTG) based treatment regimen aiming at covering more than 80% of all PLHIV by the end of the year. The updated clinical protocol (December 2019) </w:t>
            </w:r>
            <w:proofErr w:type="gramStart"/>
            <w:r w:rsidRPr="0092718A">
              <w:rPr>
                <w:rFonts w:asciiTheme="minorHAnsi" w:hAnsiTheme="minorHAnsi" w:cstheme="minorHAnsi"/>
                <w:sz w:val="20"/>
                <w:szCs w:val="20"/>
                <w:lang w:val="en-GB"/>
              </w:rPr>
              <w:t>is expected</w:t>
            </w:r>
            <w:proofErr w:type="gramEnd"/>
            <w:r w:rsidRPr="0092718A">
              <w:rPr>
                <w:rFonts w:asciiTheme="minorHAnsi" w:hAnsiTheme="minorHAnsi" w:cstheme="minorHAnsi"/>
                <w:sz w:val="20"/>
                <w:szCs w:val="20"/>
                <w:lang w:val="en-GB"/>
              </w:rPr>
              <w:t xml:space="preserve"> to be approved in the second quarter of 2020. Prevention programmes for key populations, including harm reduction programmes, remain an important component under the comprehensive country response to the HIV epidemic in Kyrgyzstan. In 2019, under the GF grant implementation, 26 OST sites and 9 N</w:t>
            </w:r>
            <w:r w:rsidR="004A7E3B">
              <w:rPr>
                <w:rFonts w:asciiTheme="minorHAnsi" w:hAnsiTheme="minorHAnsi" w:cstheme="minorHAnsi"/>
                <w:sz w:val="20"/>
                <w:szCs w:val="20"/>
              </w:rPr>
              <w:t>E</w:t>
            </w:r>
            <w:bookmarkStart w:id="1" w:name="_GoBack"/>
            <w:bookmarkEnd w:id="1"/>
            <w:r w:rsidRPr="0092718A">
              <w:rPr>
                <w:rFonts w:asciiTheme="minorHAnsi" w:hAnsiTheme="minorHAnsi" w:cstheme="minorHAnsi"/>
                <w:sz w:val="20"/>
                <w:szCs w:val="20"/>
                <w:lang w:val="en-GB"/>
              </w:rPr>
              <w:t xml:space="preserve">Ps under public health facilities and in the penitentiary system were functioning countrywide, 15 NGOs provided services for PWID, SW, MSM, PLHIV, including 4 </w:t>
            </w:r>
            <w:r w:rsidR="000E0899" w:rsidRPr="0092718A">
              <w:rPr>
                <w:rFonts w:asciiTheme="minorHAnsi" w:hAnsiTheme="minorHAnsi" w:cstheme="minorHAnsi"/>
                <w:sz w:val="20"/>
                <w:szCs w:val="20"/>
                <w:lang w:val="en-GB"/>
              </w:rPr>
              <w:t>centres</w:t>
            </w:r>
            <w:r w:rsidRPr="0092718A">
              <w:rPr>
                <w:rFonts w:asciiTheme="minorHAnsi" w:hAnsiTheme="minorHAnsi" w:cstheme="minorHAnsi"/>
                <w:sz w:val="20"/>
                <w:szCs w:val="20"/>
                <w:lang w:val="en-GB"/>
              </w:rPr>
              <w:t xml:space="preserve"> for PLHIV and key populations. In addition, 6 pilot projects </w:t>
            </w:r>
            <w:proofErr w:type="gramStart"/>
            <w:r w:rsidRPr="0092718A">
              <w:rPr>
                <w:rFonts w:asciiTheme="minorHAnsi" w:hAnsiTheme="minorHAnsi" w:cstheme="minorHAnsi"/>
                <w:sz w:val="20"/>
                <w:szCs w:val="20"/>
                <w:lang w:val="en-GB"/>
              </w:rPr>
              <w:t>were launched</w:t>
            </w:r>
            <w:proofErr w:type="gramEnd"/>
            <w:r w:rsidRPr="0092718A">
              <w:rPr>
                <w:rFonts w:asciiTheme="minorHAnsi" w:hAnsiTheme="minorHAnsi" w:cstheme="minorHAnsi"/>
                <w:sz w:val="20"/>
                <w:szCs w:val="20"/>
                <w:lang w:val="en-GB"/>
              </w:rPr>
              <w:t xml:space="preserve"> to provide care and support to PLHIV through public social contracting mechanisms.</w:t>
            </w:r>
          </w:p>
          <w:p w14:paraId="1110A9D1" w14:textId="77777777" w:rsidR="00A66606" w:rsidRPr="0092718A" w:rsidRDefault="00A66606" w:rsidP="00A66606">
            <w:pPr>
              <w:jc w:val="both"/>
              <w:rPr>
                <w:rFonts w:asciiTheme="minorHAnsi" w:hAnsiTheme="minorHAnsi" w:cstheme="minorHAnsi"/>
                <w:b/>
                <w:i/>
                <w:sz w:val="20"/>
                <w:szCs w:val="20"/>
                <w:lang w:val="en-GB"/>
              </w:rPr>
            </w:pPr>
            <w:r w:rsidRPr="0092718A">
              <w:rPr>
                <w:rFonts w:asciiTheme="minorHAnsi" w:hAnsiTheme="minorHAnsi" w:cstheme="minorHAnsi"/>
                <w:b/>
                <w:i/>
                <w:sz w:val="20"/>
                <w:szCs w:val="20"/>
                <w:lang w:val="en-GB"/>
              </w:rPr>
              <w:t>Epidemiological Situation with TB:</w:t>
            </w:r>
          </w:p>
          <w:p w14:paraId="474F6681" w14:textId="77777777" w:rsidR="00A66606" w:rsidRPr="0092718A" w:rsidRDefault="00A66606" w:rsidP="00A66606">
            <w:pPr>
              <w:spacing w:line="238" w:lineRule="atLeast"/>
              <w:jc w:val="both"/>
              <w:rPr>
                <w:rFonts w:asciiTheme="minorHAnsi" w:eastAsia="Times New Roman" w:hAnsiTheme="minorHAnsi" w:cstheme="minorHAnsi"/>
                <w:color w:val="000000"/>
                <w:sz w:val="20"/>
                <w:szCs w:val="20"/>
                <w:lang w:val="en-GB" w:eastAsia="ru-RU"/>
              </w:rPr>
            </w:pPr>
            <w:r w:rsidRPr="0092718A">
              <w:rPr>
                <w:rFonts w:asciiTheme="minorHAnsi" w:eastAsia="Times New Roman" w:hAnsiTheme="minorHAnsi" w:cstheme="minorHAnsi"/>
                <w:color w:val="000000"/>
                <w:sz w:val="20"/>
                <w:szCs w:val="20"/>
                <w:lang w:val="en-GB" w:eastAsia="ru-RU"/>
              </w:rPr>
              <w:t>Kyrgyzstan remains among the 30 high DR-TB burden countries globally and the 18 high-priority countries in the WHO European Region, with an estimated share of 29% of MDR/RR-TB among all new cases and 68% among previously treated TB cases (2020, Portfolio analysis). The NTC is registering a declining number of new TB infections from 5,853 in 2015 to 5,249 cases in 2018, but national data registering and reporting system needs improvement. As according to NTP data, the estimated TB incidence rate in Kyrgyzstan in 2018 was 83 cases per 100,000 population, whereas according to WHO it amounted to 116 cases per 100,000 population for the same year</w:t>
            </w:r>
            <w:r w:rsidRPr="0092718A">
              <w:rPr>
                <w:rStyle w:val="af"/>
                <w:rFonts w:asciiTheme="minorHAnsi" w:eastAsia="Times New Roman" w:hAnsiTheme="minorHAnsi" w:cstheme="minorHAnsi"/>
                <w:color w:val="000000"/>
                <w:sz w:val="20"/>
                <w:szCs w:val="20"/>
                <w:lang w:val="en-GB" w:eastAsia="ru-RU"/>
              </w:rPr>
              <w:footnoteReference w:id="15"/>
            </w:r>
            <w:r w:rsidRPr="0092718A">
              <w:rPr>
                <w:rFonts w:asciiTheme="minorHAnsi" w:eastAsia="Times New Roman" w:hAnsiTheme="minorHAnsi" w:cstheme="minorHAnsi"/>
                <w:color w:val="000000"/>
                <w:sz w:val="20"/>
                <w:szCs w:val="20"/>
                <w:lang w:val="en-GB" w:eastAsia="ru-RU"/>
              </w:rPr>
              <w:t xml:space="preserve">. Trends in TB incidence in men and women are the same, the ratio of men to women is 1.5%. Most diagnosed cases are among people ranging from 20 to 60 years of age, while the highest mortality rate </w:t>
            </w:r>
            <w:proofErr w:type="gramStart"/>
            <w:r w:rsidRPr="0092718A">
              <w:rPr>
                <w:rFonts w:asciiTheme="minorHAnsi" w:eastAsia="Times New Roman" w:hAnsiTheme="minorHAnsi" w:cstheme="minorHAnsi"/>
                <w:color w:val="000000"/>
                <w:sz w:val="20"/>
                <w:szCs w:val="20"/>
                <w:lang w:val="en-GB" w:eastAsia="ru-RU"/>
              </w:rPr>
              <w:t>is observed</w:t>
            </w:r>
            <w:proofErr w:type="gramEnd"/>
            <w:r w:rsidRPr="0092718A">
              <w:rPr>
                <w:rFonts w:asciiTheme="minorHAnsi" w:eastAsia="Times New Roman" w:hAnsiTheme="minorHAnsi" w:cstheme="minorHAnsi"/>
                <w:color w:val="000000"/>
                <w:sz w:val="20"/>
                <w:szCs w:val="20"/>
                <w:lang w:val="en-GB" w:eastAsia="ru-RU"/>
              </w:rPr>
              <w:t xml:space="preserve"> among previously treated patients above the age of 40.</w:t>
            </w:r>
          </w:p>
          <w:p w14:paraId="6623AE73" w14:textId="0932080B" w:rsidR="00DB30F4" w:rsidRPr="0092718A" w:rsidRDefault="00DB30F4" w:rsidP="00DB30F4">
            <w:pPr>
              <w:spacing w:line="238" w:lineRule="atLeast"/>
              <w:jc w:val="both"/>
              <w:rPr>
                <w:rFonts w:asciiTheme="minorHAnsi" w:eastAsia="Times New Roman" w:hAnsiTheme="minorHAnsi" w:cstheme="minorHAnsi"/>
                <w:color w:val="000000"/>
                <w:sz w:val="20"/>
                <w:szCs w:val="20"/>
                <w:lang w:val="en-GB" w:eastAsia="ru-RU"/>
              </w:rPr>
            </w:pPr>
            <w:r w:rsidRPr="0092718A">
              <w:rPr>
                <w:rFonts w:asciiTheme="minorHAnsi" w:eastAsia="Times New Roman" w:hAnsiTheme="minorHAnsi" w:cstheme="minorHAnsi"/>
                <w:color w:val="000000"/>
                <w:sz w:val="20"/>
                <w:szCs w:val="20"/>
                <w:lang w:val="en-GB" w:eastAsia="ru-RU"/>
              </w:rPr>
              <w:t xml:space="preserve">Among all new cases of pulmonary TB, bacteriologically confirmed cases increased from 59.4% in 2015 to 64.0% in 2018. In 2018, 100% of TB patients </w:t>
            </w:r>
            <w:proofErr w:type="gramStart"/>
            <w:r w:rsidRPr="0092718A">
              <w:rPr>
                <w:rFonts w:asciiTheme="minorHAnsi" w:eastAsia="Times New Roman" w:hAnsiTheme="minorHAnsi" w:cstheme="minorHAnsi"/>
                <w:color w:val="000000"/>
                <w:sz w:val="20"/>
                <w:szCs w:val="20"/>
                <w:lang w:val="en-GB" w:eastAsia="ru-RU"/>
              </w:rPr>
              <w:t>were tested</w:t>
            </w:r>
            <w:proofErr w:type="gramEnd"/>
            <w:r w:rsidRPr="0092718A">
              <w:rPr>
                <w:rFonts w:asciiTheme="minorHAnsi" w:eastAsia="Times New Roman" w:hAnsiTheme="minorHAnsi" w:cstheme="minorHAnsi"/>
                <w:color w:val="000000"/>
                <w:sz w:val="20"/>
                <w:szCs w:val="20"/>
                <w:lang w:val="en-GB" w:eastAsia="ru-RU"/>
              </w:rPr>
              <w:t xml:space="preserve"> for HIV, 71% of HIV-infected TB patients were registered for ARV treatment. The treatment success rate among new TB cases is 82%. Mortality, excluding mortality from TB/HIV, is 6.2 per 100,000 population, with an annual decrease by 8.7% compared to 2015 (2020, Portfolio analysis). The table below shows the trend of declining TB morbidity and mortality according to NTP data (E-Health </w:t>
            </w:r>
            <w:r w:rsidR="000E0899" w:rsidRPr="0092718A">
              <w:rPr>
                <w:rFonts w:asciiTheme="minorHAnsi" w:eastAsia="Times New Roman" w:hAnsiTheme="minorHAnsi" w:cstheme="minorHAnsi"/>
                <w:color w:val="000000"/>
                <w:sz w:val="20"/>
                <w:szCs w:val="20"/>
                <w:lang w:val="en-GB" w:eastAsia="ru-RU"/>
              </w:rPr>
              <w:t>Centre</w:t>
            </w:r>
            <w:r w:rsidRPr="0092718A">
              <w:rPr>
                <w:rFonts w:asciiTheme="minorHAnsi" w:eastAsia="Times New Roman" w:hAnsiTheme="minorHAnsi" w:cstheme="minorHAnsi"/>
                <w:color w:val="000000"/>
                <w:sz w:val="20"/>
                <w:szCs w:val="20"/>
                <w:lang w:val="en-GB" w:eastAsia="ru-RU"/>
              </w:rPr>
              <w:t xml:space="preserve"> under the Ministry of Health of the Kyrgyz Republic and the National Statistical Committee</w:t>
            </w:r>
            <w:r w:rsidRPr="0092718A">
              <w:rPr>
                <w:rStyle w:val="af"/>
                <w:rFonts w:asciiTheme="minorHAnsi" w:eastAsia="Times New Roman" w:hAnsiTheme="minorHAnsi" w:cstheme="minorHAnsi"/>
                <w:color w:val="000000"/>
                <w:sz w:val="20"/>
                <w:szCs w:val="20"/>
                <w:lang w:val="en-GB" w:eastAsia="ru-RU"/>
              </w:rPr>
              <w:footnoteReference w:id="16"/>
            </w:r>
            <w:r w:rsidRPr="0092718A">
              <w:rPr>
                <w:rFonts w:asciiTheme="minorHAnsi" w:eastAsia="Times New Roman" w:hAnsiTheme="minorHAnsi" w:cstheme="minorHAnsi"/>
                <w:color w:val="000000"/>
                <w:sz w:val="20"/>
                <w:szCs w:val="20"/>
                <w:lang w:val="en-GB" w:eastAsia="ru-RU"/>
              </w:rPr>
              <w:t>).</w:t>
            </w:r>
          </w:p>
          <w:p w14:paraId="01E85AFB" w14:textId="77777777" w:rsidR="00DB30F4" w:rsidRPr="0092718A" w:rsidRDefault="00DB30F4" w:rsidP="00DB30F4">
            <w:pPr>
              <w:spacing w:line="238" w:lineRule="atLeast"/>
              <w:jc w:val="both"/>
              <w:rPr>
                <w:rFonts w:asciiTheme="minorHAnsi" w:eastAsia="Times New Roman" w:hAnsiTheme="minorHAnsi" w:cstheme="minorHAnsi"/>
                <w:color w:val="000000"/>
                <w:sz w:val="20"/>
                <w:szCs w:val="20"/>
                <w:lang w:val="en-GB" w:eastAsia="ru-RU"/>
              </w:rPr>
            </w:pPr>
          </w:p>
          <w:p w14:paraId="49F7038F" w14:textId="77777777" w:rsidR="00DB30F4" w:rsidRPr="0092718A" w:rsidRDefault="00DB30F4" w:rsidP="00DB30F4">
            <w:pPr>
              <w:spacing w:line="238" w:lineRule="atLeast"/>
              <w:jc w:val="both"/>
              <w:rPr>
                <w:rFonts w:asciiTheme="minorHAnsi" w:eastAsia="Times New Roman" w:hAnsiTheme="minorHAnsi" w:cstheme="minorHAnsi"/>
                <w:color w:val="000000"/>
                <w:sz w:val="20"/>
                <w:szCs w:val="20"/>
                <w:lang w:val="en-GB" w:eastAsia="ru-RU"/>
              </w:rPr>
            </w:pPr>
            <w:r w:rsidRPr="0092718A">
              <w:rPr>
                <w:rFonts w:asciiTheme="minorHAnsi" w:hAnsiTheme="minorHAnsi" w:cstheme="minorHAnsi"/>
                <w:noProof/>
                <w:sz w:val="20"/>
                <w:szCs w:val="20"/>
                <w:lang w:val="en-GB" w:eastAsia="ru-RU"/>
              </w:rPr>
              <w:drawing>
                <wp:inline distT="0" distB="0" distL="0" distR="0" wp14:anchorId="3A207642" wp14:editId="385C3BBE">
                  <wp:extent cx="5911850" cy="2882900"/>
                  <wp:effectExtent l="0" t="0" r="12700" b="1270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4505D85" w14:textId="77777777" w:rsidR="00DB30F4" w:rsidRPr="0092718A" w:rsidRDefault="00DB30F4" w:rsidP="00DB30F4">
            <w:pPr>
              <w:spacing w:line="238" w:lineRule="atLeast"/>
              <w:jc w:val="both"/>
              <w:rPr>
                <w:rFonts w:asciiTheme="minorHAnsi" w:eastAsia="Times New Roman" w:hAnsiTheme="minorHAnsi" w:cstheme="minorHAnsi"/>
                <w:color w:val="000000"/>
                <w:sz w:val="20"/>
                <w:szCs w:val="20"/>
                <w:lang w:val="en-GB" w:eastAsia="ru-RU"/>
              </w:rPr>
            </w:pPr>
          </w:p>
          <w:p w14:paraId="0B210F14" w14:textId="3A0E3F07" w:rsidR="00BD7400" w:rsidRPr="0092718A" w:rsidRDefault="00BD7400" w:rsidP="00BD7400">
            <w:pPr>
              <w:spacing w:line="238" w:lineRule="atLeast"/>
              <w:jc w:val="both"/>
              <w:rPr>
                <w:rFonts w:asciiTheme="minorHAnsi" w:eastAsia="Times New Roman" w:hAnsiTheme="minorHAnsi" w:cstheme="minorHAnsi"/>
                <w:color w:val="000000"/>
                <w:sz w:val="20"/>
                <w:szCs w:val="20"/>
                <w:lang w:val="en-GB" w:eastAsia="ru-RU"/>
              </w:rPr>
            </w:pPr>
            <w:r w:rsidRPr="0092718A">
              <w:rPr>
                <w:rFonts w:asciiTheme="minorHAnsi" w:eastAsia="Times New Roman" w:hAnsiTheme="minorHAnsi" w:cstheme="minorHAnsi"/>
                <w:color w:val="000000"/>
                <w:sz w:val="20"/>
                <w:szCs w:val="20"/>
                <w:lang w:val="en-GB" w:eastAsia="ru-RU"/>
              </w:rPr>
              <w:t>The currently running “TB-V” Programme covers the period 2017-2021</w:t>
            </w:r>
            <w:r w:rsidRPr="001127F4">
              <w:rPr>
                <w:rFonts w:asciiTheme="minorHAnsi" w:hAnsiTheme="minorHAnsi" w:cstheme="minorHAnsi"/>
                <w:sz w:val="20"/>
                <w:szCs w:val="20"/>
                <w:vertAlign w:val="superscript"/>
              </w:rPr>
              <w:footnoteReference w:id="17"/>
            </w:r>
            <w:r w:rsidRPr="0092718A">
              <w:rPr>
                <w:rFonts w:asciiTheme="minorHAnsi" w:eastAsia="Times New Roman" w:hAnsiTheme="minorHAnsi" w:cstheme="minorHAnsi"/>
                <w:color w:val="000000"/>
                <w:sz w:val="20"/>
                <w:szCs w:val="20"/>
                <w:lang w:val="en-GB" w:eastAsia="ru-RU"/>
              </w:rPr>
              <w:t xml:space="preserve">, while the by Order of the </w:t>
            </w:r>
            <w:proofErr w:type="spellStart"/>
            <w:r w:rsidRPr="0092718A">
              <w:rPr>
                <w:rFonts w:asciiTheme="minorHAnsi" w:eastAsia="Times New Roman" w:hAnsiTheme="minorHAnsi" w:cstheme="minorHAnsi"/>
                <w:color w:val="000000"/>
                <w:sz w:val="20"/>
                <w:szCs w:val="20"/>
                <w:lang w:val="en-GB" w:eastAsia="ru-RU"/>
              </w:rPr>
              <w:t>MoH</w:t>
            </w:r>
            <w:proofErr w:type="spellEnd"/>
            <w:r w:rsidRPr="0092718A">
              <w:rPr>
                <w:rFonts w:asciiTheme="minorHAnsi" w:eastAsia="Times New Roman" w:hAnsiTheme="minorHAnsi" w:cstheme="minorHAnsi"/>
                <w:color w:val="000000"/>
                <w:sz w:val="20"/>
                <w:szCs w:val="20"/>
                <w:lang w:val="en-GB" w:eastAsia="ru-RU"/>
              </w:rPr>
              <w:t xml:space="preserve">, the process of developing the subsequent National Strategic/Operational Plan for 2021-2023 has already started. The NTP implements the most recent WHO-recommended approaches for TB diagnostics and treatment, including new TB drugs and the short treatment regimens for DR-TB cases – also in prisons. According to NTP data from 2019, this increased the DR-TB treatment success rate for the cohort of 2016 to the cohort of 2017, from 56% to 74% for MDR-TB and from 15% to 60% for XDR-TB. In 2018, out of 1,685 DR-TB patients, 684 (40.6%) and 174 patients (10.3%) </w:t>
            </w:r>
            <w:proofErr w:type="gramStart"/>
            <w:r w:rsidRPr="0092718A">
              <w:rPr>
                <w:rFonts w:asciiTheme="minorHAnsi" w:eastAsia="Times New Roman" w:hAnsiTheme="minorHAnsi" w:cstheme="minorHAnsi"/>
                <w:color w:val="000000"/>
                <w:sz w:val="20"/>
                <w:szCs w:val="20"/>
                <w:lang w:val="en-GB" w:eastAsia="ru-RU"/>
              </w:rPr>
              <w:t>were admitted</w:t>
            </w:r>
            <w:proofErr w:type="gramEnd"/>
            <w:r w:rsidRPr="0092718A">
              <w:rPr>
                <w:rFonts w:asciiTheme="minorHAnsi" w:eastAsia="Times New Roman" w:hAnsiTheme="minorHAnsi" w:cstheme="minorHAnsi"/>
                <w:color w:val="000000"/>
                <w:sz w:val="20"/>
                <w:szCs w:val="20"/>
                <w:lang w:val="en-GB" w:eastAsia="ru-RU"/>
              </w:rPr>
              <w:t xml:space="preserve"> for treatment with new and repurposed TB drugs under individual and short-term treatment regimens, respectively (2019, WHO Mission Report). At the stage of entry to the penitentiary system, all prisoners </w:t>
            </w:r>
            <w:proofErr w:type="gramStart"/>
            <w:r w:rsidRPr="0092718A">
              <w:rPr>
                <w:rFonts w:asciiTheme="minorHAnsi" w:eastAsia="Times New Roman" w:hAnsiTheme="minorHAnsi" w:cstheme="minorHAnsi"/>
                <w:color w:val="000000"/>
                <w:sz w:val="20"/>
                <w:szCs w:val="20"/>
                <w:lang w:val="en-GB" w:eastAsia="ru-RU"/>
              </w:rPr>
              <w:t>are screened</w:t>
            </w:r>
            <w:proofErr w:type="gramEnd"/>
            <w:r w:rsidRPr="0092718A">
              <w:rPr>
                <w:rFonts w:asciiTheme="minorHAnsi" w:eastAsia="Times New Roman" w:hAnsiTheme="minorHAnsi" w:cstheme="minorHAnsi"/>
                <w:color w:val="000000"/>
                <w:sz w:val="20"/>
                <w:szCs w:val="20"/>
                <w:lang w:val="en-GB" w:eastAsia="ru-RU"/>
              </w:rPr>
              <w:t xml:space="preserve"> for TB, HIV and viral hepatitis (at detention </w:t>
            </w:r>
            <w:r w:rsidR="000E0899" w:rsidRPr="0092718A">
              <w:rPr>
                <w:rFonts w:asciiTheme="minorHAnsi" w:eastAsia="Times New Roman" w:hAnsiTheme="minorHAnsi" w:cstheme="minorHAnsi"/>
                <w:color w:val="000000"/>
                <w:sz w:val="20"/>
                <w:szCs w:val="20"/>
                <w:lang w:val="en-GB" w:eastAsia="ru-RU"/>
              </w:rPr>
              <w:t>centre</w:t>
            </w:r>
            <w:r w:rsidRPr="0092718A">
              <w:rPr>
                <w:rFonts w:asciiTheme="minorHAnsi" w:eastAsia="Times New Roman" w:hAnsiTheme="minorHAnsi" w:cstheme="minorHAnsi"/>
                <w:color w:val="000000"/>
                <w:sz w:val="20"/>
                <w:szCs w:val="20"/>
                <w:lang w:val="en-GB" w:eastAsia="ru-RU"/>
              </w:rPr>
              <w:t>). The country is working on strengthening TB detection, diagnostics and treatment at PHC level. There are 24 GeneXpert/MTB-Rif platforms countrywide, at PHC level (13) and within TB service (8) and in the penitentiary system (3). The sputum specimen transportation system is currently covering all 7 country regions aiming to increase the tests coverage and optimize the GeneXpert/MTB-Rif platforms usage.</w:t>
            </w:r>
          </w:p>
          <w:p w14:paraId="0253304F" w14:textId="0BA63116" w:rsidR="00E64139" w:rsidRPr="0092718A" w:rsidRDefault="00E64139" w:rsidP="00E64139">
            <w:pPr>
              <w:spacing w:line="238" w:lineRule="atLeast"/>
              <w:jc w:val="both"/>
              <w:rPr>
                <w:rFonts w:asciiTheme="minorHAnsi" w:eastAsia="Times New Roman" w:hAnsiTheme="minorHAnsi" w:cstheme="minorHAnsi"/>
                <w:color w:val="000000"/>
                <w:sz w:val="20"/>
                <w:szCs w:val="20"/>
                <w:lang w:val="en-GB" w:eastAsia="ru-RU"/>
              </w:rPr>
            </w:pPr>
            <w:r w:rsidRPr="0092718A">
              <w:rPr>
                <w:rFonts w:asciiTheme="minorHAnsi" w:eastAsia="Times New Roman" w:hAnsiTheme="minorHAnsi" w:cstheme="minorHAnsi"/>
                <w:color w:val="000000"/>
                <w:sz w:val="20"/>
                <w:szCs w:val="20"/>
                <w:lang w:val="en-GB" w:eastAsia="ru-RU"/>
              </w:rPr>
              <w:t xml:space="preserve">For the treatment of </w:t>
            </w:r>
            <w:r w:rsidR="009134CC" w:rsidRPr="0092718A">
              <w:rPr>
                <w:rFonts w:asciiTheme="minorHAnsi" w:eastAsia="Times New Roman" w:hAnsiTheme="minorHAnsi" w:cstheme="minorHAnsi"/>
                <w:color w:val="000000"/>
                <w:sz w:val="20"/>
                <w:szCs w:val="20"/>
                <w:lang w:val="en-GB" w:eastAsia="ru-RU"/>
              </w:rPr>
              <w:t>paediatric</w:t>
            </w:r>
            <w:r w:rsidRPr="0092718A">
              <w:rPr>
                <w:rFonts w:asciiTheme="minorHAnsi" w:eastAsia="Times New Roman" w:hAnsiTheme="minorHAnsi" w:cstheme="minorHAnsi"/>
                <w:color w:val="000000"/>
                <w:sz w:val="20"/>
                <w:szCs w:val="20"/>
                <w:lang w:val="en-GB" w:eastAsia="ru-RU"/>
              </w:rPr>
              <w:t xml:space="preserve"> TB, the country is using </w:t>
            </w:r>
            <w:r w:rsidR="009134CC" w:rsidRPr="0092718A">
              <w:rPr>
                <w:rFonts w:asciiTheme="minorHAnsi" w:eastAsia="Times New Roman" w:hAnsiTheme="minorHAnsi" w:cstheme="minorHAnsi"/>
                <w:color w:val="000000"/>
                <w:sz w:val="20"/>
                <w:szCs w:val="20"/>
                <w:lang w:val="en-GB" w:eastAsia="ru-RU"/>
              </w:rPr>
              <w:t>paediatric</w:t>
            </w:r>
            <w:r w:rsidRPr="0092718A">
              <w:rPr>
                <w:rFonts w:asciiTheme="minorHAnsi" w:eastAsia="Times New Roman" w:hAnsiTheme="minorHAnsi" w:cstheme="minorHAnsi"/>
                <w:color w:val="000000"/>
                <w:sz w:val="20"/>
                <w:szCs w:val="20"/>
                <w:lang w:val="en-GB" w:eastAsia="ru-RU"/>
              </w:rPr>
              <w:t xml:space="preserve"> soluble TB drugs and computerised tomography (CT) </w:t>
            </w:r>
            <w:proofErr w:type="gramStart"/>
            <w:r w:rsidRPr="0092718A">
              <w:rPr>
                <w:rFonts w:asciiTheme="minorHAnsi" w:eastAsia="Times New Roman" w:hAnsiTheme="minorHAnsi" w:cstheme="minorHAnsi"/>
                <w:color w:val="000000"/>
                <w:sz w:val="20"/>
                <w:szCs w:val="20"/>
                <w:lang w:val="en-GB" w:eastAsia="ru-RU"/>
              </w:rPr>
              <w:t>is used</w:t>
            </w:r>
            <w:proofErr w:type="gramEnd"/>
            <w:r w:rsidRPr="0092718A">
              <w:rPr>
                <w:rFonts w:asciiTheme="minorHAnsi" w:eastAsia="Times New Roman" w:hAnsiTheme="minorHAnsi" w:cstheme="minorHAnsi"/>
                <w:color w:val="000000"/>
                <w:sz w:val="20"/>
                <w:szCs w:val="20"/>
                <w:lang w:val="en-GB" w:eastAsia="ru-RU"/>
              </w:rPr>
              <w:t xml:space="preserve"> to enable differential diagnostics. In 2019, 616 children </w:t>
            </w:r>
            <w:proofErr w:type="gramStart"/>
            <w:r w:rsidRPr="0092718A">
              <w:rPr>
                <w:rFonts w:asciiTheme="minorHAnsi" w:eastAsia="Times New Roman" w:hAnsiTheme="minorHAnsi" w:cstheme="minorHAnsi"/>
                <w:color w:val="000000"/>
                <w:sz w:val="20"/>
                <w:szCs w:val="20"/>
                <w:lang w:val="en-GB" w:eastAsia="ru-RU"/>
              </w:rPr>
              <w:t>were examined</w:t>
            </w:r>
            <w:proofErr w:type="gramEnd"/>
            <w:r w:rsidRPr="0092718A">
              <w:rPr>
                <w:rFonts w:asciiTheme="minorHAnsi" w:eastAsia="Times New Roman" w:hAnsiTheme="minorHAnsi" w:cstheme="minorHAnsi"/>
                <w:color w:val="000000"/>
                <w:sz w:val="20"/>
                <w:szCs w:val="20"/>
                <w:lang w:val="en-GB" w:eastAsia="ru-RU"/>
              </w:rPr>
              <w:t>, of which 157 were diagnosed with TB.</w:t>
            </w:r>
          </w:p>
          <w:p w14:paraId="48E695FD" w14:textId="77777777" w:rsidR="00E25BC0" w:rsidRPr="0092718A" w:rsidRDefault="00E25BC0" w:rsidP="00E25BC0">
            <w:pPr>
              <w:jc w:val="both"/>
              <w:rPr>
                <w:rFonts w:asciiTheme="minorHAnsi" w:hAnsiTheme="minorHAnsi" w:cstheme="minorHAnsi"/>
                <w:b/>
                <w:i/>
                <w:sz w:val="20"/>
                <w:szCs w:val="20"/>
                <w:lang w:val="en-GB"/>
              </w:rPr>
            </w:pPr>
            <w:r w:rsidRPr="0092718A">
              <w:rPr>
                <w:rFonts w:asciiTheme="minorHAnsi" w:hAnsiTheme="minorHAnsi" w:cstheme="minorHAnsi"/>
                <w:b/>
                <w:i/>
                <w:sz w:val="20"/>
                <w:szCs w:val="20"/>
                <w:lang w:val="en-GB"/>
              </w:rPr>
              <w:t>Progress in the implementation of the national strategic response to TB:</w:t>
            </w:r>
          </w:p>
          <w:p w14:paraId="5114ED5D" w14:textId="110F2D51" w:rsidR="00E25BC0" w:rsidRPr="0092718A" w:rsidRDefault="00E25BC0" w:rsidP="00E25BC0">
            <w:pPr>
              <w:jc w:val="both"/>
              <w:rPr>
                <w:rFonts w:asciiTheme="minorHAnsi" w:eastAsia="Times New Roman" w:hAnsiTheme="minorHAnsi" w:cstheme="minorHAnsi"/>
                <w:color w:val="000000"/>
                <w:sz w:val="20"/>
                <w:szCs w:val="20"/>
                <w:lang w:val="en-GB" w:eastAsia="ru-RU"/>
              </w:rPr>
            </w:pPr>
            <w:r w:rsidRPr="0092718A">
              <w:rPr>
                <w:rFonts w:asciiTheme="minorHAnsi" w:eastAsia="Times New Roman" w:hAnsiTheme="minorHAnsi" w:cstheme="minorHAnsi"/>
                <w:color w:val="000000"/>
                <w:sz w:val="20"/>
                <w:szCs w:val="20"/>
                <w:lang w:val="en-GB" w:eastAsia="ru-RU"/>
              </w:rPr>
              <w:t>The National TB Programme has made significant progress regarding the integration of TB services into PHC level, rolling out the out-patient treatment model and reinvesting the funds saved in the procurement of TB drugs and additional financing for PHC</w:t>
            </w:r>
            <w:r w:rsidRPr="00AC3035">
              <w:rPr>
                <w:rFonts w:asciiTheme="minorHAnsi" w:hAnsiTheme="minorHAnsi" w:cstheme="minorHAnsi"/>
                <w:sz w:val="20"/>
                <w:szCs w:val="20"/>
                <w:vertAlign w:val="superscript"/>
              </w:rPr>
              <w:footnoteReference w:id="18"/>
            </w:r>
            <w:r w:rsidRPr="0092718A">
              <w:rPr>
                <w:rFonts w:asciiTheme="minorHAnsi" w:eastAsia="Times New Roman" w:hAnsiTheme="minorHAnsi" w:cstheme="minorHAnsi"/>
                <w:color w:val="000000"/>
                <w:sz w:val="20"/>
                <w:szCs w:val="20"/>
                <w:lang w:val="en-GB" w:eastAsia="ru-RU"/>
              </w:rPr>
              <w:t xml:space="preserve">. Under these pilots, PHC staff received results-based top-up payments for the successful treatment of TB cases. The integration resulted in the reduction of the number of TB hospitals (from 26 to 21) and a 31% decrease of hospital beds (from 3,467 to 2,373) with an envisaged further reduction to 1,500 beds in 2026. The laboratory service is still undergoing the integration with the intention to reduce the number of labs down to 37 in 2026. A new DR-TB guide </w:t>
            </w:r>
            <w:proofErr w:type="gramStart"/>
            <w:r w:rsidRPr="0092718A">
              <w:rPr>
                <w:rFonts w:asciiTheme="minorHAnsi" w:eastAsia="Times New Roman" w:hAnsiTheme="minorHAnsi" w:cstheme="minorHAnsi"/>
                <w:color w:val="000000"/>
                <w:sz w:val="20"/>
                <w:szCs w:val="20"/>
                <w:lang w:val="en-GB" w:eastAsia="ru-RU"/>
              </w:rPr>
              <w:t>was developed</w:t>
            </w:r>
            <w:proofErr w:type="gramEnd"/>
            <w:r w:rsidRPr="0092718A">
              <w:rPr>
                <w:rFonts w:asciiTheme="minorHAnsi" w:eastAsia="Times New Roman" w:hAnsiTheme="minorHAnsi" w:cstheme="minorHAnsi"/>
                <w:color w:val="000000"/>
                <w:sz w:val="20"/>
                <w:szCs w:val="20"/>
                <w:lang w:val="en-GB" w:eastAsia="ru-RU"/>
              </w:rPr>
              <w:t xml:space="preserve"> in line with the latest WHO recommendations in 2019 and submitted to </w:t>
            </w:r>
            <w:proofErr w:type="spellStart"/>
            <w:r w:rsidRPr="0092718A">
              <w:rPr>
                <w:rFonts w:asciiTheme="minorHAnsi" w:eastAsia="Times New Roman" w:hAnsiTheme="minorHAnsi" w:cstheme="minorHAnsi"/>
                <w:color w:val="000000"/>
                <w:sz w:val="20"/>
                <w:szCs w:val="20"/>
                <w:lang w:val="en-GB" w:eastAsia="ru-RU"/>
              </w:rPr>
              <w:t>MoH</w:t>
            </w:r>
            <w:proofErr w:type="spellEnd"/>
            <w:r w:rsidRPr="0092718A">
              <w:rPr>
                <w:rFonts w:asciiTheme="minorHAnsi" w:eastAsia="Times New Roman" w:hAnsiTheme="minorHAnsi" w:cstheme="minorHAnsi"/>
                <w:color w:val="000000"/>
                <w:sz w:val="20"/>
                <w:szCs w:val="20"/>
                <w:lang w:val="en-GB" w:eastAsia="ru-RU"/>
              </w:rPr>
              <w:t xml:space="preserve"> for approval. As part of planned for 2021 operational research, it </w:t>
            </w:r>
            <w:proofErr w:type="gramStart"/>
            <w:r w:rsidRPr="0092718A">
              <w:rPr>
                <w:rFonts w:asciiTheme="minorHAnsi" w:eastAsia="Times New Roman" w:hAnsiTheme="minorHAnsi" w:cstheme="minorHAnsi"/>
                <w:color w:val="000000"/>
                <w:sz w:val="20"/>
                <w:szCs w:val="20"/>
                <w:lang w:val="en-GB" w:eastAsia="ru-RU"/>
              </w:rPr>
              <w:t>is intended</w:t>
            </w:r>
            <w:proofErr w:type="gramEnd"/>
            <w:r w:rsidRPr="0092718A">
              <w:rPr>
                <w:rFonts w:asciiTheme="minorHAnsi" w:eastAsia="Times New Roman" w:hAnsiTheme="minorHAnsi" w:cstheme="minorHAnsi"/>
                <w:color w:val="000000"/>
                <w:sz w:val="20"/>
                <w:szCs w:val="20"/>
                <w:lang w:val="en-GB" w:eastAsia="ru-RU"/>
              </w:rPr>
              <w:t xml:space="preserve"> to cover up to 100 DR-TB patients by </w:t>
            </w:r>
            <w:proofErr w:type="spellStart"/>
            <w:r w:rsidRPr="0092718A">
              <w:rPr>
                <w:rFonts w:asciiTheme="minorHAnsi" w:eastAsia="Times New Roman" w:hAnsiTheme="minorHAnsi" w:cstheme="minorHAnsi"/>
                <w:color w:val="000000"/>
                <w:sz w:val="20"/>
                <w:szCs w:val="20"/>
                <w:lang w:val="en-GB" w:eastAsia="ru-RU"/>
              </w:rPr>
              <w:t>mSTR</w:t>
            </w:r>
            <w:proofErr w:type="spellEnd"/>
            <w:r w:rsidRPr="0092718A">
              <w:rPr>
                <w:rFonts w:asciiTheme="minorHAnsi" w:eastAsia="Times New Roman" w:hAnsiTheme="minorHAnsi" w:cstheme="minorHAnsi"/>
                <w:color w:val="000000"/>
                <w:sz w:val="20"/>
                <w:szCs w:val="20"/>
                <w:lang w:val="en-GB" w:eastAsia="ru-RU"/>
              </w:rPr>
              <w:t xml:space="preserve">. To increase the effectiveness of treatment and to reduce the number of drop-outs, more effective patient-centred management models were </w:t>
            </w:r>
            <w:proofErr w:type="gramStart"/>
            <w:r w:rsidRPr="0092718A">
              <w:rPr>
                <w:rFonts w:asciiTheme="minorHAnsi" w:eastAsia="Times New Roman" w:hAnsiTheme="minorHAnsi" w:cstheme="minorHAnsi"/>
                <w:color w:val="000000"/>
                <w:sz w:val="20"/>
                <w:szCs w:val="20"/>
                <w:lang w:val="en-GB" w:eastAsia="ru-RU"/>
              </w:rPr>
              <w:t>being introduced</w:t>
            </w:r>
            <w:proofErr w:type="gramEnd"/>
            <w:r w:rsidRPr="0092718A">
              <w:rPr>
                <w:rFonts w:asciiTheme="minorHAnsi" w:eastAsia="Times New Roman" w:hAnsiTheme="minorHAnsi" w:cstheme="minorHAnsi"/>
                <w:color w:val="000000"/>
                <w:sz w:val="20"/>
                <w:szCs w:val="20"/>
                <w:lang w:val="en-GB" w:eastAsia="ru-RU"/>
              </w:rPr>
              <w:t xml:space="preserve">: case management, video DOT with online feedback, recruitment of treatment supporters, and NGOs involvement resulting in a decline of drop-outs from 24% to 4% in Bishkek (UNDP Report, 2019). Mobile applications </w:t>
            </w:r>
            <w:proofErr w:type="gramStart"/>
            <w:r w:rsidRPr="0092718A">
              <w:rPr>
                <w:rFonts w:asciiTheme="minorHAnsi" w:eastAsia="Times New Roman" w:hAnsiTheme="minorHAnsi" w:cstheme="minorHAnsi"/>
                <w:color w:val="000000"/>
                <w:sz w:val="20"/>
                <w:szCs w:val="20"/>
                <w:lang w:val="en-GB" w:eastAsia="ru-RU"/>
              </w:rPr>
              <w:t>are launched</w:t>
            </w:r>
            <w:proofErr w:type="gramEnd"/>
            <w:r w:rsidRPr="0092718A">
              <w:rPr>
                <w:rFonts w:asciiTheme="minorHAnsi" w:eastAsia="Times New Roman" w:hAnsiTheme="minorHAnsi" w:cstheme="minorHAnsi"/>
                <w:color w:val="000000"/>
                <w:sz w:val="20"/>
                <w:szCs w:val="20"/>
                <w:lang w:val="en-GB" w:eastAsia="ru-RU"/>
              </w:rPr>
              <w:t xml:space="preserve"> in pilot sites in Bishkek and Chui oblast (</w:t>
            </w:r>
            <w:proofErr w:type="spellStart"/>
            <w:r w:rsidRPr="0092718A">
              <w:rPr>
                <w:rFonts w:asciiTheme="minorHAnsi" w:eastAsia="Times New Roman" w:hAnsiTheme="minorHAnsi" w:cstheme="minorHAnsi"/>
                <w:color w:val="000000"/>
                <w:sz w:val="20"/>
                <w:szCs w:val="20"/>
                <w:lang w:val="en-GB" w:eastAsia="ru-RU"/>
              </w:rPr>
              <w:t>OneImpact</w:t>
            </w:r>
            <w:proofErr w:type="spellEnd"/>
            <w:r w:rsidRPr="0092718A">
              <w:rPr>
                <w:rFonts w:asciiTheme="minorHAnsi" w:eastAsia="Times New Roman" w:hAnsiTheme="minorHAnsi" w:cstheme="minorHAnsi"/>
                <w:color w:val="000000"/>
                <w:sz w:val="20"/>
                <w:szCs w:val="20"/>
                <w:lang w:val="en-GB" w:eastAsia="ru-RU"/>
              </w:rPr>
              <w:t xml:space="preserve"> (by AFEW) during 2020 and Accent (by NRCS) till end of 2021). Further support to a WhatsApp-based model for 25% of the patients will </w:t>
            </w:r>
            <w:proofErr w:type="gramStart"/>
            <w:r w:rsidRPr="0092718A">
              <w:rPr>
                <w:rFonts w:asciiTheme="minorHAnsi" w:eastAsia="Times New Roman" w:hAnsiTheme="minorHAnsi" w:cstheme="minorHAnsi"/>
                <w:color w:val="000000"/>
                <w:sz w:val="20"/>
                <w:szCs w:val="20"/>
                <w:lang w:val="en-GB" w:eastAsia="ru-RU"/>
              </w:rPr>
              <w:t>be included</w:t>
            </w:r>
            <w:proofErr w:type="gramEnd"/>
            <w:r w:rsidRPr="0092718A">
              <w:rPr>
                <w:rFonts w:asciiTheme="minorHAnsi" w:eastAsia="Times New Roman" w:hAnsiTheme="minorHAnsi" w:cstheme="minorHAnsi"/>
                <w:color w:val="000000"/>
                <w:sz w:val="20"/>
                <w:szCs w:val="20"/>
                <w:lang w:val="en-GB" w:eastAsia="ru-RU"/>
              </w:rPr>
              <w:t xml:space="preserve"> under this Funding Request, while the support to the </w:t>
            </w:r>
            <w:proofErr w:type="spellStart"/>
            <w:r w:rsidRPr="0092718A">
              <w:rPr>
                <w:rFonts w:asciiTheme="minorHAnsi" w:eastAsia="Times New Roman" w:hAnsiTheme="minorHAnsi" w:cstheme="minorHAnsi"/>
                <w:color w:val="000000"/>
                <w:sz w:val="20"/>
                <w:szCs w:val="20"/>
                <w:lang w:val="en-GB" w:eastAsia="ru-RU"/>
              </w:rPr>
              <w:t>OneImpact</w:t>
            </w:r>
            <w:proofErr w:type="spellEnd"/>
            <w:r w:rsidRPr="0092718A">
              <w:rPr>
                <w:rFonts w:asciiTheme="minorHAnsi" w:eastAsia="Times New Roman" w:hAnsiTheme="minorHAnsi" w:cstheme="minorHAnsi"/>
                <w:color w:val="000000"/>
                <w:sz w:val="20"/>
                <w:szCs w:val="20"/>
                <w:lang w:val="en-GB" w:eastAsia="ru-RU"/>
              </w:rPr>
              <w:t xml:space="preserve"> model is included in PAAR.</w:t>
            </w:r>
            <w:r w:rsidR="006A5816" w:rsidRPr="0092718A">
              <w:rPr>
                <w:rFonts w:asciiTheme="minorHAnsi" w:eastAsia="Times New Roman" w:hAnsiTheme="minorHAnsi" w:cstheme="minorHAnsi"/>
                <w:color w:val="000000"/>
                <w:sz w:val="20"/>
                <w:szCs w:val="20"/>
                <w:lang w:val="en-GB" w:eastAsia="ru-RU"/>
              </w:rPr>
              <w:t xml:space="preserve"> Also, in the framework of pilots in PAAR, it was proposed to include the latest approaches to TB diagnostics successfully tested </w:t>
            </w:r>
            <w:proofErr w:type="gramStart"/>
            <w:r w:rsidR="006A5816" w:rsidRPr="0092718A">
              <w:rPr>
                <w:rFonts w:asciiTheme="minorHAnsi" w:eastAsia="Times New Roman" w:hAnsiTheme="minorHAnsi" w:cstheme="minorHAnsi"/>
                <w:color w:val="000000"/>
                <w:sz w:val="20"/>
                <w:szCs w:val="20"/>
                <w:lang w:val="en-GB" w:eastAsia="ru-RU"/>
              </w:rPr>
              <w:t>on the basis of</w:t>
            </w:r>
            <w:proofErr w:type="gramEnd"/>
            <w:r w:rsidR="006A5816" w:rsidRPr="0092718A">
              <w:rPr>
                <w:rFonts w:asciiTheme="minorHAnsi" w:eastAsia="Times New Roman" w:hAnsiTheme="minorHAnsi" w:cstheme="minorHAnsi"/>
                <w:color w:val="000000"/>
                <w:sz w:val="20"/>
                <w:szCs w:val="20"/>
                <w:lang w:val="en-GB" w:eastAsia="ru-RU"/>
              </w:rPr>
              <w:t xml:space="preserve"> NRL: such as sequencing the complete genome of mycobacterium tuberculosis and the </w:t>
            </w:r>
            <w:proofErr w:type="spellStart"/>
            <w:r w:rsidR="006A5816" w:rsidRPr="0092718A">
              <w:rPr>
                <w:rFonts w:asciiTheme="minorHAnsi" w:eastAsia="Times New Roman" w:hAnsiTheme="minorHAnsi" w:cstheme="minorHAnsi"/>
                <w:color w:val="000000"/>
                <w:sz w:val="20"/>
                <w:szCs w:val="20"/>
                <w:lang w:val="en-GB" w:eastAsia="ru-RU"/>
              </w:rPr>
              <w:t>quantiferon</w:t>
            </w:r>
            <w:proofErr w:type="spellEnd"/>
            <w:r w:rsidR="006A5816" w:rsidRPr="0092718A">
              <w:rPr>
                <w:rFonts w:asciiTheme="minorHAnsi" w:eastAsia="Times New Roman" w:hAnsiTheme="minorHAnsi" w:cstheme="minorHAnsi"/>
                <w:color w:val="000000"/>
                <w:sz w:val="20"/>
                <w:szCs w:val="20"/>
                <w:lang w:val="en-GB" w:eastAsia="ru-RU"/>
              </w:rPr>
              <w:t xml:space="preserve"> test, with the parallel preparation of a regulatory framework for these studies and the introduction of new drugs for the prevention of TB in the country.</w:t>
            </w:r>
          </w:p>
          <w:p w14:paraId="0E4A402A" w14:textId="1BCD644F" w:rsidR="006A5816" w:rsidRPr="0092718A" w:rsidRDefault="00B24FBC" w:rsidP="00E25BC0">
            <w:pPr>
              <w:jc w:val="both"/>
              <w:rPr>
                <w:rFonts w:asciiTheme="minorHAnsi" w:eastAsia="Times New Roman" w:hAnsiTheme="minorHAnsi" w:cstheme="minorHAnsi"/>
                <w:color w:val="000000"/>
                <w:sz w:val="20"/>
                <w:szCs w:val="20"/>
                <w:lang w:val="en-GB" w:eastAsia="ru-RU"/>
              </w:rPr>
            </w:pPr>
            <w:r w:rsidRPr="0092718A">
              <w:rPr>
                <w:rFonts w:asciiTheme="minorHAnsi" w:eastAsia="Times New Roman" w:hAnsiTheme="minorHAnsi" w:cstheme="minorHAnsi"/>
                <w:color w:val="000000"/>
                <w:sz w:val="20"/>
                <w:szCs w:val="20"/>
                <w:lang w:val="en-GB" w:eastAsia="ru-RU"/>
              </w:rPr>
              <w:t xml:space="preserve">In 2018, the Ministry of Health has adopted the State Social Contracting (SSC) Programme related to 4 diseases including HIV and TB. 4 TB projects </w:t>
            </w:r>
            <w:proofErr w:type="gramStart"/>
            <w:r w:rsidRPr="0092718A">
              <w:rPr>
                <w:rFonts w:asciiTheme="minorHAnsi" w:eastAsia="Times New Roman" w:hAnsiTheme="minorHAnsi" w:cstheme="minorHAnsi"/>
                <w:color w:val="000000"/>
                <w:sz w:val="20"/>
                <w:szCs w:val="20"/>
                <w:lang w:val="en-GB" w:eastAsia="ru-RU"/>
              </w:rPr>
              <w:t>are planned</w:t>
            </w:r>
            <w:proofErr w:type="gramEnd"/>
            <w:r w:rsidRPr="0092718A">
              <w:rPr>
                <w:rFonts w:asciiTheme="minorHAnsi" w:eastAsia="Times New Roman" w:hAnsiTheme="minorHAnsi" w:cstheme="minorHAnsi"/>
                <w:color w:val="000000"/>
                <w:sz w:val="20"/>
                <w:szCs w:val="20"/>
                <w:lang w:val="en-GB" w:eastAsia="ru-RU"/>
              </w:rPr>
              <w:t xml:space="preserve"> to be financed through this mechanism in 2021.</w:t>
            </w:r>
          </w:p>
          <w:p w14:paraId="19FCC028" w14:textId="77777777" w:rsidR="008A1699" w:rsidRPr="0092718A" w:rsidRDefault="008A1699" w:rsidP="008A1699">
            <w:pPr>
              <w:jc w:val="both"/>
              <w:rPr>
                <w:rFonts w:asciiTheme="minorHAnsi" w:hAnsiTheme="minorHAnsi" w:cstheme="minorHAnsi"/>
                <w:b/>
                <w:i/>
                <w:sz w:val="20"/>
                <w:szCs w:val="20"/>
                <w:lang w:val="en-GB"/>
              </w:rPr>
            </w:pPr>
            <w:r w:rsidRPr="0092718A">
              <w:rPr>
                <w:rFonts w:asciiTheme="minorHAnsi" w:hAnsiTheme="minorHAnsi" w:cstheme="minorHAnsi"/>
                <w:b/>
                <w:i/>
                <w:sz w:val="20"/>
                <w:szCs w:val="20"/>
                <w:lang w:val="en-GB"/>
              </w:rPr>
              <w:t>Human rights and gender:</w:t>
            </w:r>
          </w:p>
          <w:p w14:paraId="10647EE6" w14:textId="70703695" w:rsidR="008A1699" w:rsidRPr="0092718A" w:rsidRDefault="008A1699" w:rsidP="008A1699">
            <w:pPr>
              <w:tabs>
                <w:tab w:val="left" w:pos="3181"/>
              </w:tabs>
              <w:spacing w:line="238" w:lineRule="atLeast"/>
              <w:jc w:val="both"/>
              <w:rPr>
                <w:rFonts w:asciiTheme="minorHAnsi" w:eastAsia="Times New Roman" w:hAnsiTheme="minorHAnsi" w:cstheme="minorHAnsi"/>
                <w:color w:val="000000"/>
                <w:sz w:val="20"/>
                <w:szCs w:val="20"/>
                <w:lang w:val="en-GB" w:eastAsia="ru-RU"/>
              </w:rPr>
            </w:pPr>
            <w:r w:rsidRPr="0092718A">
              <w:rPr>
                <w:rFonts w:asciiTheme="minorHAnsi" w:eastAsia="Times New Roman" w:hAnsiTheme="minorHAnsi" w:cstheme="minorHAnsi"/>
                <w:color w:val="000000"/>
                <w:sz w:val="20"/>
                <w:szCs w:val="20"/>
                <w:lang w:val="en-GB" w:eastAsia="ru-RU"/>
              </w:rPr>
              <w:t xml:space="preserve">The country's legislation, in general, complies with international law and creates an enabling environment for to implement TB and HIV programmes. However, insufficient levels of knowledge of certain political leaders results in legislative initiatives that restrict the rights of key populations. The draft law banning “gay propaganda”, after undergoing two hearings at </w:t>
            </w:r>
            <w:proofErr w:type="spellStart"/>
            <w:r w:rsidRPr="0092718A">
              <w:rPr>
                <w:rFonts w:asciiTheme="minorHAnsi" w:eastAsia="Times New Roman" w:hAnsiTheme="minorHAnsi" w:cstheme="minorHAnsi"/>
                <w:color w:val="000000"/>
                <w:sz w:val="20"/>
                <w:szCs w:val="20"/>
                <w:lang w:val="en-GB" w:eastAsia="ru-RU"/>
              </w:rPr>
              <w:t>Jogorku</w:t>
            </w:r>
            <w:proofErr w:type="spellEnd"/>
            <w:r w:rsidRPr="0092718A">
              <w:rPr>
                <w:rFonts w:asciiTheme="minorHAnsi" w:eastAsia="Times New Roman" w:hAnsiTheme="minorHAnsi" w:cstheme="minorHAnsi"/>
                <w:color w:val="000000"/>
                <w:sz w:val="20"/>
                <w:szCs w:val="20"/>
                <w:lang w:val="en-GB" w:eastAsia="ru-RU"/>
              </w:rPr>
              <w:t xml:space="preserve"> </w:t>
            </w:r>
            <w:proofErr w:type="spellStart"/>
            <w:r w:rsidRPr="0092718A">
              <w:rPr>
                <w:rFonts w:asciiTheme="minorHAnsi" w:eastAsia="Times New Roman" w:hAnsiTheme="minorHAnsi" w:cstheme="minorHAnsi"/>
                <w:color w:val="000000"/>
                <w:sz w:val="20"/>
                <w:szCs w:val="20"/>
                <w:lang w:val="en-GB" w:eastAsia="ru-RU"/>
              </w:rPr>
              <w:t>Kenesh</w:t>
            </w:r>
            <w:proofErr w:type="spellEnd"/>
            <w:r w:rsidRPr="0092718A">
              <w:rPr>
                <w:rFonts w:asciiTheme="minorHAnsi" w:eastAsia="Times New Roman" w:hAnsiTheme="minorHAnsi" w:cstheme="minorHAnsi"/>
                <w:color w:val="000000"/>
                <w:sz w:val="20"/>
                <w:szCs w:val="20"/>
                <w:lang w:val="en-GB" w:eastAsia="ru-RU"/>
              </w:rPr>
              <w:t xml:space="preserve"> (Parliament of the Kyrgyz Republic)</w:t>
            </w:r>
            <w:r w:rsidRPr="001127F4">
              <w:rPr>
                <w:rFonts w:asciiTheme="minorHAnsi" w:hAnsiTheme="minorHAnsi" w:cstheme="minorHAnsi"/>
                <w:sz w:val="20"/>
                <w:szCs w:val="20"/>
                <w:vertAlign w:val="superscript"/>
              </w:rPr>
              <w:footnoteReference w:id="19"/>
            </w:r>
            <w:r w:rsidRPr="0092718A">
              <w:rPr>
                <w:rFonts w:asciiTheme="minorHAnsi" w:eastAsia="Times New Roman" w:hAnsiTheme="minorHAnsi" w:cstheme="minorHAnsi"/>
                <w:color w:val="000000"/>
                <w:sz w:val="20"/>
                <w:szCs w:val="20"/>
                <w:lang w:val="en-GB" w:eastAsia="ru-RU"/>
              </w:rPr>
              <w:t xml:space="preserve">, was eventually </w:t>
            </w:r>
            <w:r w:rsidR="002823C4" w:rsidRPr="0092718A">
              <w:rPr>
                <w:rFonts w:asciiTheme="minorHAnsi" w:eastAsia="Times New Roman" w:hAnsiTheme="minorHAnsi" w:cstheme="minorHAnsi"/>
                <w:color w:val="000000"/>
                <w:sz w:val="20"/>
                <w:szCs w:val="20"/>
                <w:lang w:val="en-GB" w:eastAsia="ru-RU"/>
              </w:rPr>
              <w:t>abandoned</w:t>
            </w:r>
            <w:r w:rsidRPr="0092718A">
              <w:rPr>
                <w:rFonts w:asciiTheme="minorHAnsi" w:eastAsia="Times New Roman" w:hAnsiTheme="minorHAnsi" w:cstheme="minorHAnsi"/>
                <w:color w:val="000000"/>
                <w:sz w:val="20"/>
                <w:szCs w:val="20"/>
                <w:lang w:val="en-GB" w:eastAsia="ru-RU"/>
              </w:rPr>
              <w:t xml:space="preserve"> </w:t>
            </w:r>
            <w:proofErr w:type="gramStart"/>
            <w:r w:rsidRPr="0092718A">
              <w:rPr>
                <w:rFonts w:asciiTheme="minorHAnsi" w:eastAsia="Times New Roman" w:hAnsiTheme="minorHAnsi" w:cstheme="minorHAnsi"/>
                <w:color w:val="000000"/>
                <w:sz w:val="20"/>
                <w:szCs w:val="20"/>
                <w:lang w:val="en-GB" w:eastAsia="ru-RU"/>
              </w:rPr>
              <w:t>as a result of</w:t>
            </w:r>
            <w:proofErr w:type="gramEnd"/>
            <w:r w:rsidRPr="0092718A">
              <w:rPr>
                <w:rFonts w:asciiTheme="minorHAnsi" w:eastAsia="Times New Roman" w:hAnsiTheme="minorHAnsi" w:cstheme="minorHAnsi"/>
                <w:color w:val="000000"/>
                <w:sz w:val="20"/>
                <w:szCs w:val="20"/>
                <w:lang w:val="en-GB" w:eastAsia="ru-RU"/>
              </w:rPr>
              <w:t xml:space="preserve"> advocacy efforts. Even if its provisions </w:t>
            </w:r>
            <w:proofErr w:type="gramStart"/>
            <w:r w:rsidRPr="0092718A">
              <w:rPr>
                <w:rFonts w:asciiTheme="minorHAnsi" w:eastAsia="Times New Roman" w:hAnsiTheme="minorHAnsi" w:cstheme="minorHAnsi"/>
                <w:color w:val="000000"/>
                <w:sz w:val="20"/>
                <w:szCs w:val="20"/>
                <w:lang w:val="en-GB" w:eastAsia="ru-RU"/>
              </w:rPr>
              <w:t>were not included</w:t>
            </w:r>
            <w:proofErr w:type="gramEnd"/>
            <w:r w:rsidRPr="0092718A">
              <w:rPr>
                <w:rFonts w:asciiTheme="minorHAnsi" w:eastAsia="Times New Roman" w:hAnsiTheme="minorHAnsi" w:cstheme="minorHAnsi"/>
                <w:color w:val="000000"/>
                <w:sz w:val="20"/>
                <w:szCs w:val="20"/>
                <w:lang w:val="en-GB" w:eastAsia="ru-RU"/>
              </w:rPr>
              <w:t xml:space="preserve"> in the Criminal Code of the Kyrgyz Republic, the risk of reinstating this draft law continues to persist. Moreover, while sex work and same-sex relationships are not criminalised or subject to punitive laws, there are increasing and widespread accounts of </w:t>
            </w:r>
            <w:r w:rsidR="002823C4" w:rsidRPr="0092718A">
              <w:rPr>
                <w:rFonts w:asciiTheme="minorHAnsi" w:eastAsia="Times New Roman" w:hAnsiTheme="minorHAnsi" w:cstheme="minorHAnsi"/>
                <w:color w:val="000000"/>
                <w:sz w:val="20"/>
                <w:szCs w:val="20"/>
                <w:lang w:val="en-GB" w:eastAsia="ru-RU"/>
              </w:rPr>
              <w:t>harassment</w:t>
            </w:r>
            <w:r w:rsidRPr="0092718A">
              <w:rPr>
                <w:rFonts w:asciiTheme="minorHAnsi" w:eastAsia="Times New Roman" w:hAnsiTheme="minorHAnsi" w:cstheme="minorHAnsi"/>
                <w:color w:val="000000"/>
                <w:sz w:val="20"/>
                <w:szCs w:val="20"/>
                <w:lang w:val="en-GB" w:eastAsia="ru-RU"/>
              </w:rPr>
              <w:t xml:space="preserve"> against these populations, including exposure and extortion from members of the community. In March 2020, the draft law binding non-governmental organisations to excessive reporting has undergone the first hearing at the country's parliament. This includes the provision of information about key populations and individual recipients of services</w:t>
            </w:r>
            <w:r w:rsidRPr="00AC3035">
              <w:rPr>
                <w:rFonts w:asciiTheme="minorHAnsi" w:hAnsiTheme="minorHAnsi" w:cstheme="minorHAnsi"/>
                <w:sz w:val="20"/>
                <w:szCs w:val="20"/>
                <w:vertAlign w:val="superscript"/>
              </w:rPr>
              <w:footnoteReference w:id="20"/>
            </w:r>
            <w:r w:rsidRPr="0092718A">
              <w:rPr>
                <w:rFonts w:asciiTheme="minorHAnsi" w:eastAsia="Times New Roman" w:hAnsiTheme="minorHAnsi" w:cstheme="minorHAnsi"/>
                <w:color w:val="000000"/>
                <w:sz w:val="20"/>
                <w:szCs w:val="20"/>
                <w:lang w:val="en-GB" w:eastAsia="ru-RU"/>
              </w:rPr>
              <w:t xml:space="preserve">, which may require disclosing the identity of individuals. Given the high level of stigma towards key populations, this draft law may increase the pressure, primarily on organisations working with LGBT, SW and PWID. </w:t>
            </w:r>
          </w:p>
          <w:p w14:paraId="41806AF6" w14:textId="11905FE9" w:rsidR="00505383" w:rsidRPr="0092718A" w:rsidRDefault="00505383" w:rsidP="00505383">
            <w:pPr>
              <w:tabs>
                <w:tab w:val="left" w:pos="3181"/>
              </w:tabs>
              <w:spacing w:line="238" w:lineRule="atLeast"/>
              <w:jc w:val="both"/>
              <w:rPr>
                <w:rFonts w:asciiTheme="minorHAnsi" w:eastAsia="Times New Roman" w:hAnsiTheme="minorHAnsi" w:cstheme="minorHAnsi"/>
                <w:color w:val="000000"/>
                <w:sz w:val="20"/>
                <w:szCs w:val="20"/>
                <w:lang w:val="en-GB" w:eastAsia="ru-RU"/>
              </w:rPr>
            </w:pPr>
            <w:r w:rsidRPr="0092718A">
              <w:rPr>
                <w:rFonts w:asciiTheme="minorHAnsi" w:eastAsia="Times New Roman" w:hAnsiTheme="minorHAnsi" w:cstheme="minorHAnsi"/>
                <w:color w:val="000000"/>
                <w:sz w:val="20"/>
                <w:szCs w:val="20"/>
                <w:lang w:val="en-GB" w:eastAsia="ru-RU"/>
              </w:rPr>
              <w:lastRenderedPageBreak/>
              <w:t>The National HIV Program for 2017-2021</w:t>
            </w:r>
            <w:r w:rsidRPr="00AC3035">
              <w:rPr>
                <w:rFonts w:asciiTheme="minorHAnsi" w:hAnsiTheme="minorHAnsi" w:cstheme="minorHAnsi"/>
                <w:sz w:val="20"/>
                <w:szCs w:val="20"/>
                <w:vertAlign w:val="superscript"/>
              </w:rPr>
              <w:footnoteReference w:id="21"/>
            </w:r>
            <w:r w:rsidRPr="0092718A">
              <w:rPr>
                <w:rFonts w:asciiTheme="minorHAnsi" w:eastAsia="Times New Roman" w:hAnsiTheme="minorHAnsi" w:cstheme="minorHAnsi"/>
                <w:color w:val="000000"/>
                <w:sz w:val="20"/>
                <w:szCs w:val="20"/>
                <w:lang w:val="en-GB" w:eastAsia="ru-RU"/>
              </w:rPr>
              <w:t>, clearly indicates the presence of legal barriers and assumes serious actions to address them.</w:t>
            </w:r>
          </w:p>
          <w:p w14:paraId="1AB47F1B" w14:textId="77777777" w:rsidR="00714829" w:rsidRPr="0092718A" w:rsidRDefault="00714829" w:rsidP="00714829">
            <w:pPr>
              <w:tabs>
                <w:tab w:val="left" w:pos="3181"/>
              </w:tabs>
              <w:spacing w:line="238" w:lineRule="atLeast"/>
              <w:jc w:val="both"/>
              <w:rPr>
                <w:rFonts w:asciiTheme="minorHAnsi" w:eastAsia="Times New Roman" w:hAnsiTheme="minorHAnsi" w:cstheme="minorHAnsi"/>
                <w:color w:val="000000"/>
                <w:sz w:val="20"/>
                <w:szCs w:val="20"/>
                <w:lang w:val="en-GB" w:eastAsia="ru-RU"/>
              </w:rPr>
            </w:pPr>
            <w:r w:rsidRPr="0092718A">
              <w:rPr>
                <w:rFonts w:asciiTheme="minorHAnsi" w:eastAsia="Times New Roman" w:hAnsiTheme="minorHAnsi" w:cstheme="minorHAnsi"/>
                <w:color w:val="000000"/>
                <w:sz w:val="20"/>
                <w:szCs w:val="20"/>
                <w:lang w:val="en-GB" w:eastAsia="ru-RU"/>
              </w:rPr>
              <w:t>Law enforcement agencies have obligations to implement the Government HIV Program. The Minister of Internal Affairs of the Kyrgyz Republic approved an action plan for HIV infection for 2018-2021</w:t>
            </w:r>
            <w:r w:rsidRPr="0092718A">
              <w:rPr>
                <w:rStyle w:val="af"/>
                <w:rFonts w:asciiTheme="minorHAnsi" w:eastAsia="Times New Roman" w:hAnsiTheme="minorHAnsi" w:cstheme="minorHAnsi"/>
                <w:color w:val="000000"/>
                <w:sz w:val="20"/>
                <w:szCs w:val="20"/>
                <w:lang w:val="en-GB" w:eastAsia="ru-RU"/>
              </w:rPr>
              <w:footnoteReference w:id="22"/>
            </w:r>
            <w:r w:rsidRPr="0092718A">
              <w:rPr>
                <w:rFonts w:asciiTheme="minorHAnsi" w:eastAsia="Times New Roman" w:hAnsiTheme="minorHAnsi" w:cstheme="minorHAnsi"/>
                <w:color w:val="000000"/>
                <w:sz w:val="20"/>
                <w:szCs w:val="20"/>
                <w:lang w:val="en-GB" w:eastAsia="ru-RU"/>
              </w:rPr>
              <w:t>; approved instructions for the work of internal affairs bodies with key population groups. However, the implementation of plan activities and monitoring of their implementation requires significant improvement and involvement of civil society and communities to assess implementation.</w:t>
            </w:r>
          </w:p>
          <w:p w14:paraId="197CE0CA" w14:textId="30C3D14B" w:rsidR="00714829" w:rsidRPr="0092718A" w:rsidRDefault="00714829" w:rsidP="00714829">
            <w:pPr>
              <w:tabs>
                <w:tab w:val="left" w:pos="3181"/>
              </w:tabs>
              <w:spacing w:line="238" w:lineRule="atLeast"/>
              <w:jc w:val="both"/>
              <w:rPr>
                <w:rFonts w:asciiTheme="minorHAnsi" w:eastAsia="Times New Roman" w:hAnsiTheme="minorHAnsi" w:cstheme="minorHAnsi"/>
                <w:color w:val="000000"/>
                <w:sz w:val="20"/>
                <w:szCs w:val="20"/>
                <w:lang w:val="en-GB" w:eastAsia="ru-RU"/>
              </w:rPr>
            </w:pPr>
            <w:r w:rsidRPr="0092718A">
              <w:rPr>
                <w:rFonts w:asciiTheme="minorHAnsi" w:eastAsia="Times New Roman" w:hAnsiTheme="minorHAnsi" w:cstheme="minorHAnsi"/>
                <w:color w:val="000000"/>
                <w:sz w:val="20"/>
                <w:szCs w:val="20"/>
                <w:lang w:val="en-GB" w:eastAsia="ru-RU"/>
              </w:rPr>
              <w:t>To enhance the implementation of UN human rights treaty bodies recommendations the Government of the Kyrgyz Republic through the Order of 15 March 2019, No. 55-r approved the Human Rights Action Plan for 2019-2021</w:t>
            </w:r>
            <w:r w:rsidRPr="0092718A">
              <w:rPr>
                <w:rStyle w:val="af"/>
                <w:rFonts w:asciiTheme="minorHAnsi" w:eastAsia="Times New Roman" w:hAnsiTheme="minorHAnsi" w:cstheme="minorHAnsi"/>
                <w:color w:val="000000"/>
                <w:sz w:val="20"/>
                <w:szCs w:val="20"/>
                <w:lang w:val="en-GB" w:eastAsia="ru-RU"/>
              </w:rPr>
              <w:footnoteReference w:id="23"/>
            </w:r>
            <w:r w:rsidRPr="0092718A">
              <w:rPr>
                <w:rFonts w:asciiTheme="minorHAnsi" w:eastAsia="Times New Roman" w:hAnsiTheme="minorHAnsi" w:cstheme="minorHAnsi"/>
                <w:color w:val="000000"/>
                <w:sz w:val="20"/>
                <w:szCs w:val="20"/>
                <w:lang w:val="en-GB" w:eastAsia="ru-RU"/>
              </w:rPr>
              <w:t>. At the same time, the fragmented monitoring of lawmaker’s compliance to HIV prevention related laws and the insufficient involvement of the prosecutor's office prevents curbing the existing practices. Community efforts to document cases of stigma and discrimination against key populations, to provide support to victims of violence, to ensure continuous advocacy efforts and engage the Ombudsman's office are not enough due to limited resources and ineffective dialogue with decision-makers. Stigma against PLHIV continues to persist as evidenced by the ongoing assessment of stigma and discrimination in the country</w:t>
            </w:r>
            <w:r w:rsidRPr="0092718A">
              <w:rPr>
                <w:rStyle w:val="af"/>
                <w:rFonts w:asciiTheme="minorHAnsi" w:eastAsia="Times New Roman" w:hAnsiTheme="minorHAnsi" w:cstheme="minorHAnsi"/>
                <w:color w:val="000000"/>
                <w:sz w:val="20"/>
                <w:szCs w:val="20"/>
                <w:lang w:val="en-GB" w:eastAsia="ru-RU"/>
              </w:rPr>
              <w:footnoteReference w:id="24"/>
            </w:r>
            <w:r w:rsidRPr="0092718A">
              <w:rPr>
                <w:rFonts w:asciiTheme="minorHAnsi" w:eastAsia="Times New Roman" w:hAnsiTheme="minorHAnsi" w:cstheme="minorHAnsi"/>
                <w:color w:val="000000"/>
                <w:sz w:val="20"/>
                <w:szCs w:val="20"/>
                <w:lang w:val="en-GB" w:eastAsia="ru-RU"/>
              </w:rPr>
              <w:t xml:space="preserve">. During the last year, two major cases associated with homophobia and rejection of existing gender perspectives on the part of radical youth under the gender equity campaigns </w:t>
            </w:r>
            <w:proofErr w:type="gramStart"/>
            <w:r w:rsidRPr="0092718A">
              <w:rPr>
                <w:rFonts w:asciiTheme="minorHAnsi" w:eastAsia="Times New Roman" w:hAnsiTheme="minorHAnsi" w:cstheme="minorHAnsi"/>
                <w:color w:val="000000"/>
                <w:sz w:val="20"/>
                <w:szCs w:val="20"/>
                <w:lang w:val="en-GB" w:eastAsia="ru-RU"/>
              </w:rPr>
              <w:t>were reported</w:t>
            </w:r>
            <w:proofErr w:type="gramEnd"/>
            <w:r w:rsidRPr="0092718A">
              <w:rPr>
                <w:rStyle w:val="af"/>
                <w:rFonts w:asciiTheme="minorHAnsi" w:eastAsia="Times New Roman" w:hAnsiTheme="minorHAnsi" w:cstheme="minorHAnsi"/>
                <w:color w:val="000000"/>
                <w:sz w:val="20"/>
                <w:szCs w:val="20"/>
                <w:lang w:val="en-GB" w:eastAsia="ru-RU"/>
              </w:rPr>
              <w:footnoteReference w:id="25"/>
            </w:r>
            <w:r w:rsidRPr="0092718A">
              <w:rPr>
                <w:rFonts w:asciiTheme="minorHAnsi" w:eastAsia="Times New Roman" w:hAnsiTheme="minorHAnsi" w:cstheme="minorHAnsi"/>
                <w:color w:val="000000"/>
                <w:sz w:val="20"/>
                <w:szCs w:val="20"/>
                <w:lang w:val="en-GB" w:eastAsia="ru-RU"/>
              </w:rPr>
              <w:t>.</w:t>
            </w:r>
          </w:p>
          <w:p w14:paraId="66C85EC7" w14:textId="77777777" w:rsidR="00714829" w:rsidRPr="0092718A" w:rsidRDefault="00714829" w:rsidP="00714829">
            <w:pPr>
              <w:tabs>
                <w:tab w:val="left" w:pos="3181"/>
              </w:tabs>
              <w:spacing w:line="238" w:lineRule="atLeast"/>
              <w:jc w:val="both"/>
              <w:rPr>
                <w:rFonts w:asciiTheme="minorHAnsi" w:eastAsia="Times New Roman" w:hAnsiTheme="minorHAnsi" w:cstheme="minorHAnsi"/>
                <w:color w:val="000000"/>
                <w:sz w:val="20"/>
                <w:szCs w:val="20"/>
                <w:lang w:val="en-GB" w:eastAsia="ru-RU"/>
              </w:rPr>
            </w:pPr>
            <w:r w:rsidRPr="0092718A">
              <w:rPr>
                <w:rFonts w:asciiTheme="minorHAnsi" w:eastAsia="Times New Roman" w:hAnsiTheme="minorHAnsi" w:cstheme="minorHAnsi"/>
                <w:color w:val="000000"/>
                <w:sz w:val="20"/>
                <w:szCs w:val="20"/>
                <w:lang w:val="en-GB" w:eastAsia="ru-RU"/>
              </w:rPr>
              <w:t xml:space="preserve">As part of the Breaking Down Barriers Initiative, the GF conducted a baseline assessment of the national situation of the human rights-related barriers to HIV and TB services in Kyrgyzstan and found notable gender-related barriers. Kyrgyzstan </w:t>
            </w:r>
            <w:proofErr w:type="gramStart"/>
            <w:r w:rsidRPr="0092718A">
              <w:rPr>
                <w:rFonts w:asciiTheme="minorHAnsi" w:eastAsia="Times New Roman" w:hAnsiTheme="minorHAnsi" w:cstheme="minorHAnsi"/>
                <w:color w:val="000000"/>
                <w:sz w:val="20"/>
                <w:szCs w:val="20"/>
                <w:lang w:val="en-GB" w:eastAsia="ru-RU"/>
              </w:rPr>
              <w:t>was identified</w:t>
            </w:r>
            <w:proofErr w:type="gramEnd"/>
            <w:r w:rsidRPr="0092718A">
              <w:rPr>
                <w:rFonts w:asciiTheme="minorHAnsi" w:eastAsia="Times New Roman" w:hAnsiTheme="minorHAnsi" w:cstheme="minorHAnsi"/>
                <w:color w:val="000000"/>
                <w:sz w:val="20"/>
                <w:szCs w:val="20"/>
                <w:lang w:val="en-GB" w:eastAsia="ru-RU"/>
              </w:rPr>
              <w:t xml:space="preserve"> as one of 20 countries where needs, opportunities, capacities and partnerships provide real possibilities for scale-up that will result in important gains for the health of those affected. In this assessment, the GF found that relatively little funding was allocated for gender-responsive programming, and where available, it was for programmes with limited scale and scope. The assessment discusses illegal police practices of harassment and violence, population stigma and discrimination and reports of fear of gender-based violence among SW, gay and bisexual men, and PWID are known barriers of access to health services.</w:t>
            </w:r>
            <w:r w:rsidRPr="0092718A">
              <w:rPr>
                <w:rFonts w:asciiTheme="minorHAnsi" w:hAnsiTheme="minorHAnsi" w:cstheme="minorHAnsi"/>
                <w:sz w:val="20"/>
                <w:szCs w:val="20"/>
                <w:lang w:val="en-GB"/>
              </w:rPr>
              <w:t xml:space="preserve"> </w:t>
            </w:r>
            <w:r w:rsidRPr="0092718A">
              <w:rPr>
                <w:rFonts w:asciiTheme="minorHAnsi" w:eastAsia="Times New Roman" w:hAnsiTheme="minorHAnsi" w:cstheme="minorHAnsi"/>
                <w:color w:val="000000"/>
                <w:sz w:val="20"/>
                <w:szCs w:val="20"/>
                <w:lang w:val="en-GB" w:eastAsia="ru-RU"/>
              </w:rPr>
              <w:t xml:space="preserve">Kyrgyzstan applied for and received approximately USD 1 million in matching funds to address these human-rights related barriers. </w:t>
            </w:r>
          </w:p>
          <w:p w14:paraId="6780CB4D" w14:textId="6ABC2A69" w:rsidR="00245DCD" w:rsidRPr="0092718A" w:rsidRDefault="00245DCD" w:rsidP="00245DCD">
            <w:pPr>
              <w:tabs>
                <w:tab w:val="left" w:pos="3181"/>
              </w:tabs>
              <w:spacing w:line="238" w:lineRule="atLeast"/>
              <w:jc w:val="both"/>
              <w:rPr>
                <w:rFonts w:asciiTheme="minorHAnsi" w:eastAsia="Times New Roman" w:hAnsiTheme="minorHAnsi" w:cstheme="minorHAnsi"/>
                <w:color w:val="000000"/>
                <w:sz w:val="20"/>
                <w:szCs w:val="20"/>
                <w:lang w:val="en-GB" w:eastAsia="ru-RU"/>
              </w:rPr>
            </w:pPr>
            <w:r w:rsidRPr="0092718A">
              <w:rPr>
                <w:rFonts w:asciiTheme="minorHAnsi" w:eastAsia="Times New Roman" w:hAnsiTheme="minorHAnsi" w:cstheme="minorHAnsi"/>
                <w:color w:val="000000"/>
                <w:sz w:val="20"/>
                <w:szCs w:val="20"/>
                <w:lang w:val="en-GB" w:eastAsia="ru-RU"/>
              </w:rPr>
              <w:t>The provision of HIV prevention and testing services to SW was 70% and 82% respectively</w:t>
            </w:r>
            <w:r w:rsidRPr="0092718A">
              <w:rPr>
                <w:rFonts w:asciiTheme="minorHAnsi" w:eastAsia="Times New Roman" w:hAnsiTheme="minorHAnsi" w:cstheme="minorHAnsi"/>
                <w:color w:val="000000"/>
                <w:sz w:val="20"/>
                <w:szCs w:val="20"/>
                <w:vertAlign w:val="superscript"/>
                <w:lang w:val="en-GB" w:eastAsia="ru-RU"/>
              </w:rPr>
              <w:footnoteReference w:id="26"/>
            </w:r>
            <w:r w:rsidRPr="0092718A">
              <w:rPr>
                <w:rFonts w:asciiTheme="minorHAnsi" w:eastAsia="Times New Roman" w:hAnsiTheme="minorHAnsi" w:cstheme="minorHAnsi"/>
                <w:color w:val="000000"/>
                <w:sz w:val="20"/>
                <w:szCs w:val="20"/>
                <w:lang w:val="en-GB" w:eastAsia="ru-RU"/>
              </w:rPr>
              <w:t xml:space="preserve">. The dialogue between civil society organisations and the </w:t>
            </w:r>
            <w:proofErr w:type="spellStart"/>
            <w:r w:rsidRPr="0092718A">
              <w:rPr>
                <w:rFonts w:asciiTheme="minorHAnsi" w:eastAsia="Times New Roman" w:hAnsiTheme="minorHAnsi" w:cstheme="minorHAnsi"/>
                <w:color w:val="000000"/>
                <w:sz w:val="20"/>
                <w:szCs w:val="20"/>
                <w:lang w:val="en-GB" w:eastAsia="ru-RU"/>
              </w:rPr>
              <w:t>MoH</w:t>
            </w:r>
            <w:proofErr w:type="spellEnd"/>
            <w:r w:rsidRPr="0092718A">
              <w:rPr>
                <w:rFonts w:asciiTheme="minorHAnsi" w:eastAsia="Times New Roman" w:hAnsiTheme="minorHAnsi" w:cstheme="minorHAnsi"/>
                <w:color w:val="000000"/>
                <w:sz w:val="20"/>
                <w:szCs w:val="20"/>
                <w:lang w:val="en-GB" w:eastAsia="ru-RU"/>
              </w:rPr>
              <w:t xml:space="preserve">, representatives of law enforcement agencies and the penitentiary system </w:t>
            </w:r>
            <w:proofErr w:type="gramStart"/>
            <w:r w:rsidRPr="0092718A">
              <w:rPr>
                <w:rFonts w:asciiTheme="minorHAnsi" w:eastAsia="Times New Roman" w:hAnsiTheme="minorHAnsi" w:cstheme="minorHAnsi"/>
                <w:color w:val="000000"/>
                <w:sz w:val="20"/>
                <w:szCs w:val="20"/>
                <w:lang w:val="en-GB" w:eastAsia="ru-RU"/>
              </w:rPr>
              <w:t>was regularly held</w:t>
            </w:r>
            <w:proofErr w:type="gramEnd"/>
            <w:r w:rsidRPr="0092718A">
              <w:rPr>
                <w:rFonts w:asciiTheme="minorHAnsi" w:eastAsia="Times New Roman" w:hAnsiTheme="minorHAnsi" w:cstheme="minorHAnsi"/>
                <w:color w:val="000000"/>
                <w:sz w:val="20"/>
                <w:szCs w:val="20"/>
                <w:lang w:val="en-GB" w:eastAsia="ru-RU"/>
              </w:rPr>
              <w:t xml:space="preserve"> in the country aiming at eliminating the legal barriers and resulting in the 2020-2025 Intersectoral Plan to remove legal barriers to access to HIV and TB services in the Kyrgyz Republic. This plan’s approval is still pending in the second quarter of 2020</w:t>
            </w:r>
            <w:r w:rsidRPr="00AC3035">
              <w:rPr>
                <w:rFonts w:asciiTheme="minorHAnsi" w:eastAsia="Times New Roman" w:hAnsiTheme="minorHAnsi" w:cstheme="minorHAnsi"/>
                <w:color w:val="000000"/>
                <w:sz w:val="20"/>
                <w:szCs w:val="20"/>
                <w:vertAlign w:val="superscript"/>
                <w:lang w:val="en-GB" w:eastAsia="ru-RU"/>
              </w:rPr>
              <w:footnoteReference w:id="27"/>
            </w:r>
            <w:r w:rsidRPr="0092718A">
              <w:rPr>
                <w:rFonts w:asciiTheme="minorHAnsi" w:eastAsia="Times New Roman" w:hAnsiTheme="minorHAnsi" w:cstheme="minorHAnsi"/>
                <w:color w:val="000000"/>
                <w:sz w:val="20"/>
                <w:szCs w:val="20"/>
                <w:lang w:val="en-GB" w:eastAsia="ru-RU"/>
              </w:rPr>
              <w:t>.</w:t>
            </w:r>
          </w:p>
          <w:p w14:paraId="0D7A7686" w14:textId="51009EE6" w:rsidR="006A5816" w:rsidRPr="0092718A" w:rsidRDefault="009E2546" w:rsidP="009E2546">
            <w:pPr>
              <w:tabs>
                <w:tab w:val="left" w:pos="3181"/>
              </w:tabs>
              <w:spacing w:line="238" w:lineRule="atLeast"/>
              <w:jc w:val="both"/>
              <w:rPr>
                <w:rFonts w:asciiTheme="minorHAnsi" w:eastAsia="Times New Roman" w:hAnsiTheme="minorHAnsi" w:cstheme="minorHAnsi"/>
                <w:color w:val="000000"/>
                <w:sz w:val="20"/>
                <w:szCs w:val="20"/>
                <w:lang w:val="en-GB" w:eastAsia="ru-RU"/>
              </w:rPr>
            </w:pPr>
            <w:r w:rsidRPr="0092718A">
              <w:rPr>
                <w:rFonts w:asciiTheme="minorHAnsi" w:eastAsia="Times New Roman" w:hAnsiTheme="minorHAnsi" w:cstheme="minorHAnsi"/>
                <w:color w:val="000000"/>
                <w:sz w:val="20"/>
                <w:szCs w:val="20"/>
                <w:lang w:val="en-GB" w:eastAsia="ru-RU"/>
              </w:rPr>
              <w:t>High stigma towards TB patients, fear of information disclosure, lack of education and of trust in health personnel, insufficient treatment are the main factors behind dropout of treatment.</w:t>
            </w:r>
            <w:r w:rsidRPr="00A951B1">
              <w:rPr>
                <w:rFonts w:asciiTheme="minorHAnsi" w:eastAsia="Times New Roman" w:hAnsiTheme="minorHAnsi" w:cstheme="minorHAnsi"/>
                <w:color w:val="000000"/>
                <w:sz w:val="20"/>
                <w:szCs w:val="20"/>
                <w:vertAlign w:val="superscript"/>
                <w:lang w:val="en-GB" w:eastAsia="ru-RU"/>
              </w:rPr>
              <w:footnoteReference w:id="28"/>
            </w:r>
            <w:r w:rsidRPr="0092718A">
              <w:rPr>
                <w:rFonts w:asciiTheme="minorHAnsi" w:eastAsia="Times New Roman" w:hAnsiTheme="minorHAnsi" w:cstheme="minorHAnsi"/>
                <w:color w:val="000000"/>
                <w:sz w:val="20"/>
                <w:szCs w:val="20"/>
                <w:lang w:val="en-GB" w:eastAsia="ru-RU"/>
              </w:rPr>
              <w:t xml:space="preserve"> </w:t>
            </w:r>
            <w:r w:rsidR="0038152A" w:rsidRPr="0092718A">
              <w:rPr>
                <w:rFonts w:asciiTheme="minorHAnsi" w:eastAsia="Times New Roman" w:hAnsiTheme="minorHAnsi" w:cstheme="minorHAnsi"/>
                <w:color w:val="000000"/>
                <w:sz w:val="20"/>
                <w:szCs w:val="20"/>
                <w:lang w:val="en-GB" w:eastAsia="ru-RU"/>
              </w:rPr>
              <w:t>Despite the existence of a management system for adverse events at the PHC level and in TB facilities, cases have been recorded when patients with tuberculosis did not receive drugs from side effects</w:t>
            </w:r>
            <w:r w:rsidRPr="0092718A">
              <w:rPr>
                <w:rFonts w:asciiTheme="minorHAnsi" w:eastAsia="Times New Roman" w:hAnsiTheme="minorHAnsi" w:cstheme="minorHAnsi"/>
                <w:color w:val="000000"/>
                <w:sz w:val="20"/>
                <w:szCs w:val="20"/>
                <w:lang w:val="en-GB" w:eastAsia="ru-RU"/>
              </w:rPr>
              <w:t>, diagnostics and timely enrolment to treatment, cases of illegal patients' out-of-pocket payments persist, improper drug management practices especially at PHC level. Meanwhile, treatment interruption risks persist due to a lack of public procurement of drugs, lack of essential drugs and tests locally.</w:t>
            </w:r>
          </w:p>
          <w:p w14:paraId="5D534C5D" w14:textId="77777777" w:rsidR="00374486" w:rsidRPr="0092718A" w:rsidRDefault="00374486" w:rsidP="00374486">
            <w:pPr>
              <w:tabs>
                <w:tab w:val="left" w:pos="3181"/>
              </w:tabs>
              <w:spacing w:line="238" w:lineRule="atLeast"/>
              <w:jc w:val="both"/>
              <w:rPr>
                <w:rFonts w:asciiTheme="minorHAnsi" w:eastAsia="Times New Roman" w:hAnsiTheme="minorHAnsi" w:cstheme="minorHAnsi"/>
                <w:b/>
                <w:i/>
                <w:color w:val="000000"/>
                <w:sz w:val="20"/>
                <w:szCs w:val="20"/>
                <w:lang w:val="en-GB" w:eastAsia="ru-RU"/>
              </w:rPr>
            </w:pPr>
            <w:r w:rsidRPr="0092718A">
              <w:rPr>
                <w:rFonts w:asciiTheme="minorHAnsi" w:eastAsia="Times New Roman" w:hAnsiTheme="minorHAnsi" w:cstheme="minorHAnsi"/>
                <w:b/>
                <w:i/>
                <w:color w:val="000000"/>
                <w:sz w:val="20"/>
                <w:szCs w:val="20"/>
                <w:lang w:val="en-GB" w:eastAsia="ru-RU"/>
              </w:rPr>
              <w:t>Gender inequity and violence:</w:t>
            </w:r>
          </w:p>
          <w:p w14:paraId="5FA57402" w14:textId="77777777" w:rsidR="00374486" w:rsidRPr="0092718A" w:rsidRDefault="00374486" w:rsidP="00374486">
            <w:pPr>
              <w:tabs>
                <w:tab w:val="left" w:pos="3181"/>
              </w:tabs>
              <w:spacing w:line="238" w:lineRule="atLeast"/>
              <w:jc w:val="both"/>
              <w:rPr>
                <w:rFonts w:asciiTheme="minorHAnsi" w:eastAsia="Times New Roman" w:hAnsiTheme="minorHAnsi" w:cstheme="minorHAnsi"/>
                <w:color w:val="000000"/>
                <w:sz w:val="20"/>
                <w:szCs w:val="20"/>
                <w:lang w:val="en-GB" w:eastAsia="ru-RU"/>
              </w:rPr>
            </w:pPr>
            <w:r w:rsidRPr="0092718A">
              <w:rPr>
                <w:rFonts w:asciiTheme="minorHAnsi" w:eastAsia="Times New Roman" w:hAnsiTheme="minorHAnsi" w:cstheme="minorHAnsi"/>
                <w:color w:val="000000"/>
                <w:sz w:val="20"/>
                <w:szCs w:val="20"/>
                <w:lang w:val="en-GB" w:eastAsia="ru-RU"/>
              </w:rPr>
              <w:t xml:space="preserve">Constitutionally and legislatively, Kyrgyzstan has civil, penal, labour and family codes to uphold equal rights for men and women and has ratified over 50 international covenants. It has been implementing its own gender equality strategy (2012-2020) that addresses women’s economic empowerment and development, education for women and girls, access to justice and women’s political empowerment. However, restrictions of the rights of women who use drugs, SW, LGBT and female TB patients are encouraged by public opinion and inadequate practices of government agencies, </w:t>
            </w:r>
            <w:proofErr w:type="gramStart"/>
            <w:r w:rsidRPr="0092718A">
              <w:rPr>
                <w:rFonts w:asciiTheme="minorHAnsi" w:eastAsia="Times New Roman" w:hAnsiTheme="minorHAnsi" w:cstheme="minorHAnsi"/>
                <w:color w:val="000000"/>
                <w:sz w:val="20"/>
                <w:szCs w:val="20"/>
                <w:lang w:val="en-GB" w:eastAsia="ru-RU"/>
              </w:rPr>
              <w:t>in particular by</w:t>
            </w:r>
            <w:proofErr w:type="gramEnd"/>
            <w:r w:rsidRPr="0092718A">
              <w:rPr>
                <w:rFonts w:asciiTheme="minorHAnsi" w:eastAsia="Times New Roman" w:hAnsiTheme="minorHAnsi" w:cstheme="minorHAnsi"/>
                <w:color w:val="000000"/>
                <w:sz w:val="20"/>
                <w:szCs w:val="20"/>
                <w:lang w:val="en-GB" w:eastAsia="ru-RU"/>
              </w:rPr>
              <w:t xml:space="preserve"> law enforcement, health facilities as well as certain groups of citizens with religious and/or </w:t>
            </w:r>
            <w:r w:rsidRPr="0092718A">
              <w:rPr>
                <w:rFonts w:asciiTheme="minorHAnsi" w:eastAsia="Times New Roman" w:hAnsiTheme="minorHAnsi" w:cstheme="minorHAnsi"/>
                <w:color w:val="000000"/>
                <w:sz w:val="20"/>
                <w:szCs w:val="20"/>
                <w:lang w:val="en-GB" w:eastAsia="ru-RU"/>
              </w:rPr>
              <w:lastRenderedPageBreak/>
              <w:t xml:space="preserve">traditional values. The </w:t>
            </w:r>
            <w:proofErr w:type="spellStart"/>
            <w:r w:rsidRPr="0092718A">
              <w:rPr>
                <w:rFonts w:asciiTheme="minorHAnsi" w:eastAsia="Times New Roman" w:hAnsiTheme="minorHAnsi" w:cstheme="minorHAnsi"/>
                <w:color w:val="000000"/>
                <w:sz w:val="20"/>
                <w:szCs w:val="20"/>
                <w:lang w:val="en-GB" w:eastAsia="ru-RU"/>
              </w:rPr>
              <w:t>Jogorku</w:t>
            </w:r>
            <w:proofErr w:type="spellEnd"/>
            <w:r w:rsidRPr="0092718A">
              <w:rPr>
                <w:rFonts w:asciiTheme="minorHAnsi" w:eastAsia="Times New Roman" w:hAnsiTheme="minorHAnsi" w:cstheme="minorHAnsi"/>
                <w:color w:val="000000"/>
                <w:sz w:val="20"/>
                <w:szCs w:val="20"/>
                <w:lang w:val="en-GB" w:eastAsia="ru-RU"/>
              </w:rPr>
              <w:t xml:space="preserve"> </w:t>
            </w:r>
            <w:proofErr w:type="spellStart"/>
            <w:r w:rsidRPr="0092718A">
              <w:rPr>
                <w:rFonts w:asciiTheme="minorHAnsi" w:eastAsia="Times New Roman" w:hAnsiTheme="minorHAnsi" w:cstheme="minorHAnsi"/>
                <w:color w:val="000000"/>
                <w:sz w:val="20"/>
                <w:szCs w:val="20"/>
                <w:lang w:val="en-GB" w:eastAsia="ru-RU"/>
              </w:rPr>
              <w:t>Kenesh</w:t>
            </w:r>
            <w:proofErr w:type="spellEnd"/>
            <w:r w:rsidRPr="0092718A">
              <w:rPr>
                <w:rFonts w:asciiTheme="minorHAnsi" w:eastAsia="Times New Roman" w:hAnsiTheme="minorHAnsi" w:cstheme="minorHAnsi"/>
                <w:color w:val="000000"/>
                <w:sz w:val="20"/>
                <w:szCs w:val="20"/>
                <w:lang w:val="en-GB" w:eastAsia="ru-RU"/>
              </w:rPr>
              <w:t xml:space="preserve"> has tightened responsibility for gender-based violence, especially for bride kidnapping and domestic violence</w:t>
            </w:r>
            <w:r w:rsidRPr="0092718A">
              <w:rPr>
                <w:rStyle w:val="af"/>
                <w:rFonts w:asciiTheme="minorHAnsi" w:eastAsia="Times New Roman" w:hAnsiTheme="minorHAnsi" w:cstheme="minorHAnsi"/>
                <w:color w:val="000000"/>
                <w:sz w:val="20"/>
                <w:szCs w:val="20"/>
                <w:lang w:val="en-GB" w:eastAsia="ru-RU"/>
              </w:rPr>
              <w:footnoteReference w:id="29"/>
            </w:r>
            <w:r w:rsidRPr="0092718A">
              <w:rPr>
                <w:rFonts w:asciiTheme="minorHAnsi" w:eastAsia="Times New Roman" w:hAnsiTheme="minorHAnsi" w:cstheme="minorHAnsi"/>
                <w:color w:val="000000"/>
                <w:sz w:val="20"/>
                <w:szCs w:val="20"/>
                <w:lang w:val="en-GB" w:eastAsia="ru-RU"/>
              </w:rPr>
              <w:t xml:space="preserve">. The country keeps statistical records of gender-based violence based on applications to law enforcement agencies and social shelters (crisis </w:t>
            </w:r>
            <w:proofErr w:type="spellStart"/>
            <w:r w:rsidRPr="0092718A">
              <w:rPr>
                <w:rFonts w:asciiTheme="minorHAnsi" w:eastAsia="Times New Roman" w:hAnsiTheme="minorHAnsi" w:cstheme="minorHAnsi"/>
                <w:color w:val="000000"/>
                <w:sz w:val="20"/>
                <w:szCs w:val="20"/>
                <w:lang w:val="en-GB" w:eastAsia="ru-RU"/>
              </w:rPr>
              <w:t>centers</w:t>
            </w:r>
            <w:proofErr w:type="spellEnd"/>
            <w:r w:rsidRPr="0092718A">
              <w:rPr>
                <w:rFonts w:asciiTheme="minorHAnsi" w:eastAsia="Times New Roman" w:hAnsiTheme="minorHAnsi" w:cstheme="minorHAnsi"/>
                <w:color w:val="000000"/>
                <w:sz w:val="20"/>
                <w:szCs w:val="20"/>
                <w:lang w:val="en-GB" w:eastAsia="ru-RU"/>
              </w:rPr>
              <w:t xml:space="preserve">, public leaders, etc.). Several studies on violence against women living with HIV and women who use drugs revealed that more than half of women living with HIV had </w:t>
            </w:r>
            <w:proofErr w:type="gramStart"/>
            <w:r w:rsidRPr="0092718A">
              <w:rPr>
                <w:rFonts w:asciiTheme="minorHAnsi" w:eastAsia="Times New Roman" w:hAnsiTheme="minorHAnsi" w:cstheme="minorHAnsi"/>
                <w:color w:val="000000"/>
                <w:sz w:val="20"/>
                <w:szCs w:val="20"/>
                <w:lang w:val="en-GB" w:eastAsia="ru-RU"/>
              </w:rPr>
              <w:t>been exposed</w:t>
            </w:r>
            <w:proofErr w:type="gramEnd"/>
            <w:r w:rsidRPr="0092718A">
              <w:rPr>
                <w:rFonts w:asciiTheme="minorHAnsi" w:eastAsia="Times New Roman" w:hAnsiTheme="minorHAnsi" w:cstheme="minorHAnsi"/>
                <w:color w:val="000000"/>
                <w:sz w:val="20"/>
                <w:szCs w:val="20"/>
                <w:lang w:val="en-GB" w:eastAsia="ru-RU"/>
              </w:rPr>
              <w:t xml:space="preserve"> to physical violence and nearly one third (28%) to sexual abuse. 71% of them did not seek care, whereas 24.4% of surveyed women </w:t>
            </w:r>
            <w:proofErr w:type="gramStart"/>
            <w:r w:rsidRPr="0092718A">
              <w:rPr>
                <w:rFonts w:asciiTheme="minorHAnsi" w:eastAsia="Times New Roman" w:hAnsiTheme="minorHAnsi" w:cstheme="minorHAnsi"/>
                <w:color w:val="000000"/>
                <w:sz w:val="20"/>
                <w:szCs w:val="20"/>
                <w:lang w:val="en-GB" w:eastAsia="ru-RU"/>
              </w:rPr>
              <w:t>were prohibited</w:t>
            </w:r>
            <w:proofErr w:type="gramEnd"/>
            <w:r w:rsidRPr="0092718A">
              <w:rPr>
                <w:rFonts w:asciiTheme="minorHAnsi" w:eastAsia="Times New Roman" w:hAnsiTheme="minorHAnsi" w:cstheme="minorHAnsi"/>
                <w:color w:val="000000"/>
                <w:sz w:val="20"/>
                <w:szCs w:val="20"/>
                <w:lang w:val="en-GB" w:eastAsia="ru-RU"/>
              </w:rPr>
              <w:t xml:space="preserve"> to either seek health or social care</w:t>
            </w:r>
            <w:r w:rsidRPr="0092718A">
              <w:rPr>
                <w:rFonts w:asciiTheme="minorHAnsi" w:eastAsia="Times New Roman" w:hAnsiTheme="minorHAnsi" w:cstheme="minorHAnsi"/>
                <w:color w:val="000000"/>
                <w:sz w:val="20"/>
                <w:szCs w:val="20"/>
                <w:vertAlign w:val="superscript"/>
                <w:lang w:val="en-GB" w:eastAsia="ru-RU"/>
              </w:rPr>
              <w:footnoteReference w:id="30"/>
            </w:r>
            <w:r w:rsidRPr="0092718A">
              <w:rPr>
                <w:rFonts w:asciiTheme="minorHAnsi" w:eastAsia="Times New Roman" w:hAnsiTheme="minorHAnsi" w:cstheme="minorHAnsi"/>
                <w:color w:val="000000"/>
                <w:sz w:val="20"/>
                <w:szCs w:val="20"/>
                <w:vertAlign w:val="superscript"/>
                <w:lang w:val="en-GB" w:eastAsia="ru-RU"/>
              </w:rPr>
              <w:t>,</w:t>
            </w:r>
            <w:r w:rsidRPr="0092718A">
              <w:rPr>
                <w:rStyle w:val="af"/>
                <w:rFonts w:asciiTheme="minorHAnsi" w:eastAsia="Times New Roman" w:hAnsiTheme="minorHAnsi" w:cstheme="minorHAnsi"/>
                <w:color w:val="000000"/>
                <w:sz w:val="20"/>
                <w:szCs w:val="20"/>
                <w:lang w:val="en-GB" w:eastAsia="ru-RU"/>
              </w:rPr>
              <w:footnoteReference w:id="31"/>
            </w:r>
            <w:r w:rsidRPr="0092718A">
              <w:rPr>
                <w:rFonts w:asciiTheme="minorHAnsi" w:eastAsia="Times New Roman" w:hAnsiTheme="minorHAnsi" w:cstheme="minorHAnsi"/>
                <w:color w:val="000000"/>
                <w:sz w:val="20"/>
                <w:szCs w:val="20"/>
                <w:lang w:val="en-GB" w:eastAsia="ru-RU"/>
              </w:rPr>
              <w:t xml:space="preserve">. Nonetheless, the facts of gender-based violence against people living with HIV and TB and key populations </w:t>
            </w:r>
            <w:proofErr w:type="gramStart"/>
            <w:r w:rsidRPr="0092718A">
              <w:rPr>
                <w:rFonts w:asciiTheme="minorHAnsi" w:eastAsia="Times New Roman" w:hAnsiTheme="minorHAnsi" w:cstheme="minorHAnsi"/>
                <w:color w:val="000000"/>
                <w:sz w:val="20"/>
                <w:szCs w:val="20"/>
                <w:lang w:val="en-GB" w:eastAsia="ru-RU"/>
              </w:rPr>
              <w:t>are not reported</w:t>
            </w:r>
            <w:proofErr w:type="gramEnd"/>
            <w:r w:rsidRPr="0092718A">
              <w:rPr>
                <w:rFonts w:asciiTheme="minorHAnsi" w:eastAsia="Times New Roman" w:hAnsiTheme="minorHAnsi" w:cstheme="minorHAnsi"/>
                <w:color w:val="000000"/>
                <w:sz w:val="20"/>
                <w:szCs w:val="20"/>
                <w:lang w:val="en-GB" w:eastAsia="ru-RU"/>
              </w:rPr>
              <w:t xml:space="preserve"> by neither government institutions nor community organisations operating in this area. </w:t>
            </w:r>
          </w:p>
          <w:p w14:paraId="5E4B279A" w14:textId="77777777" w:rsidR="00EB4CBE" w:rsidRPr="0092718A" w:rsidRDefault="00EB4CBE" w:rsidP="00EB4CBE">
            <w:pPr>
              <w:tabs>
                <w:tab w:val="left" w:pos="3181"/>
              </w:tabs>
              <w:spacing w:line="238" w:lineRule="atLeast"/>
              <w:jc w:val="both"/>
              <w:rPr>
                <w:rFonts w:asciiTheme="minorHAnsi" w:eastAsia="Times New Roman" w:hAnsiTheme="minorHAnsi" w:cstheme="minorHAnsi"/>
                <w:sz w:val="20"/>
                <w:szCs w:val="20"/>
                <w:lang w:val="en-GB" w:eastAsia="ru-RU"/>
              </w:rPr>
            </w:pPr>
            <w:r w:rsidRPr="0092718A">
              <w:rPr>
                <w:rFonts w:asciiTheme="minorHAnsi" w:eastAsia="Times New Roman" w:hAnsiTheme="minorHAnsi" w:cstheme="minorHAnsi"/>
                <w:b/>
                <w:i/>
                <w:sz w:val="20"/>
                <w:szCs w:val="20"/>
                <w:lang w:val="en-GB" w:eastAsia="ru-RU"/>
              </w:rPr>
              <w:t>Poor legal literacy of population:</w:t>
            </w:r>
            <w:r w:rsidRPr="0092718A">
              <w:rPr>
                <w:rFonts w:asciiTheme="minorHAnsi" w:eastAsia="Times New Roman" w:hAnsiTheme="minorHAnsi" w:cstheme="minorHAnsi"/>
                <w:sz w:val="20"/>
                <w:szCs w:val="20"/>
                <w:lang w:val="en-GB" w:eastAsia="ru-RU"/>
              </w:rPr>
              <w:t xml:space="preserve"> Activities aimed to improve access to legal information and legal protection of PLHIV and key populations including education, arranging spaces and support groups </w:t>
            </w:r>
            <w:proofErr w:type="gramStart"/>
            <w:r w:rsidRPr="0092718A">
              <w:rPr>
                <w:rFonts w:asciiTheme="minorHAnsi" w:eastAsia="Times New Roman" w:hAnsiTheme="minorHAnsi" w:cstheme="minorHAnsi"/>
                <w:sz w:val="20"/>
                <w:szCs w:val="20"/>
                <w:lang w:val="en-GB" w:eastAsia="ru-RU"/>
              </w:rPr>
              <w:t>were implemented</w:t>
            </w:r>
            <w:proofErr w:type="gramEnd"/>
            <w:r w:rsidRPr="0092718A">
              <w:rPr>
                <w:rFonts w:asciiTheme="minorHAnsi" w:eastAsia="Times New Roman" w:hAnsiTheme="minorHAnsi" w:cstheme="minorHAnsi"/>
                <w:sz w:val="20"/>
                <w:szCs w:val="20"/>
                <w:lang w:val="en-GB" w:eastAsia="ru-RU"/>
              </w:rPr>
              <w:t xml:space="preserve"> under the GF grant on catalytic financing. However, the pilot nature of such activities prevented from rolling-out to legal education and access to legal aid.  </w:t>
            </w:r>
          </w:p>
          <w:p w14:paraId="07356070" w14:textId="77777777" w:rsidR="0092718A" w:rsidRPr="0092718A" w:rsidRDefault="0092718A" w:rsidP="0092718A">
            <w:pPr>
              <w:tabs>
                <w:tab w:val="left" w:pos="3181"/>
              </w:tabs>
              <w:spacing w:line="238" w:lineRule="atLeast"/>
              <w:jc w:val="both"/>
              <w:rPr>
                <w:rFonts w:asciiTheme="minorHAnsi" w:eastAsia="Times New Roman" w:hAnsiTheme="minorHAnsi" w:cstheme="minorHAnsi"/>
                <w:color w:val="000000"/>
                <w:sz w:val="20"/>
                <w:szCs w:val="20"/>
                <w:lang w:val="en-GB" w:eastAsia="ru-RU"/>
              </w:rPr>
            </w:pPr>
            <w:r w:rsidRPr="0092718A">
              <w:rPr>
                <w:rFonts w:asciiTheme="minorHAnsi" w:eastAsia="Times New Roman" w:hAnsiTheme="minorHAnsi" w:cstheme="minorHAnsi"/>
                <w:b/>
                <w:i/>
                <w:color w:val="000000"/>
                <w:sz w:val="20"/>
                <w:szCs w:val="20"/>
                <w:lang w:val="en-GB" w:eastAsia="ru-RU"/>
              </w:rPr>
              <w:t>Provision of legal aid</w:t>
            </w:r>
            <w:r w:rsidRPr="0092718A">
              <w:rPr>
                <w:rFonts w:asciiTheme="minorHAnsi" w:eastAsia="Times New Roman" w:hAnsiTheme="minorHAnsi" w:cstheme="minorHAnsi"/>
                <w:i/>
                <w:color w:val="000000"/>
                <w:sz w:val="20"/>
                <w:szCs w:val="20"/>
                <w:lang w:val="en-GB" w:eastAsia="ru-RU"/>
              </w:rPr>
              <w:t>:</w:t>
            </w:r>
            <w:r w:rsidRPr="0092718A">
              <w:rPr>
                <w:rFonts w:asciiTheme="minorHAnsi" w:eastAsia="Times New Roman" w:hAnsiTheme="minorHAnsi" w:cstheme="minorHAnsi"/>
                <w:color w:val="000000"/>
                <w:sz w:val="20"/>
                <w:szCs w:val="20"/>
                <w:lang w:val="en-GB" w:eastAsia="ru-RU"/>
              </w:rPr>
              <w:t xml:space="preserve"> There is a law on guaranteed state legal services for people who cannot afford the services of paid lawyers (SPLA). However, to be eligible to receive this service, it is necessary to provide evidence of their poverty, which they cannot do, because they are already in jail or temporary detention facilities, do not have information or do not have documents.</w:t>
            </w:r>
          </w:p>
          <w:p w14:paraId="443E8C7A" w14:textId="21739065" w:rsidR="00485066" w:rsidRPr="0092718A" w:rsidRDefault="0092718A" w:rsidP="0092718A">
            <w:pPr>
              <w:jc w:val="both"/>
              <w:rPr>
                <w:rFonts w:asciiTheme="minorHAnsi" w:hAnsiTheme="minorHAnsi" w:cstheme="minorHAnsi"/>
                <w:sz w:val="20"/>
                <w:szCs w:val="20"/>
              </w:rPr>
            </w:pPr>
            <w:r w:rsidRPr="0092718A">
              <w:rPr>
                <w:rFonts w:asciiTheme="minorHAnsi" w:eastAsia="Times New Roman" w:hAnsiTheme="minorHAnsi" w:cstheme="minorHAnsi"/>
                <w:color w:val="000000"/>
                <w:sz w:val="20"/>
                <w:szCs w:val="20"/>
                <w:lang w:val="en-GB" w:eastAsia="ru-RU"/>
              </w:rPr>
              <w:t xml:space="preserve">The HIV and TB programmes prioritise developing the capacity of civil society organisations (CSOs) and community. CSOs are members of international HIV and TB networks. Nonetheless, TB programmes have not yet fully utilised community capacity. The concept for expanding community involvement as part of implementation of GF grants </w:t>
            </w:r>
            <w:proofErr w:type="gramStart"/>
            <w:r w:rsidRPr="0092718A">
              <w:rPr>
                <w:rFonts w:asciiTheme="minorHAnsi" w:eastAsia="Times New Roman" w:hAnsiTheme="minorHAnsi" w:cstheme="minorHAnsi"/>
                <w:color w:val="000000"/>
                <w:sz w:val="20"/>
                <w:szCs w:val="20"/>
                <w:lang w:val="en-GB" w:eastAsia="ru-RU"/>
              </w:rPr>
              <w:t>was developed</w:t>
            </w:r>
            <w:proofErr w:type="gramEnd"/>
            <w:r w:rsidRPr="0092718A">
              <w:rPr>
                <w:rStyle w:val="af"/>
                <w:rFonts w:asciiTheme="minorHAnsi" w:eastAsia="Times New Roman" w:hAnsiTheme="minorHAnsi" w:cstheme="minorHAnsi"/>
                <w:color w:val="000000"/>
                <w:sz w:val="20"/>
                <w:lang w:val="en-GB" w:eastAsia="ru-RU"/>
              </w:rPr>
              <w:footnoteReference w:id="32"/>
            </w:r>
            <w:r w:rsidRPr="0092718A">
              <w:rPr>
                <w:rFonts w:asciiTheme="minorHAnsi" w:eastAsia="Times New Roman" w:hAnsiTheme="minorHAnsi" w:cstheme="minorHAnsi"/>
                <w:color w:val="000000"/>
                <w:sz w:val="20"/>
                <w:szCs w:val="20"/>
                <w:lang w:val="en-GB" w:eastAsia="ru-RU"/>
              </w:rPr>
              <w:t xml:space="preserve"> but approval is still pending.</w:t>
            </w:r>
          </w:p>
        </w:tc>
      </w:tr>
    </w:tbl>
    <w:p w14:paraId="413D59C4" w14:textId="77777777" w:rsidR="00485066" w:rsidRPr="00B271DB" w:rsidRDefault="00485066" w:rsidP="001F7F10">
      <w:pPr>
        <w:spacing w:after="0"/>
        <w:rPr>
          <w:rFonts w:cs="Arial"/>
          <w:bCs/>
        </w:rPr>
      </w:pPr>
    </w:p>
    <w:p w14:paraId="1E9618A8" w14:textId="66E2D3F2" w:rsidR="00485066" w:rsidRPr="00BF4BEE" w:rsidRDefault="00485066" w:rsidP="001F7F10">
      <w:pPr>
        <w:spacing w:after="0"/>
        <w:jc w:val="both"/>
        <w:rPr>
          <w:rFonts w:cs="Arial"/>
        </w:rPr>
      </w:pPr>
      <w:r w:rsidRPr="00BF4BEE">
        <w:rPr>
          <w:rFonts w:cs="Arial"/>
        </w:rPr>
        <w:t xml:space="preserve">Given the country context, size of </w:t>
      </w:r>
      <w:r w:rsidR="00F112AD">
        <w:rPr>
          <w:rFonts w:cs="Arial"/>
        </w:rPr>
        <w:t xml:space="preserve">the </w:t>
      </w:r>
      <w:r w:rsidRPr="00BF4BEE">
        <w:rPr>
          <w:rFonts w:cs="Arial"/>
        </w:rPr>
        <w:t>Global Fund</w:t>
      </w:r>
      <w:r w:rsidR="00EA59D0" w:rsidRPr="00BF4BEE">
        <w:rPr>
          <w:rFonts w:cs="Arial"/>
        </w:rPr>
        <w:t>’s</w:t>
      </w:r>
      <w:r w:rsidRPr="00BF4BEE">
        <w:rPr>
          <w:rFonts w:cs="Arial"/>
        </w:rPr>
        <w:t xml:space="preserve"> allocation</w:t>
      </w:r>
      <w:r w:rsidR="00EA59D0" w:rsidRPr="00BF4BEE">
        <w:rPr>
          <w:rFonts w:cs="Arial"/>
        </w:rPr>
        <w:t>,</w:t>
      </w:r>
      <w:r w:rsidRPr="00BF4BEE">
        <w:rPr>
          <w:rFonts w:cs="Arial"/>
        </w:rPr>
        <w:t xml:space="preserve"> latest available data</w:t>
      </w:r>
      <w:r w:rsidR="006B7844">
        <w:rPr>
          <w:rFonts w:cs="Arial"/>
        </w:rPr>
        <w:t>, and guidance in the allocation letter</w:t>
      </w:r>
      <w:r w:rsidRPr="00BF4BEE">
        <w:rPr>
          <w:rFonts w:cs="Arial"/>
        </w:rPr>
        <w:t>:</w:t>
      </w:r>
    </w:p>
    <w:p w14:paraId="5796F9C0" w14:textId="55F80D05" w:rsidR="00CB63FE" w:rsidRPr="00BF4BEE" w:rsidRDefault="00CB63FE" w:rsidP="00BE0F0C">
      <w:pPr>
        <w:spacing w:after="0"/>
        <w:rPr>
          <w:rFonts w:cs="Arial"/>
        </w:rPr>
      </w:pPr>
    </w:p>
    <w:p w14:paraId="22D17666" w14:textId="0B4DD218" w:rsidR="00CB63FE" w:rsidRDefault="001D5CEF" w:rsidP="00561767">
      <w:pPr>
        <w:spacing w:after="0"/>
        <w:ind w:left="270" w:hanging="270"/>
        <w:jc w:val="both"/>
      </w:pPr>
      <w:r w:rsidRPr="00BF4BEE">
        <w:rPr>
          <w:rFonts w:cs="Arial"/>
          <w:bCs/>
          <w:iCs/>
        </w:rPr>
        <w:t xml:space="preserve">b) </w:t>
      </w:r>
      <w:r w:rsidR="00F112AD">
        <w:rPr>
          <w:rFonts w:cs="Arial"/>
          <w:bCs/>
          <w:iCs/>
        </w:rPr>
        <w:t>Summarize</w:t>
      </w:r>
      <w:r w:rsidR="00CB63FE" w:rsidRPr="008C21CF">
        <w:rPr>
          <w:rFonts w:cs="Arial"/>
          <w:bCs/>
          <w:iCs/>
        </w:rPr>
        <w:t xml:space="preserve"> the</w:t>
      </w:r>
      <w:r w:rsidR="005279BC" w:rsidRPr="008C21CF">
        <w:rPr>
          <w:rFonts w:cs="Arial"/>
          <w:bCs/>
          <w:iCs/>
        </w:rPr>
        <w:t xml:space="preserve"> </w:t>
      </w:r>
      <w:r w:rsidR="005279BC" w:rsidRPr="0096146C">
        <w:rPr>
          <w:rFonts w:cs="Arial"/>
          <w:b/>
          <w:bCs/>
          <w:iCs/>
        </w:rPr>
        <w:t>approach used for</w:t>
      </w:r>
      <w:r w:rsidR="00CB63FE" w:rsidRPr="0096146C">
        <w:rPr>
          <w:rFonts w:cs="Arial"/>
          <w:b/>
          <w:bCs/>
          <w:iCs/>
        </w:rPr>
        <w:t xml:space="preserve"> </w:t>
      </w:r>
      <w:r w:rsidR="00326A25" w:rsidRPr="0096146C">
        <w:rPr>
          <w:rFonts w:cs="Arial"/>
          <w:b/>
          <w:bCs/>
          <w:iCs/>
        </w:rPr>
        <w:t xml:space="preserve">the </w:t>
      </w:r>
      <w:r w:rsidR="005279BC" w:rsidRPr="0096146C">
        <w:rPr>
          <w:rFonts w:cs="Arial"/>
          <w:b/>
          <w:bCs/>
          <w:iCs/>
        </w:rPr>
        <w:t>prioritization</w:t>
      </w:r>
      <w:r w:rsidR="005279BC" w:rsidRPr="008C21CF">
        <w:rPr>
          <w:rFonts w:cs="Arial"/>
          <w:bCs/>
          <w:iCs/>
        </w:rPr>
        <w:t xml:space="preserve"> of </w:t>
      </w:r>
      <w:r w:rsidR="00CD0532">
        <w:rPr>
          <w:rFonts w:cs="Arial"/>
          <w:bCs/>
          <w:iCs/>
        </w:rPr>
        <w:t>modules</w:t>
      </w:r>
      <w:r w:rsidR="00FE5CDB">
        <w:rPr>
          <w:rFonts w:cs="Arial"/>
          <w:bCs/>
          <w:iCs/>
        </w:rPr>
        <w:t xml:space="preserve"> and</w:t>
      </w:r>
      <w:r w:rsidR="00CB63FE" w:rsidRPr="008C21CF">
        <w:rPr>
          <w:rFonts w:cs="Arial"/>
          <w:bCs/>
          <w:iCs/>
        </w:rPr>
        <w:t xml:space="preserve"> interventions</w:t>
      </w:r>
      <w:r w:rsidR="00282E1F">
        <w:rPr>
          <w:rFonts w:cs="Arial"/>
          <w:bCs/>
          <w:iCs/>
        </w:rPr>
        <w:t xml:space="preserve"> (</w:t>
      </w:r>
      <w:r w:rsidR="002F5A38">
        <w:rPr>
          <w:rFonts w:cs="Arial"/>
          <w:bCs/>
          <w:iCs/>
        </w:rPr>
        <w:t xml:space="preserve">or in the case of </w:t>
      </w:r>
      <w:r w:rsidR="00F112AD">
        <w:rPr>
          <w:rFonts w:cs="Arial"/>
          <w:bCs/>
          <w:iCs/>
        </w:rPr>
        <w:t>P</w:t>
      </w:r>
      <w:r w:rsidR="0008377E">
        <w:rPr>
          <w:rFonts w:cs="Arial"/>
          <w:bCs/>
          <w:iCs/>
        </w:rPr>
        <w:t>ayment</w:t>
      </w:r>
      <w:r w:rsidR="00F112AD">
        <w:rPr>
          <w:rFonts w:cs="Arial"/>
          <w:bCs/>
          <w:iCs/>
        </w:rPr>
        <w:t xml:space="preserve"> f</w:t>
      </w:r>
      <w:r w:rsidR="0008377E">
        <w:rPr>
          <w:rFonts w:cs="Arial"/>
          <w:bCs/>
          <w:iCs/>
        </w:rPr>
        <w:t>or</w:t>
      </w:r>
      <w:r w:rsidR="00F112AD">
        <w:rPr>
          <w:rFonts w:cs="Arial"/>
          <w:bCs/>
          <w:iCs/>
        </w:rPr>
        <w:t xml:space="preserve"> R</w:t>
      </w:r>
      <w:r w:rsidR="0008377E">
        <w:rPr>
          <w:rFonts w:cs="Arial"/>
          <w:bCs/>
          <w:iCs/>
        </w:rPr>
        <w:t>esults</w:t>
      </w:r>
      <w:r w:rsidR="002F5A38">
        <w:rPr>
          <w:rFonts w:cs="Arial"/>
          <w:bCs/>
          <w:iCs/>
        </w:rPr>
        <w:t>,</w:t>
      </w:r>
      <w:r w:rsidR="0008377E">
        <w:rPr>
          <w:rFonts w:cs="Arial"/>
          <w:bCs/>
          <w:iCs/>
        </w:rPr>
        <w:t xml:space="preserve"> the</w:t>
      </w:r>
      <w:r w:rsidR="00CB63FE" w:rsidRPr="008C21CF">
        <w:rPr>
          <w:rFonts w:cs="Arial"/>
          <w:bCs/>
          <w:iCs/>
        </w:rPr>
        <w:t xml:space="preserve"> performance indicators and/or milestones</w:t>
      </w:r>
      <w:r w:rsidR="00282E1F">
        <w:rPr>
          <w:rFonts w:cs="Arial"/>
          <w:bCs/>
          <w:iCs/>
        </w:rPr>
        <w:t>)</w:t>
      </w:r>
      <w:r w:rsidR="00CB63FE" w:rsidRPr="008C21CF">
        <w:rPr>
          <w:rFonts w:cs="Arial"/>
          <w:bCs/>
          <w:iCs/>
        </w:rPr>
        <w:t>.</w:t>
      </w:r>
      <w:r w:rsidR="004807FB" w:rsidRPr="00BF4BEE">
        <w:t xml:space="preserve"> </w:t>
      </w:r>
    </w:p>
    <w:p w14:paraId="6BF04C29" w14:textId="77777777" w:rsidR="00C011D1" w:rsidRPr="004807FB" w:rsidRDefault="00C011D1" w:rsidP="00561767">
      <w:pPr>
        <w:spacing w:after="0"/>
        <w:ind w:left="270" w:hanging="270"/>
        <w:jc w:val="both"/>
        <w:rPr>
          <w:rFonts w:cs="Arial"/>
          <w:bCs/>
          <w:iCs/>
        </w:rPr>
      </w:pPr>
    </w:p>
    <w:tbl>
      <w:tblPr>
        <w:tblStyle w:val="aa"/>
        <w:tblW w:w="0" w:type="auto"/>
        <w:tblLook w:val="04A0" w:firstRow="1" w:lastRow="0" w:firstColumn="1" w:lastColumn="0" w:noHBand="0" w:noVBand="1"/>
      </w:tblPr>
      <w:tblGrid>
        <w:gridCol w:w="10456"/>
      </w:tblGrid>
      <w:tr w:rsidR="00CB63FE" w14:paraId="1E016E79" w14:textId="77777777" w:rsidTr="00CB63FE">
        <w:tc>
          <w:tcPr>
            <w:tcW w:w="10790" w:type="dxa"/>
            <w:tcBorders>
              <w:top w:val="single" w:sz="4" w:space="0" w:color="auto"/>
              <w:left w:val="single" w:sz="4" w:space="0" w:color="auto"/>
              <w:bottom w:val="single" w:sz="4" w:space="0" w:color="auto"/>
              <w:right w:val="single" w:sz="4" w:space="0" w:color="auto"/>
            </w:tcBorders>
          </w:tcPr>
          <w:p w14:paraId="64954C80" w14:textId="77777777" w:rsidR="006551AE" w:rsidRPr="00045954" w:rsidRDefault="006551AE" w:rsidP="006551AE">
            <w:pPr>
              <w:jc w:val="both"/>
              <w:rPr>
                <w:rFonts w:asciiTheme="minorHAnsi" w:hAnsiTheme="minorHAnsi" w:cstheme="minorHAnsi"/>
                <w:b/>
                <w:sz w:val="20"/>
                <w:szCs w:val="20"/>
                <w:lang w:val="en-GB"/>
              </w:rPr>
            </w:pPr>
            <w:r w:rsidRPr="00045954">
              <w:rPr>
                <w:rFonts w:asciiTheme="minorHAnsi" w:hAnsiTheme="minorHAnsi" w:cstheme="minorHAnsi"/>
                <w:b/>
                <w:sz w:val="20"/>
                <w:szCs w:val="20"/>
                <w:lang w:val="en-GB"/>
              </w:rPr>
              <w:t>HIV</w:t>
            </w:r>
          </w:p>
          <w:p w14:paraId="4EA4BC04" w14:textId="77777777" w:rsidR="006551AE" w:rsidRPr="00045954" w:rsidRDefault="006551AE" w:rsidP="006551AE">
            <w:pPr>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t>Despite the progress achieved in implementation of the national strategy and ongoing interventions to contain the HIV epidemic, Kyrgyzstan still lags significantly behind the achievement of 90-90-90 goals, high mortality rate in people living with HIV continues to persist and nearly 50% of detected cases are at advanced HIV stages. HIV prevalence among key populations remains high and the increased number of HIV cases in sexual partners of key populations and migrants is raising concerns.</w:t>
            </w:r>
          </w:p>
          <w:p w14:paraId="20CDC66A" w14:textId="77777777" w:rsidR="006551AE" w:rsidRPr="00045954" w:rsidRDefault="006551AE" w:rsidP="006551AE">
            <w:pPr>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t>The volume of aggregated funding of HIV programmes, including the funds in pipeline from GF, PEPFAR (CDC, USAID) and state budget earmarked for purchasing drugs and prevention programmes among key populations, in 2021-2023 will range between $ 6.5-7.0 million per annum</w:t>
            </w:r>
            <w:r w:rsidRPr="00045954">
              <w:rPr>
                <w:rStyle w:val="af"/>
                <w:rFonts w:asciiTheme="minorHAnsi" w:hAnsiTheme="minorHAnsi" w:cstheme="minorHAnsi"/>
                <w:sz w:val="20"/>
                <w:szCs w:val="20"/>
                <w:lang w:val="en-GB"/>
              </w:rPr>
              <w:footnoteReference w:id="33"/>
            </w:r>
            <w:r w:rsidRPr="00045954">
              <w:rPr>
                <w:rFonts w:asciiTheme="minorHAnsi" w:hAnsiTheme="minorHAnsi" w:cstheme="minorHAnsi"/>
                <w:sz w:val="20"/>
                <w:szCs w:val="20"/>
                <w:lang w:val="en-GB"/>
              </w:rPr>
              <w:t>.</w:t>
            </w:r>
          </w:p>
          <w:p w14:paraId="114185A3" w14:textId="77777777" w:rsidR="006551AE" w:rsidRPr="00045954" w:rsidRDefault="006551AE" w:rsidP="006551AE">
            <w:pPr>
              <w:jc w:val="both"/>
              <w:rPr>
                <w:rFonts w:asciiTheme="minorHAnsi" w:hAnsiTheme="minorHAnsi" w:cstheme="minorHAnsi"/>
                <w:sz w:val="20"/>
                <w:szCs w:val="20"/>
                <w:lang w:val="en-GB"/>
              </w:rPr>
            </w:pPr>
          </w:p>
          <w:p w14:paraId="19B06960" w14:textId="77777777" w:rsidR="006551AE" w:rsidRPr="00045954" w:rsidRDefault="006551AE" w:rsidP="006551AE">
            <w:pPr>
              <w:jc w:val="both"/>
              <w:rPr>
                <w:rFonts w:asciiTheme="minorHAnsi" w:hAnsiTheme="minorHAnsi" w:cstheme="minorHAnsi"/>
                <w:color w:val="FF0000"/>
                <w:sz w:val="20"/>
                <w:szCs w:val="20"/>
                <w:lang w:val="en-GB"/>
              </w:rPr>
            </w:pPr>
            <w:r w:rsidRPr="00045954">
              <w:rPr>
                <w:rFonts w:asciiTheme="minorHAnsi" w:hAnsiTheme="minorHAnsi" w:cstheme="minorHAnsi"/>
                <w:sz w:val="20"/>
                <w:szCs w:val="20"/>
                <w:lang w:val="en-GB"/>
              </w:rPr>
              <w:t xml:space="preserve">1. By 2021, the process of decentralisation of HIV care services will be finalised - HIV will </w:t>
            </w:r>
            <w:proofErr w:type="gramStart"/>
            <w:r w:rsidRPr="00045954">
              <w:rPr>
                <w:rFonts w:asciiTheme="minorHAnsi" w:hAnsiTheme="minorHAnsi" w:cstheme="minorHAnsi"/>
                <w:sz w:val="20"/>
                <w:szCs w:val="20"/>
                <w:lang w:val="en-GB"/>
              </w:rPr>
              <w:t>be treated</w:t>
            </w:r>
            <w:proofErr w:type="gramEnd"/>
            <w:r w:rsidRPr="00045954">
              <w:rPr>
                <w:rFonts w:asciiTheme="minorHAnsi" w:hAnsiTheme="minorHAnsi" w:cstheme="minorHAnsi"/>
                <w:sz w:val="20"/>
                <w:szCs w:val="20"/>
                <w:lang w:val="en-GB"/>
              </w:rPr>
              <w:t xml:space="preserve"> at PHC level</w:t>
            </w:r>
            <w:r w:rsidRPr="00045954">
              <w:rPr>
                <w:rStyle w:val="af"/>
                <w:rFonts w:asciiTheme="minorHAnsi" w:hAnsiTheme="minorHAnsi" w:cstheme="minorHAnsi"/>
                <w:sz w:val="20"/>
                <w:szCs w:val="20"/>
                <w:lang w:val="en-GB"/>
              </w:rPr>
              <w:footnoteReference w:id="34"/>
            </w:r>
            <w:r w:rsidRPr="00045954">
              <w:rPr>
                <w:rFonts w:asciiTheme="minorHAnsi" w:hAnsiTheme="minorHAnsi" w:cstheme="minorHAnsi"/>
                <w:sz w:val="20"/>
                <w:szCs w:val="20"/>
                <w:lang w:val="en-GB"/>
              </w:rPr>
              <w:t xml:space="preserve">. The RAC will coordinate, monitor and evaluate programmes including drug management, introduction of new treatment regimens, provision of methodological guidance as well as monitoring ARV drugs toxicity and resistance. The differentiated provision of services will be rolled-out including provision of ARV drugs for longer period (6-12 months) and early start of ART. Continue activities for index testing of PLWH sexual and injection partners, maintain adherence to ART, expand pre-exposure prophylaxis activities for discordant couples and key groups, as well as the introduction of prescription testing with support from PEPFAR. Integrating testing and case management services for HIV and TB co-infections in TB hospitals will expand. TB Programme staff will </w:t>
            </w:r>
            <w:proofErr w:type="gramStart"/>
            <w:r w:rsidRPr="00045954">
              <w:rPr>
                <w:rFonts w:asciiTheme="minorHAnsi" w:hAnsiTheme="minorHAnsi" w:cstheme="minorHAnsi"/>
                <w:sz w:val="20"/>
                <w:szCs w:val="20"/>
                <w:lang w:val="en-GB"/>
              </w:rPr>
              <w:t>be trained</w:t>
            </w:r>
            <w:proofErr w:type="gramEnd"/>
            <w:r w:rsidRPr="00045954">
              <w:rPr>
                <w:rFonts w:asciiTheme="minorHAnsi" w:hAnsiTheme="minorHAnsi" w:cstheme="minorHAnsi"/>
                <w:sz w:val="20"/>
                <w:szCs w:val="20"/>
                <w:lang w:val="en-GB"/>
              </w:rPr>
              <w:t xml:space="preserve"> in managing HIV and TB co-infection patients, rapid testing and co-prescribing of treatment together with infectious disease doctors.  </w:t>
            </w:r>
          </w:p>
          <w:p w14:paraId="61FA8B2E" w14:textId="77777777" w:rsidR="00396D74" w:rsidRPr="00045954" w:rsidRDefault="00396D74" w:rsidP="00396D74">
            <w:pPr>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t xml:space="preserve">As part of this funding request, the innovative approach to evaluate the performance of all sites based on final outcomes - “tested and registered,” “covered by treatment and undetectable viral load is achieved” will </w:t>
            </w:r>
            <w:proofErr w:type="gramStart"/>
            <w:r w:rsidRPr="00045954">
              <w:rPr>
                <w:rFonts w:asciiTheme="minorHAnsi" w:hAnsiTheme="minorHAnsi" w:cstheme="minorHAnsi"/>
                <w:sz w:val="20"/>
                <w:szCs w:val="20"/>
                <w:lang w:val="en-GB"/>
              </w:rPr>
              <w:t>be piloted</w:t>
            </w:r>
            <w:proofErr w:type="gramEnd"/>
            <w:r w:rsidRPr="00045954">
              <w:rPr>
                <w:rFonts w:asciiTheme="minorHAnsi" w:hAnsiTheme="minorHAnsi" w:cstheme="minorHAnsi"/>
                <w:sz w:val="20"/>
                <w:szCs w:val="20"/>
                <w:lang w:val="en-GB"/>
              </w:rPr>
              <w:t xml:space="preserve">. </w:t>
            </w:r>
          </w:p>
          <w:p w14:paraId="63BA4A70" w14:textId="5F3E4A23" w:rsidR="00396D74" w:rsidRPr="00045954" w:rsidRDefault="00396D74" w:rsidP="00396D74">
            <w:pPr>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t xml:space="preserve">Case management will </w:t>
            </w:r>
            <w:proofErr w:type="gramStart"/>
            <w:r w:rsidRPr="00045954">
              <w:rPr>
                <w:rFonts w:asciiTheme="minorHAnsi" w:hAnsiTheme="minorHAnsi" w:cstheme="minorHAnsi"/>
                <w:sz w:val="20"/>
                <w:szCs w:val="20"/>
                <w:lang w:val="en-GB"/>
              </w:rPr>
              <w:t>be provided</w:t>
            </w:r>
            <w:proofErr w:type="gramEnd"/>
            <w:r w:rsidRPr="00045954">
              <w:rPr>
                <w:rFonts w:asciiTheme="minorHAnsi" w:hAnsiTheme="minorHAnsi" w:cstheme="minorHAnsi"/>
                <w:sz w:val="20"/>
                <w:szCs w:val="20"/>
                <w:lang w:val="en-GB"/>
              </w:rPr>
              <w:t xml:space="preserve"> to PLHIV with the help of eight multidisciplinary teams under Service Delivery Points of NGOs across the country. SDPs will focus on those PLHIV which </w:t>
            </w:r>
            <w:proofErr w:type="gramStart"/>
            <w:r w:rsidRPr="00045954">
              <w:rPr>
                <w:rFonts w:asciiTheme="minorHAnsi" w:hAnsiTheme="minorHAnsi" w:cstheme="minorHAnsi"/>
                <w:sz w:val="20"/>
                <w:szCs w:val="20"/>
                <w:lang w:val="en-GB"/>
              </w:rPr>
              <w:t>are not covered</w:t>
            </w:r>
            <w:proofErr w:type="gramEnd"/>
            <w:r w:rsidRPr="00045954">
              <w:rPr>
                <w:rFonts w:asciiTheme="minorHAnsi" w:hAnsiTheme="minorHAnsi" w:cstheme="minorHAnsi"/>
                <w:sz w:val="20"/>
                <w:szCs w:val="20"/>
                <w:lang w:val="en-GB"/>
              </w:rPr>
              <w:t xml:space="preserve"> by treatment programmes </w:t>
            </w:r>
            <w:r w:rsidRPr="00045954">
              <w:rPr>
                <w:rFonts w:asciiTheme="minorHAnsi" w:hAnsiTheme="minorHAnsi" w:cstheme="minorHAnsi"/>
                <w:sz w:val="20"/>
                <w:szCs w:val="20"/>
                <w:lang w:val="en-GB"/>
              </w:rPr>
              <w:lastRenderedPageBreak/>
              <w:t xml:space="preserve">and have high viral load. The performance of peer consultants, social workers and outreach workers will </w:t>
            </w:r>
            <w:proofErr w:type="gramStart"/>
            <w:r w:rsidRPr="00045954">
              <w:rPr>
                <w:rFonts w:asciiTheme="minorHAnsi" w:hAnsiTheme="minorHAnsi" w:cstheme="minorHAnsi"/>
                <w:sz w:val="20"/>
                <w:szCs w:val="20"/>
                <w:lang w:val="en-GB"/>
              </w:rPr>
              <w:t>be coordinated</w:t>
            </w:r>
            <w:proofErr w:type="gramEnd"/>
            <w:r w:rsidRPr="00045954">
              <w:rPr>
                <w:rFonts w:asciiTheme="minorHAnsi" w:hAnsiTheme="minorHAnsi" w:cstheme="minorHAnsi"/>
                <w:sz w:val="20"/>
                <w:szCs w:val="20"/>
                <w:lang w:val="en-GB"/>
              </w:rPr>
              <w:t xml:space="preserve"> via electronic case management information system. Online applications for PLHIV counselling; reminders on taking ARV drugs and reporting cases of rights violation will </w:t>
            </w:r>
            <w:proofErr w:type="gramStart"/>
            <w:r w:rsidRPr="00045954">
              <w:rPr>
                <w:rFonts w:asciiTheme="minorHAnsi" w:hAnsiTheme="minorHAnsi" w:cstheme="minorHAnsi"/>
                <w:sz w:val="20"/>
                <w:szCs w:val="20"/>
                <w:lang w:val="en-GB"/>
              </w:rPr>
              <w:t>be introduced</w:t>
            </w:r>
            <w:proofErr w:type="gramEnd"/>
            <w:r w:rsidRPr="00045954">
              <w:rPr>
                <w:rFonts w:asciiTheme="minorHAnsi" w:hAnsiTheme="minorHAnsi" w:cstheme="minorHAnsi"/>
                <w:sz w:val="20"/>
                <w:szCs w:val="20"/>
                <w:lang w:val="en-GB"/>
              </w:rPr>
              <w:t xml:space="preserve">. There will be three </w:t>
            </w:r>
            <w:r w:rsidR="00850E4E" w:rsidRPr="00045954">
              <w:rPr>
                <w:rFonts w:asciiTheme="minorHAnsi" w:hAnsiTheme="minorHAnsi" w:cstheme="minorHAnsi"/>
                <w:sz w:val="20"/>
                <w:szCs w:val="20"/>
                <w:lang w:val="en-GB"/>
              </w:rPr>
              <w:t>centres</w:t>
            </w:r>
            <w:r w:rsidRPr="00045954">
              <w:rPr>
                <w:rFonts w:asciiTheme="minorHAnsi" w:hAnsiTheme="minorHAnsi" w:cstheme="minorHAnsi"/>
                <w:sz w:val="20"/>
                <w:szCs w:val="20"/>
                <w:lang w:val="en-GB"/>
              </w:rPr>
              <w:t xml:space="preserve"> for providing integrated care for PLHIV, one of which is for children and women with HIV. The practice of hosting summer camps for children and adolescents with HIV will continue.</w:t>
            </w:r>
          </w:p>
          <w:p w14:paraId="7CC685A6" w14:textId="77777777" w:rsidR="00396D74" w:rsidRPr="00045954" w:rsidRDefault="00396D74" w:rsidP="00396D74">
            <w:pPr>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t xml:space="preserve">The capacity of PLHIV communities and NGOs to provide support for treatment and monitoring of the quality of services will </w:t>
            </w:r>
            <w:proofErr w:type="gramStart"/>
            <w:r w:rsidRPr="00045954">
              <w:rPr>
                <w:rFonts w:asciiTheme="minorHAnsi" w:hAnsiTheme="minorHAnsi" w:cstheme="minorHAnsi"/>
                <w:sz w:val="20"/>
                <w:szCs w:val="20"/>
                <w:lang w:val="en-GB"/>
              </w:rPr>
              <w:t>be strengthened</w:t>
            </w:r>
            <w:proofErr w:type="gramEnd"/>
            <w:r w:rsidRPr="00045954">
              <w:rPr>
                <w:rFonts w:asciiTheme="minorHAnsi" w:hAnsiTheme="minorHAnsi" w:cstheme="minorHAnsi"/>
                <w:sz w:val="20"/>
                <w:szCs w:val="20"/>
                <w:lang w:val="en-GB"/>
              </w:rPr>
              <w:t>. The community will continue monitoring the health system's procurement of ARV drugs and health commodities, the website «pereboi.kg» will continue functioning to enable PLHIV and TB patients to report cases of treatment denials or drug provision delays supported by the PLHIV network.</w:t>
            </w:r>
          </w:p>
          <w:p w14:paraId="67021EC6" w14:textId="6A12569C" w:rsidR="00396D74" w:rsidRPr="00045954" w:rsidRDefault="00396D74" w:rsidP="00396D74">
            <w:pPr>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t xml:space="preserve">Efforts to monitor the treatment effectiveness and increase the treatment coverage will </w:t>
            </w:r>
            <w:proofErr w:type="gramStart"/>
            <w:r w:rsidRPr="00045954">
              <w:rPr>
                <w:rFonts w:asciiTheme="minorHAnsi" w:hAnsiTheme="minorHAnsi" w:cstheme="minorHAnsi"/>
                <w:sz w:val="20"/>
                <w:szCs w:val="20"/>
                <w:lang w:val="en-GB"/>
              </w:rPr>
              <w:t>be provided</w:t>
            </w:r>
            <w:proofErr w:type="gramEnd"/>
            <w:r w:rsidRPr="00045954">
              <w:rPr>
                <w:rFonts w:asciiTheme="minorHAnsi" w:hAnsiTheme="minorHAnsi" w:cstheme="minorHAnsi"/>
                <w:sz w:val="20"/>
                <w:szCs w:val="20"/>
                <w:lang w:val="en-GB"/>
              </w:rPr>
              <w:t xml:space="preserve"> by the “rapid response groups”, who conduct detailed reviews of treatment coverage, develop and implement actions to remove barriers to adherence. The findings of the barriers review will </w:t>
            </w:r>
            <w:proofErr w:type="gramStart"/>
            <w:r w:rsidRPr="00045954">
              <w:rPr>
                <w:rFonts w:asciiTheme="minorHAnsi" w:hAnsiTheme="minorHAnsi" w:cstheme="minorHAnsi"/>
                <w:sz w:val="20"/>
                <w:szCs w:val="20"/>
                <w:lang w:val="en-GB"/>
              </w:rPr>
              <w:t>be presented</w:t>
            </w:r>
            <w:proofErr w:type="gramEnd"/>
            <w:r w:rsidRPr="00045954">
              <w:rPr>
                <w:rFonts w:asciiTheme="minorHAnsi" w:hAnsiTheme="minorHAnsi" w:cstheme="minorHAnsi"/>
                <w:sz w:val="20"/>
                <w:szCs w:val="20"/>
                <w:lang w:val="en-GB"/>
              </w:rPr>
              <w:t xml:space="preserve"> on a regular basis to the boards of the Ministry of Health of the Kyrgyz Republic; the meetings of Public Council under the Ministry of Health of the Kyrgyz Republic and at the Board of Trustees of AIDS Centres.</w:t>
            </w:r>
          </w:p>
          <w:p w14:paraId="57637A4E" w14:textId="77F9173B" w:rsidR="00396D74" w:rsidRPr="00045954" w:rsidRDefault="00396D74" w:rsidP="00396D74">
            <w:pPr>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t xml:space="preserve">Efforts to revise the legislation on public procurement to enable health procurement through international mechanisms will continue and efforts to apply TRIPS provisions for flexibilities on the patented drugs will expand. The efforts to create an enabling environment to ensure access to HIV treatment will </w:t>
            </w:r>
            <w:proofErr w:type="gramStart"/>
            <w:r w:rsidRPr="00045954">
              <w:rPr>
                <w:rFonts w:asciiTheme="minorHAnsi" w:hAnsiTheme="minorHAnsi" w:cstheme="minorHAnsi"/>
                <w:sz w:val="20"/>
                <w:szCs w:val="20"/>
                <w:lang w:val="en-GB"/>
              </w:rPr>
              <w:t>be undertaken</w:t>
            </w:r>
            <w:proofErr w:type="gramEnd"/>
            <w:r w:rsidRPr="00045954">
              <w:rPr>
                <w:rFonts w:asciiTheme="minorHAnsi" w:hAnsiTheme="minorHAnsi" w:cstheme="minorHAnsi"/>
                <w:sz w:val="20"/>
                <w:szCs w:val="20"/>
                <w:lang w:val="en-GB"/>
              </w:rPr>
              <w:t xml:space="preserve"> in partnership with the civil society and communities through PLHIV networks, the Ministry of Health’s Public Councils and the </w:t>
            </w:r>
            <w:r w:rsidRPr="00045954">
              <w:rPr>
                <w:rFonts w:asciiTheme="minorHAnsi" w:eastAsia="Calibri" w:hAnsiTheme="minorHAnsi" w:cstheme="minorHAnsi"/>
                <w:sz w:val="20"/>
                <w:szCs w:val="20"/>
                <w:lang w:val="en-GB"/>
              </w:rPr>
              <w:t>Mandatory Health Insurance Fund</w:t>
            </w:r>
            <w:r w:rsidRPr="00045954">
              <w:rPr>
                <w:rFonts w:asciiTheme="minorHAnsi" w:hAnsiTheme="minorHAnsi" w:cstheme="minorHAnsi"/>
                <w:sz w:val="20"/>
                <w:szCs w:val="20"/>
                <w:lang w:val="en-GB"/>
              </w:rPr>
              <w:t xml:space="preserve"> (MHIF), as well as the Board of Trustees functioning under AIDS centres and CCM.</w:t>
            </w:r>
          </w:p>
          <w:p w14:paraId="3987D828" w14:textId="77777777" w:rsidR="000E7A1F" w:rsidRPr="00045954" w:rsidRDefault="000E7A1F" w:rsidP="000E7A1F">
            <w:pPr>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t xml:space="preserve">2. Given the need to improve HIV case detection, the programme will scale up the testing services to key populations (PWID, MSM, SW, TG, prisoners). Taking into consideration the increase in sexual transmissions, sexual partners of key populations and PLHIV will also </w:t>
            </w:r>
            <w:proofErr w:type="gramStart"/>
            <w:r w:rsidRPr="00045954">
              <w:rPr>
                <w:rFonts w:asciiTheme="minorHAnsi" w:hAnsiTheme="minorHAnsi" w:cstheme="minorHAnsi"/>
                <w:sz w:val="20"/>
                <w:szCs w:val="20"/>
                <w:lang w:val="en-GB"/>
              </w:rPr>
              <w:t>be offered</w:t>
            </w:r>
            <w:proofErr w:type="gramEnd"/>
            <w:r w:rsidRPr="00045954">
              <w:rPr>
                <w:rFonts w:asciiTheme="minorHAnsi" w:hAnsiTheme="minorHAnsi" w:cstheme="minorHAnsi"/>
                <w:sz w:val="20"/>
                <w:szCs w:val="20"/>
                <w:lang w:val="en-GB"/>
              </w:rPr>
              <w:t xml:space="preserve"> testing. Testing will </w:t>
            </w:r>
            <w:proofErr w:type="gramStart"/>
            <w:r w:rsidRPr="00045954">
              <w:rPr>
                <w:rFonts w:asciiTheme="minorHAnsi" w:hAnsiTheme="minorHAnsi" w:cstheme="minorHAnsi"/>
                <w:sz w:val="20"/>
                <w:szCs w:val="20"/>
                <w:lang w:val="en-GB"/>
              </w:rPr>
              <w:t>be provided</w:t>
            </w:r>
            <w:proofErr w:type="gramEnd"/>
            <w:r w:rsidRPr="00045954">
              <w:rPr>
                <w:rFonts w:asciiTheme="minorHAnsi" w:hAnsiTheme="minorHAnsi" w:cstheme="minorHAnsi"/>
                <w:sz w:val="20"/>
                <w:szCs w:val="20"/>
                <w:lang w:val="en-GB"/>
              </w:rPr>
              <w:t xml:space="preserve"> in health facilities or in NGO settings using the </w:t>
            </w:r>
            <w:r w:rsidRPr="00045954">
              <w:rPr>
                <w:rFonts w:asciiTheme="minorHAnsi" w:hAnsiTheme="minorHAnsi" w:cstheme="minorHAnsi"/>
                <w:sz w:val="20"/>
                <w:szCs w:val="20"/>
              </w:rPr>
              <w:t xml:space="preserve">provider-initiated testing </w:t>
            </w:r>
            <w:r w:rsidRPr="00045954">
              <w:rPr>
                <w:rFonts w:asciiTheme="minorHAnsi" w:hAnsiTheme="minorHAnsi" w:cstheme="minorHAnsi"/>
                <w:sz w:val="20"/>
                <w:szCs w:val="20"/>
                <w:lang w:val="en-GB"/>
              </w:rPr>
              <w:t xml:space="preserve">and self-testing. Awareness raising campaigns will </w:t>
            </w:r>
            <w:proofErr w:type="gramStart"/>
            <w:r w:rsidRPr="00045954">
              <w:rPr>
                <w:rFonts w:asciiTheme="minorHAnsi" w:hAnsiTheme="minorHAnsi" w:cstheme="minorHAnsi"/>
                <w:sz w:val="20"/>
                <w:szCs w:val="20"/>
                <w:lang w:val="en-GB"/>
              </w:rPr>
              <w:t>be conducted</w:t>
            </w:r>
            <w:proofErr w:type="gramEnd"/>
            <w:r w:rsidRPr="00045954">
              <w:rPr>
                <w:rFonts w:asciiTheme="minorHAnsi" w:hAnsiTheme="minorHAnsi" w:cstheme="minorHAnsi"/>
                <w:sz w:val="20"/>
                <w:szCs w:val="20"/>
                <w:lang w:val="en-GB"/>
              </w:rPr>
              <w:t xml:space="preserve"> by outreach workers in addition to online consultations for key populations that do not seek care at service delivery points. Meanwhile, to increase the detection of HIV cases, </w:t>
            </w:r>
            <w:r w:rsidRPr="00045954">
              <w:rPr>
                <w:rFonts w:asciiTheme="minorHAnsi" w:hAnsiTheme="minorHAnsi" w:cstheme="minorHAnsi"/>
                <w:sz w:val="20"/>
                <w:szCs w:val="20"/>
              </w:rPr>
              <w:t>performance-based payments</w:t>
            </w:r>
            <w:r w:rsidRPr="00045954">
              <w:rPr>
                <w:rFonts w:asciiTheme="minorHAnsi" w:hAnsiTheme="minorHAnsi" w:cstheme="minorHAnsi"/>
                <w:sz w:val="20"/>
                <w:szCs w:val="20"/>
                <w:lang w:val="en-GB"/>
              </w:rPr>
              <w:t xml:space="preserve"> for field workers and organisations involved in testing key populations will </w:t>
            </w:r>
            <w:proofErr w:type="gramStart"/>
            <w:r w:rsidRPr="00045954">
              <w:rPr>
                <w:rFonts w:asciiTheme="minorHAnsi" w:hAnsiTheme="minorHAnsi" w:cstheme="minorHAnsi"/>
                <w:sz w:val="20"/>
                <w:szCs w:val="20"/>
                <w:lang w:val="en-GB"/>
              </w:rPr>
              <w:t>be provided</w:t>
            </w:r>
            <w:proofErr w:type="gramEnd"/>
            <w:r w:rsidRPr="00045954">
              <w:rPr>
                <w:rFonts w:asciiTheme="minorHAnsi" w:hAnsiTheme="minorHAnsi" w:cstheme="minorHAnsi"/>
                <w:sz w:val="20"/>
                <w:szCs w:val="20"/>
                <w:lang w:val="en-GB"/>
              </w:rPr>
              <w:t xml:space="preserve"> for detected cases followed with dispensary registration. The target is testing coverage of at least 50,000 people belonging to KPs annually. The efforts to promote self-testing will continue, guidelines and SOPs will </w:t>
            </w:r>
            <w:proofErr w:type="gramStart"/>
            <w:r w:rsidRPr="00045954">
              <w:rPr>
                <w:rFonts w:asciiTheme="minorHAnsi" w:hAnsiTheme="minorHAnsi" w:cstheme="minorHAnsi"/>
                <w:sz w:val="20"/>
                <w:szCs w:val="20"/>
                <w:lang w:val="en-GB"/>
              </w:rPr>
              <w:t>be introduced</w:t>
            </w:r>
            <w:proofErr w:type="gramEnd"/>
            <w:r w:rsidRPr="00045954">
              <w:rPr>
                <w:rFonts w:asciiTheme="minorHAnsi" w:hAnsiTheme="minorHAnsi" w:cstheme="minorHAnsi"/>
                <w:sz w:val="20"/>
                <w:szCs w:val="20"/>
                <w:lang w:val="en-GB"/>
              </w:rPr>
              <w:t xml:space="preserve"> to make tests available over the counter in pharmacies, the state registration of rapid tests and their availability in the pharmacy network will be facilitated.</w:t>
            </w:r>
          </w:p>
          <w:p w14:paraId="7026EB8D" w14:textId="2A8F327A" w:rsidR="009C3511" w:rsidRPr="00045954" w:rsidRDefault="009C3511" w:rsidP="009C3511">
            <w:pPr>
              <w:spacing w:after="0" w:line="240" w:lineRule="auto"/>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t xml:space="preserve">3. Given the increased use of new chemical drugs, but at the same time, the limited official data on the number of new drug users, insufficient information on effective harm reduction approaches among this group, the activities of harm reduction programs will </w:t>
            </w:r>
            <w:proofErr w:type="gramStart"/>
            <w:r w:rsidRPr="00045954">
              <w:rPr>
                <w:rFonts w:asciiTheme="minorHAnsi" w:hAnsiTheme="minorHAnsi" w:cstheme="minorHAnsi"/>
                <w:sz w:val="20"/>
                <w:szCs w:val="20"/>
                <w:lang w:val="en-GB"/>
              </w:rPr>
              <w:t>be divided</w:t>
            </w:r>
            <w:proofErr w:type="gramEnd"/>
            <w:r w:rsidRPr="00045954">
              <w:rPr>
                <w:rFonts w:asciiTheme="minorHAnsi" w:hAnsiTheme="minorHAnsi" w:cstheme="minorHAnsi"/>
                <w:sz w:val="20"/>
                <w:szCs w:val="20"/>
                <w:lang w:val="en-GB"/>
              </w:rPr>
              <w:t xml:space="preserve"> for 2 groups. For the group that is consumers of “traditional” opiates, OST points, service </w:t>
            </w:r>
            <w:r w:rsidR="00850E4E" w:rsidRPr="00045954">
              <w:rPr>
                <w:rFonts w:asciiTheme="minorHAnsi" w:hAnsiTheme="minorHAnsi" w:cstheme="minorHAnsi"/>
                <w:sz w:val="20"/>
                <w:szCs w:val="20"/>
                <w:lang w:val="en-GB"/>
              </w:rPr>
              <w:t>centres</w:t>
            </w:r>
            <w:r w:rsidRPr="00045954">
              <w:rPr>
                <w:rFonts w:asciiTheme="minorHAnsi" w:hAnsiTheme="minorHAnsi" w:cstheme="minorHAnsi"/>
                <w:sz w:val="20"/>
                <w:szCs w:val="20"/>
                <w:lang w:val="en-GB"/>
              </w:rPr>
              <w:t xml:space="preserve"> based on NGOs, including a set of services for sharing needles and syringes, testing for HIV and TB, and others, will continue to operate. One of the key performance indicators will be the results of the involvement of new, previously unreached drug users in harm reduction programs, the results of HIV detection, support for </w:t>
            </w:r>
            <w:r w:rsidR="00850E4E" w:rsidRPr="00045954">
              <w:rPr>
                <w:rFonts w:asciiTheme="minorHAnsi" w:hAnsiTheme="minorHAnsi" w:cstheme="minorHAnsi"/>
                <w:sz w:val="20"/>
                <w:szCs w:val="20"/>
                <w:lang w:val="en-GB"/>
              </w:rPr>
              <w:t>enrolment</w:t>
            </w:r>
            <w:r w:rsidRPr="00045954">
              <w:rPr>
                <w:rFonts w:asciiTheme="minorHAnsi" w:hAnsiTheme="minorHAnsi" w:cstheme="minorHAnsi"/>
                <w:sz w:val="20"/>
                <w:szCs w:val="20"/>
                <w:lang w:val="en-GB"/>
              </w:rPr>
              <w:t xml:space="preserve"> in the dispensary and the subsequent treatment of HIV and tuberculosis.</w:t>
            </w:r>
          </w:p>
          <w:p w14:paraId="20278466" w14:textId="77777777" w:rsidR="009C3511" w:rsidRPr="00045954" w:rsidRDefault="009C3511" w:rsidP="009C3511">
            <w:pPr>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t xml:space="preserve">In two NGOs dealing with drug users in Bishkek and Chui Oblast, harm reduction services will </w:t>
            </w:r>
            <w:proofErr w:type="gramStart"/>
            <w:r w:rsidRPr="00045954">
              <w:rPr>
                <w:rFonts w:asciiTheme="minorHAnsi" w:hAnsiTheme="minorHAnsi" w:cstheme="minorHAnsi"/>
                <w:sz w:val="20"/>
                <w:szCs w:val="20"/>
                <w:lang w:val="en-GB"/>
              </w:rPr>
              <w:t>be piloted</w:t>
            </w:r>
            <w:proofErr w:type="gramEnd"/>
            <w:r w:rsidRPr="00045954">
              <w:rPr>
                <w:rFonts w:asciiTheme="minorHAnsi" w:hAnsiTheme="minorHAnsi" w:cstheme="minorHAnsi"/>
                <w:sz w:val="20"/>
                <w:szCs w:val="20"/>
                <w:lang w:val="en-GB"/>
              </w:rPr>
              <w:t xml:space="preserve"> for those using novel drugs. In 2020, UNODC and USAID will conduct research in the Kyrgyz Republic on novel drugs’ use and practices and develop recommendations to reduce HIV transmission and contribute to a tailored harm reduction approach. Meanwhile, due to greater frequency of injections and sexual contacts, the number of distributed syringes and condoms will increase for this group. Considering the growth of the psychiatric disorders caused by the consumption of the new psychoactive substances, psychiatrists-</w:t>
            </w:r>
            <w:proofErr w:type="spellStart"/>
            <w:r w:rsidRPr="00045954">
              <w:rPr>
                <w:rFonts w:asciiTheme="minorHAnsi" w:hAnsiTheme="minorHAnsi" w:cstheme="minorHAnsi"/>
                <w:sz w:val="20"/>
                <w:szCs w:val="20"/>
                <w:lang w:val="en-GB"/>
              </w:rPr>
              <w:t>narcologists</w:t>
            </w:r>
            <w:proofErr w:type="spellEnd"/>
            <w:r w:rsidRPr="00045954">
              <w:rPr>
                <w:rFonts w:asciiTheme="minorHAnsi" w:hAnsiTheme="minorHAnsi" w:cstheme="minorHAnsi"/>
                <w:sz w:val="20"/>
                <w:szCs w:val="20"/>
                <w:lang w:val="en-GB"/>
              </w:rPr>
              <w:t xml:space="preserve"> will be employed in centres. </w:t>
            </w:r>
          </w:p>
          <w:p w14:paraId="270F006B" w14:textId="77777777" w:rsidR="009C3511" w:rsidRPr="00045954" w:rsidRDefault="009C3511" w:rsidP="009C3511">
            <w:pPr>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t xml:space="preserve">By 2020, there were 7 OST points in the penitentiary system and nine NEPs, ART </w:t>
            </w:r>
            <w:proofErr w:type="gramStart"/>
            <w:r w:rsidRPr="00045954">
              <w:rPr>
                <w:rFonts w:asciiTheme="minorHAnsi" w:hAnsiTheme="minorHAnsi" w:cstheme="minorHAnsi"/>
                <w:sz w:val="20"/>
                <w:szCs w:val="20"/>
                <w:lang w:val="en-GB"/>
              </w:rPr>
              <w:t>was provided</w:t>
            </w:r>
            <w:proofErr w:type="gramEnd"/>
            <w:r w:rsidRPr="00045954">
              <w:rPr>
                <w:rFonts w:asciiTheme="minorHAnsi" w:hAnsiTheme="minorHAnsi" w:cstheme="minorHAnsi"/>
                <w:sz w:val="20"/>
                <w:szCs w:val="20"/>
                <w:lang w:val="en-GB"/>
              </w:rPr>
              <w:t xml:space="preserve"> for more than 300 PLHIV and at least 1,000 TB cases were detected annually. The new grant will continue to support all existing OST and harm reduction sites in the penitentiary system. </w:t>
            </w:r>
          </w:p>
          <w:p w14:paraId="6858FB8C" w14:textId="103C6640" w:rsidR="00CB41DB" w:rsidRPr="00045954" w:rsidRDefault="00CB41DB" w:rsidP="00CB41DB">
            <w:pPr>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t xml:space="preserve">The support to the three sites in Bishkek, Chui and Osh oblasts in which MSM groups </w:t>
            </w:r>
            <w:proofErr w:type="gramStart"/>
            <w:r w:rsidRPr="00045954">
              <w:rPr>
                <w:rFonts w:asciiTheme="minorHAnsi" w:hAnsiTheme="minorHAnsi" w:cstheme="minorHAnsi"/>
                <w:sz w:val="20"/>
                <w:szCs w:val="20"/>
                <w:lang w:val="en-GB"/>
              </w:rPr>
              <w:t>are greatly concentrated</w:t>
            </w:r>
            <w:proofErr w:type="gramEnd"/>
            <w:r w:rsidRPr="00045954">
              <w:rPr>
                <w:rFonts w:asciiTheme="minorHAnsi" w:hAnsiTheme="minorHAnsi" w:cstheme="minorHAnsi"/>
                <w:sz w:val="20"/>
                <w:szCs w:val="20"/>
                <w:lang w:val="en-GB"/>
              </w:rPr>
              <w:t xml:space="preserve"> and accessible will continue. HIV testing will </w:t>
            </w:r>
            <w:proofErr w:type="gramStart"/>
            <w:r w:rsidRPr="00045954">
              <w:rPr>
                <w:rFonts w:asciiTheme="minorHAnsi" w:hAnsiTheme="minorHAnsi" w:cstheme="minorHAnsi"/>
                <w:sz w:val="20"/>
                <w:szCs w:val="20"/>
                <w:lang w:val="en-GB"/>
              </w:rPr>
              <w:t>be provided</w:t>
            </w:r>
            <w:proofErr w:type="gramEnd"/>
            <w:r w:rsidRPr="00045954">
              <w:rPr>
                <w:rFonts w:asciiTheme="minorHAnsi" w:hAnsiTheme="minorHAnsi" w:cstheme="minorHAnsi"/>
                <w:sz w:val="20"/>
                <w:szCs w:val="20"/>
                <w:lang w:val="en-GB"/>
              </w:rPr>
              <w:t xml:space="preserve"> with a focus on increasing HIV detection. STI diagnosis and treatment will </w:t>
            </w:r>
            <w:proofErr w:type="gramStart"/>
            <w:r w:rsidRPr="00045954">
              <w:rPr>
                <w:rFonts w:asciiTheme="minorHAnsi" w:hAnsiTheme="minorHAnsi" w:cstheme="minorHAnsi"/>
                <w:sz w:val="20"/>
                <w:szCs w:val="20"/>
                <w:lang w:val="en-GB"/>
              </w:rPr>
              <w:t>be provided</w:t>
            </w:r>
            <w:proofErr w:type="gramEnd"/>
            <w:r w:rsidRPr="00045954">
              <w:rPr>
                <w:rFonts w:asciiTheme="minorHAnsi" w:hAnsiTheme="minorHAnsi" w:cstheme="minorHAnsi"/>
                <w:sz w:val="20"/>
                <w:szCs w:val="20"/>
                <w:lang w:val="en-GB"/>
              </w:rPr>
              <w:t xml:space="preserve"> as well as condoms, and lubricants. Risk behaviour change interventions will include training under sexual and reproductive health programmes. The National Clinical Protocol on HIV Prevention and Treatment</w:t>
            </w:r>
            <w:r w:rsidRPr="00045954">
              <w:rPr>
                <w:rStyle w:val="af"/>
                <w:rFonts w:asciiTheme="minorHAnsi" w:hAnsiTheme="minorHAnsi" w:cstheme="minorHAnsi"/>
                <w:sz w:val="20"/>
                <w:szCs w:val="20"/>
                <w:lang w:val="en-GB"/>
              </w:rPr>
              <w:footnoteReference w:id="35"/>
            </w:r>
            <w:r w:rsidRPr="00045954">
              <w:rPr>
                <w:rFonts w:asciiTheme="minorHAnsi" w:hAnsiTheme="minorHAnsi" w:cstheme="minorHAnsi"/>
                <w:sz w:val="20"/>
                <w:szCs w:val="20"/>
                <w:lang w:val="en-GB"/>
              </w:rPr>
              <w:t xml:space="preserve"> includes pre-exposure prophylaxis (</w:t>
            </w:r>
            <w:proofErr w:type="spellStart"/>
            <w:r w:rsidRPr="00045954">
              <w:rPr>
                <w:rFonts w:asciiTheme="minorHAnsi" w:hAnsiTheme="minorHAnsi" w:cstheme="minorHAnsi"/>
                <w:sz w:val="20"/>
                <w:szCs w:val="20"/>
                <w:lang w:val="en-GB"/>
              </w:rPr>
              <w:t>PrEP</w:t>
            </w:r>
            <w:proofErr w:type="spellEnd"/>
            <w:r w:rsidRPr="00045954">
              <w:rPr>
                <w:rFonts w:asciiTheme="minorHAnsi" w:hAnsiTheme="minorHAnsi" w:cstheme="minorHAnsi"/>
                <w:sz w:val="20"/>
                <w:szCs w:val="20"/>
                <w:lang w:val="en-GB"/>
              </w:rPr>
              <w:t>) since 2018</w:t>
            </w:r>
            <w:r w:rsidR="00850E4E">
              <w:rPr>
                <w:rFonts w:asciiTheme="minorHAnsi" w:hAnsiTheme="minorHAnsi" w:cstheme="minorHAnsi"/>
                <w:sz w:val="20"/>
                <w:szCs w:val="20"/>
                <w:lang w:val="en-GB"/>
              </w:rPr>
              <w:t>.</w:t>
            </w:r>
            <w:r w:rsidRPr="00045954">
              <w:rPr>
                <w:rFonts w:asciiTheme="minorHAnsi" w:hAnsiTheme="minorHAnsi" w:cstheme="minorHAnsi"/>
                <w:sz w:val="20"/>
                <w:szCs w:val="20"/>
                <w:lang w:val="en-GB"/>
              </w:rPr>
              <w:t xml:space="preserve"> In partnership with PEPFAR, Prep will </w:t>
            </w:r>
            <w:proofErr w:type="gramStart"/>
            <w:r w:rsidRPr="00045954">
              <w:rPr>
                <w:rFonts w:asciiTheme="minorHAnsi" w:hAnsiTheme="minorHAnsi" w:cstheme="minorHAnsi"/>
                <w:sz w:val="20"/>
                <w:szCs w:val="20"/>
                <w:lang w:val="en-GB"/>
              </w:rPr>
              <w:t>be provided</w:t>
            </w:r>
            <w:proofErr w:type="gramEnd"/>
            <w:r w:rsidRPr="00045954">
              <w:rPr>
                <w:rFonts w:asciiTheme="minorHAnsi" w:hAnsiTheme="minorHAnsi" w:cstheme="minorHAnsi"/>
                <w:sz w:val="20"/>
                <w:szCs w:val="20"/>
                <w:lang w:val="en-GB"/>
              </w:rPr>
              <w:t xml:space="preserve"> to 500 people per annum, including MSM. Given the high level of stigma among MSM, hostel type shelters will </w:t>
            </w:r>
            <w:proofErr w:type="gramStart"/>
            <w:r w:rsidRPr="00045954">
              <w:rPr>
                <w:rFonts w:asciiTheme="minorHAnsi" w:hAnsiTheme="minorHAnsi" w:cstheme="minorHAnsi"/>
                <w:sz w:val="20"/>
                <w:szCs w:val="20"/>
                <w:lang w:val="en-GB"/>
              </w:rPr>
              <w:t>be supported</w:t>
            </w:r>
            <w:proofErr w:type="gramEnd"/>
            <w:r w:rsidRPr="00045954">
              <w:rPr>
                <w:rFonts w:asciiTheme="minorHAnsi" w:hAnsiTheme="minorHAnsi" w:cstheme="minorHAnsi"/>
                <w:sz w:val="20"/>
                <w:szCs w:val="20"/>
                <w:lang w:val="en-GB"/>
              </w:rPr>
              <w:t>. Activities designed to document rights violations, support and develop communities will continue.</w:t>
            </w:r>
          </w:p>
          <w:p w14:paraId="38B714E5" w14:textId="77777777" w:rsidR="00CB41DB" w:rsidRPr="00045954" w:rsidRDefault="00CB41DB" w:rsidP="00CB41DB">
            <w:pPr>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t xml:space="preserve">Transgender people (TG) are among the new groups to </w:t>
            </w:r>
            <w:proofErr w:type="gramStart"/>
            <w:r w:rsidRPr="00045954">
              <w:rPr>
                <w:rFonts w:asciiTheme="minorHAnsi" w:hAnsiTheme="minorHAnsi" w:cstheme="minorHAnsi"/>
                <w:sz w:val="20"/>
                <w:szCs w:val="20"/>
                <w:lang w:val="en-GB"/>
              </w:rPr>
              <w:t>be included</w:t>
            </w:r>
            <w:proofErr w:type="gramEnd"/>
            <w:r w:rsidRPr="00045954">
              <w:rPr>
                <w:rFonts w:asciiTheme="minorHAnsi" w:hAnsiTheme="minorHAnsi" w:cstheme="minorHAnsi"/>
                <w:sz w:val="20"/>
                <w:szCs w:val="20"/>
                <w:lang w:val="en-GB"/>
              </w:rPr>
              <w:t xml:space="preserve"> in the prevention programmes. In 2020, with the support of CDC, UNAIDS will conduct IBBS along with population size estimates of the key populations. In the meantime, under the GF Regional Grant “Sustainability of Services to Key Groups in EECA Region” in 2020 the </w:t>
            </w:r>
            <w:r w:rsidRPr="00045954">
              <w:rPr>
                <w:rFonts w:asciiTheme="minorHAnsi" w:hAnsiTheme="minorHAnsi" w:cstheme="minorHAnsi"/>
                <w:sz w:val="20"/>
                <w:szCs w:val="20"/>
                <w:lang w:val="en-GB"/>
              </w:rPr>
              <w:lastRenderedPageBreak/>
              <w:t xml:space="preserve">activities </w:t>
            </w:r>
            <w:proofErr w:type="gramStart"/>
            <w:r w:rsidRPr="00045954">
              <w:rPr>
                <w:rFonts w:asciiTheme="minorHAnsi" w:hAnsiTheme="minorHAnsi" w:cstheme="minorHAnsi"/>
                <w:sz w:val="20"/>
                <w:szCs w:val="20"/>
                <w:lang w:val="en-GB"/>
              </w:rPr>
              <w:t>are scheduled</w:t>
            </w:r>
            <w:proofErr w:type="gramEnd"/>
            <w:r w:rsidRPr="00045954">
              <w:rPr>
                <w:rFonts w:asciiTheme="minorHAnsi" w:hAnsiTheme="minorHAnsi" w:cstheme="minorHAnsi"/>
                <w:sz w:val="20"/>
                <w:szCs w:val="20"/>
                <w:lang w:val="en-GB"/>
              </w:rPr>
              <w:t xml:space="preserve"> to increase the involvement of TG in HIV prevention programmes and to facilitate their access to services by 2021. </w:t>
            </w:r>
            <w:proofErr w:type="gramStart"/>
            <w:r w:rsidRPr="00045954">
              <w:rPr>
                <w:rFonts w:asciiTheme="minorHAnsi" w:hAnsiTheme="minorHAnsi" w:cstheme="minorHAnsi"/>
                <w:sz w:val="20"/>
                <w:szCs w:val="20"/>
                <w:lang w:val="en-GB"/>
              </w:rPr>
              <w:t>Taking into account</w:t>
            </w:r>
            <w:proofErr w:type="gramEnd"/>
            <w:r w:rsidRPr="00045954">
              <w:rPr>
                <w:rFonts w:asciiTheme="minorHAnsi" w:hAnsiTheme="minorHAnsi" w:cstheme="minorHAnsi"/>
                <w:sz w:val="20"/>
                <w:szCs w:val="20"/>
                <w:lang w:val="en-GB"/>
              </w:rPr>
              <w:t xml:space="preserve"> that TG are mainly concentrated and accessible in Bishkek, one NGO will be supported to provide services to TG. All TG that need ARVs will </w:t>
            </w:r>
            <w:proofErr w:type="gramStart"/>
            <w:r w:rsidRPr="00045954">
              <w:rPr>
                <w:rFonts w:asciiTheme="minorHAnsi" w:hAnsiTheme="minorHAnsi" w:cstheme="minorHAnsi"/>
                <w:sz w:val="20"/>
                <w:szCs w:val="20"/>
                <w:lang w:val="en-GB"/>
              </w:rPr>
              <w:t>be provided</w:t>
            </w:r>
            <w:proofErr w:type="gramEnd"/>
            <w:r w:rsidRPr="00045954">
              <w:rPr>
                <w:rFonts w:asciiTheme="minorHAnsi" w:hAnsiTheme="minorHAnsi" w:cstheme="minorHAnsi"/>
                <w:sz w:val="20"/>
                <w:szCs w:val="20"/>
                <w:lang w:val="en-GB"/>
              </w:rPr>
              <w:t xml:space="preserve"> with ARV drugs under PEP.</w:t>
            </w:r>
          </w:p>
          <w:p w14:paraId="595130DB" w14:textId="77777777" w:rsidR="00034548" w:rsidRPr="00045954" w:rsidRDefault="00034548" w:rsidP="00034548">
            <w:pPr>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t xml:space="preserve">In 2017-2019 The Global Fund / UNDP reports a reduction in the coverage of sex workers by more than 40% due to police raids and related restrictions on access to the group. The indicators stated in the current country application </w:t>
            </w:r>
            <w:proofErr w:type="gramStart"/>
            <w:r w:rsidRPr="00045954">
              <w:rPr>
                <w:rFonts w:asciiTheme="minorHAnsi" w:hAnsiTheme="minorHAnsi" w:cstheme="minorHAnsi"/>
                <w:sz w:val="20"/>
                <w:szCs w:val="20"/>
                <w:lang w:val="en-GB"/>
              </w:rPr>
              <w:t>were not achieved</w:t>
            </w:r>
            <w:proofErr w:type="gramEnd"/>
            <w:r w:rsidRPr="00045954">
              <w:rPr>
                <w:rFonts w:asciiTheme="minorHAnsi" w:hAnsiTheme="minorHAnsi" w:cstheme="minorHAnsi"/>
                <w:sz w:val="20"/>
                <w:szCs w:val="20"/>
                <w:lang w:val="en-GB"/>
              </w:rPr>
              <w:t xml:space="preserve">. To remove legal barriers, </w:t>
            </w:r>
            <w:proofErr w:type="gramStart"/>
            <w:r w:rsidRPr="00045954">
              <w:rPr>
                <w:rFonts w:asciiTheme="minorHAnsi" w:hAnsiTheme="minorHAnsi" w:cstheme="minorHAnsi"/>
                <w:sz w:val="20"/>
                <w:szCs w:val="20"/>
                <w:lang w:val="en-GB"/>
              </w:rPr>
              <w:t>a number of</w:t>
            </w:r>
            <w:proofErr w:type="gramEnd"/>
            <w:r w:rsidRPr="00045954">
              <w:rPr>
                <w:rFonts w:asciiTheme="minorHAnsi" w:hAnsiTheme="minorHAnsi" w:cstheme="minorHAnsi"/>
                <w:sz w:val="20"/>
                <w:szCs w:val="20"/>
                <w:lang w:val="en-GB"/>
              </w:rPr>
              <w:t xml:space="preserve"> steps were taken, including sending letters to the Ministry of Internal Affairs, holding meetings of the CCPH, which, unfortunately, were not very effective. At the same time, there is a tendency for sex workers to leave the street and provide sex services through dating sites, social networks and other Internet opportunities. Young people using sex workers are also looking for such opportunities through the Internet. Often, it is these groups that remain inaccessible for conducting preventive programs. At the same time, traditional places for the provision of sex services, such as saunas, hotels, rented apartments, continue to operate. In this connection, in 2021-2023. 3 NGOs will continue their activities and a pilot project will </w:t>
            </w:r>
            <w:proofErr w:type="gramStart"/>
            <w:r w:rsidRPr="00045954">
              <w:rPr>
                <w:rFonts w:asciiTheme="minorHAnsi" w:hAnsiTheme="minorHAnsi" w:cstheme="minorHAnsi"/>
                <w:sz w:val="20"/>
                <w:szCs w:val="20"/>
                <w:lang w:val="en-GB"/>
              </w:rPr>
              <w:t>be launched</w:t>
            </w:r>
            <w:proofErr w:type="gramEnd"/>
            <w:r w:rsidRPr="00045954">
              <w:rPr>
                <w:rFonts w:asciiTheme="minorHAnsi" w:hAnsiTheme="minorHAnsi" w:cstheme="minorHAnsi"/>
                <w:sz w:val="20"/>
                <w:szCs w:val="20"/>
                <w:lang w:val="en-GB"/>
              </w:rPr>
              <w:t xml:space="preserve"> to counsel and initiate HIV testing of sex workers and their clients searching through social networks and dating sites. Condoms and lubricants will </w:t>
            </w:r>
            <w:proofErr w:type="gramStart"/>
            <w:r w:rsidRPr="00045954">
              <w:rPr>
                <w:rFonts w:asciiTheme="minorHAnsi" w:hAnsiTheme="minorHAnsi" w:cstheme="minorHAnsi"/>
                <w:sz w:val="20"/>
                <w:szCs w:val="20"/>
                <w:lang w:val="en-GB"/>
              </w:rPr>
              <w:t>be provided</w:t>
            </w:r>
            <w:proofErr w:type="gramEnd"/>
            <w:r w:rsidRPr="00045954">
              <w:rPr>
                <w:rFonts w:asciiTheme="minorHAnsi" w:hAnsiTheme="minorHAnsi" w:cstheme="minorHAnsi"/>
                <w:sz w:val="20"/>
                <w:szCs w:val="20"/>
                <w:lang w:val="en-GB"/>
              </w:rPr>
              <w:t xml:space="preserve"> for sex workers who provide services in traditional places, rapid HIV testing will be conducted, and diagnostic and treatment services for STIs will be expanded, including training in sexual and reproductive health programs.</w:t>
            </w:r>
          </w:p>
          <w:p w14:paraId="58B7E5B2" w14:textId="1ACC2631" w:rsidR="00CB63FE" w:rsidRPr="00045954" w:rsidRDefault="00034548" w:rsidP="00850E4E">
            <w:pPr>
              <w:spacing w:after="0" w:line="240" w:lineRule="auto"/>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t xml:space="preserve">All outreach workers will </w:t>
            </w:r>
            <w:proofErr w:type="gramStart"/>
            <w:r w:rsidRPr="00045954">
              <w:rPr>
                <w:rFonts w:asciiTheme="minorHAnsi" w:hAnsiTheme="minorHAnsi" w:cstheme="minorHAnsi"/>
                <w:sz w:val="20"/>
                <w:szCs w:val="20"/>
                <w:lang w:val="en-GB"/>
              </w:rPr>
              <w:t>be equipped</w:t>
            </w:r>
            <w:proofErr w:type="gramEnd"/>
            <w:r w:rsidRPr="00045954">
              <w:rPr>
                <w:rFonts w:asciiTheme="minorHAnsi" w:hAnsiTheme="minorHAnsi" w:cstheme="minorHAnsi"/>
                <w:sz w:val="20"/>
                <w:szCs w:val="20"/>
                <w:lang w:val="en-GB"/>
              </w:rPr>
              <w:t xml:space="preserve"> with tablets to enter data on service delivery. This should facilitate the evaluation of the efficiency of the above interventions on the treatment cascade outcomes.</w:t>
            </w:r>
          </w:p>
          <w:p w14:paraId="2318549B" w14:textId="77777777" w:rsidR="00034548" w:rsidRPr="00045954" w:rsidRDefault="00034548" w:rsidP="00034548">
            <w:pPr>
              <w:jc w:val="both"/>
              <w:rPr>
                <w:rFonts w:asciiTheme="minorHAnsi" w:hAnsiTheme="minorHAnsi" w:cstheme="minorHAnsi"/>
                <w:b/>
                <w:sz w:val="20"/>
                <w:szCs w:val="20"/>
                <w:lang w:val="en-GB"/>
              </w:rPr>
            </w:pPr>
          </w:p>
          <w:p w14:paraId="70DCA842" w14:textId="4ACC8508" w:rsidR="00034548" w:rsidRPr="00045954" w:rsidRDefault="00034548" w:rsidP="00034548">
            <w:pPr>
              <w:jc w:val="both"/>
              <w:rPr>
                <w:rFonts w:asciiTheme="minorHAnsi" w:hAnsiTheme="minorHAnsi" w:cstheme="minorHAnsi"/>
                <w:b/>
                <w:sz w:val="20"/>
                <w:szCs w:val="20"/>
                <w:lang w:val="en-GB"/>
              </w:rPr>
            </w:pPr>
            <w:r w:rsidRPr="00045954">
              <w:rPr>
                <w:rFonts w:asciiTheme="minorHAnsi" w:hAnsiTheme="minorHAnsi" w:cstheme="minorHAnsi"/>
                <w:b/>
                <w:sz w:val="20"/>
                <w:szCs w:val="20"/>
                <w:lang w:val="en-GB"/>
              </w:rPr>
              <w:t>Tuberculosis</w:t>
            </w:r>
          </w:p>
          <w:p w14:paraId="5C2FE9DB" w14:textId="75A8238F" w:rsidR="00034548" w:rsidRPr="00045954" w:rsidRDefault="00034548" w:rsidP="00034548">
            <w:pPr>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t>The country with the support of partners aims to detect and ensure treatment of DR-TB patients in line with UN 2020-2022 targets</w:t>
            </w:r>
            <w:r w:rsidR="00850E4E">
              <w:rPr>
                <w:rFonts w:asciiTheme="minorHAnsi" w:hAnsiTheme="minorHAnsi" w:cstheme="minorHAnsi"/>
                <w:sz w:val="20"/>
                <w:szCs w:val="20"/>
                <w:lang w:val="en-GB"/>
              </w:rPr>
              <w:t xml:space="preserve"> </w:t>
            </w:r>
            <w:r w:rsidRPr="00045954">
              <w:rPr>
                <w:rFonts w:asciiTheme="minorHAnsi" w:hAnsiTheme="minorHAnsi" w:cstheme="minorHAnsi"/>
                <w:sz w:val="20"/>
                <w:szCs w:val="20"/>
                <w:lang w:val="en-GB"/>
              </w:rPr>
              <w:t>revised by Stop TB Partnership in 2019.</w:t>
            </w:r>
          </w:p>
          <w:tbl>
            <w:tblPr>
              <w:tblW w:w="10261" w:type="dxa"/>
              <w:tblLook w:val="04A0" w:firstRow="1" w:lastRow="0" w:firstColumn="1" w:lastColumn="0" w:noHBand="0" w:noVBand="1"/>
            </w:tblPr>
            <w:tblGrid>
              <w:gridCol w:w="2669"/>
              <w:gridCol w:w="1056"/>
              <w:gridCol w:w="1133"/>
              <w:gridCol w:w="1056"/>
              <w:gridCol w:w="1056"/>
              <w:gridCol w:w="1073"/>
              <w:gridCol w:w="1073"/>
              <w:gridCol w:w="1145"/>
            </w:tblGrid>
            <w:tr w:rsidR="00034548" w:rsidRPr="00045954" w14:paraId="549C3466" w14:textId="77777777" w:rsidTr="00595CA8">
              <w:trPr>
                <w:trHeight w:val="365"/>
              </w:trPr>
              <w:tc>
                <w:tcPr>
                  <w:tcW w:w="2823" w:type="dxa"/>
                  <w:tcBorders>
                    <w:top w:val="single" w:sz="4" w:space="0" w:color="auto"/>
                    <w:left w:val="single" w:sz="4" w:space="0" w:color="auto"/>
                    <w:bottom w:val="single" w:sz="4" w:space="0" w:color="auto"/>
                    <w:right w:val="single" w:sz="4" w:space="0" w:color="auto"/>
                  </w:tcBorders>
                  <w:shd w:val="clear" w:color="000000" w:fill="FFFFCC"/>
                </w:tcPr>
                <w:p w14:paraId="352B5665" w14:textId="77777777" w:rsidR="00034548" w:rsidRPr="00045954" w:rsidRDefault="00034548" w:rsidP="00034548">
                  <w:pPr>
                    <w:spacing w:after="0" w:line="240" w:lineRule="auto"/>
                    <w:ind w:firstLine="39"/>
                    <w:jc w:val="center"/>
                    <w:rPr>
                      <w:rFonts w:asciiTheme="minorHAnsi" w:eastAsia="Times New Roman" w:hAnsiTheme="minorHAnsi" w:cstheme="minorHAnsi"/>
                      <w:b/>
                      <w:bCs/>
                      <w:color w:val="000000"/>
                      <w:sz w:val="18"/>
                      <w:szCs w:val="18"/>
                      <w:lang w:val="en-GB" w:eastAsia="ru-RU"/>
                    </w:rPr>
                  </w:pPr>
                  <w:bookmarkStart w:id="2" w:name="_Hlk34993866"/>
                  <w:r w:rsidRPr="00045954">
                    <w:rPr>
                      <w:rFonts w:asciiTheme="minorHAnsi" w:hAnsiTheme="minorHAnsi" w:cstheme="minorHAnsi"/>
                      <w:b/>
                      <w:bCs/>
                      <w:sz w:val="18"/>
                      <w:szCs w:val="18"/>
                      <w:lang w:val="en-GB"/>
                    </w:rPr>
                    <w:t>Indicators</w:t>
                  </w:r>
                </w:p>
              </w:tc>
              <w:tc>
                <w:tcPr>
                  <w:tcW w:w="1032" w:type="dxa"/>
                  <w:tcBorders>
                    <w:top w:val="single" w:sz="4" w:space="0" w:color="auto"/>
                    <w:left w:val="nil"/>
                    <w:bottom w:val="single" w:sz="4" w:space="0" w:color="auto"/>
                    <w:right w:val="single" w:sz="4" w:space="0" w:color="auto"/>
                  </w:tcBorders>
                  <w:shd w:val="clear" w:color="000000" w:fill="FFFFCC"/>
                </w:tcPr>
                <w:p w14:paraId="5A9E2061" w14:textId="77777777" w:rsidR="00034548" w:rsidRPr="00045954" w:rsidRDefault="00034548" w:rsidP="00034548">
                  <w:pPr>
                    <w:spacing w:after="0" w:line="240" w:lineRule="auto"/>
                    <w:ind w:firstLine="39"/>
                    <w:jc w:val="center"/>
                    <w:rPr>
                      <w:rFonts w:asciiTheme="minorHAnsi" w:eastAsia="Times New Roman" w:hAnsiTheme="minorHAnsi" w:cstheme="minorHAnsi"/>
                      <w:b/>
                      <w:bCs/>
                      <w:color w:val="000000"/>
                      <w:sz w:val="18"/>
                      <w:szCs w:val="18"/>
                      <w:lang w:val="en-GB" w:eastAsia="ru-RU"/>
                    </w:rPr>
                  </w:pPr>
                  <w:r w:rsidRPr="00045954">
                    <w:rPr>
                      <w:rFonts w:asciiTheme="minorHAnsi" w:hAnsiTheme="minorHAnsi" w:cstheme="minorHAnsi"/>
                      <w:b/>
                      <w:bCs/>
                      <w:sz w:val="18"/>
                      <w:szCs w:val="18"/>
                      <w:lang w:val="en-GB"/>
                    </w:rPr>
                    <w:t>2018</w:t>
                  </w:r>
                </w:p>
              </w:tc>
              <w:tc>
                <w:tcPr>
                  <w:tcW w:w="1141" w:type="dxa"/>
                  <w:tcBorders>
                    <w:top w:val="single" w:sz="4" w:space="0" w:color="auto"/>
                    <w:left w:val="nil"/>
                    <w:bottom w:val="single" w:sz="4" w:space="0" w:color="auto"/>
                    <w:right w:val="single" w:sz="4" w:space="0" w:color="auto"/>
                  </w:tcBorders>
                  <w:shd w:val="clear" w:color="000000" w:fill="FFFFCC"/>
                </w:tcPr>
                <w:p w14:paraId="7F4D1236" w14:textId="77777777" w:rsidR="00034548" w:rsidRPr="00045954" w:rsidRDefault="00034548" w:rsidP="00034548">
                  <w:pPr>
                    <w:spacing w:after="0" w:line="240" w:lineRule="auto"/>
                    <w:ind w:firstLine="39"/>
                    <w:jc w:val="center"/>
                    <w:rPr>
                      <w:rFonts w:asciiTheme="minorHAnsi" w:eastAsia="Times New Roman" w:hAnsiTheme="minorHAnsi" w:cstheme="minorHAnsi"/>
                      <w:b/>
                      <w:bCs/>
                      <w:color w:val="000000"/>
                      <w:sz w:val="18"/>
                      <w:szCs w:val="18"/>
                      <w:lang w:val="en-GB" w:eastAsia="ru-RU"/>
                    </w:rPr>
                  </w:pPr>
                  <w:r w:rsidRPr="00045954">
                    <w:rPr>
                      <w:rFonts w:asciiTheme="minorHAnsi" w:hAnsiTheme="minorHAnsi" w:cstheme="minorHAnsi"/>
                      <w:b/>
                      <w:bCs/>
                      <w:sz w:val="18"/>
                      <w:szCs w:val="18"/>
                      <w:lang w:val="en-GB"/>
                    </w:rPr>
                    <w:t>2019</w:t>
                  </w:r>
                </w:p>
              </w:tc>
              <w:tc>
                <w:tcPr>
                  <w:tcW w:w="1021" w:type="dxa"/>
                  <w:tcBorders>
                    <w:top w:val="single" w:sz="4" w:space="0" w:color="auto"/>
                    <w:left w:val="nil"/>
                    <w:bottom w:val="single" w:sz="4" w:space="0" w:color="auto"/>
                    <w:right w:val="single" w:sz="4" w:space="0" w:color="auto"/>
                  </w:tcBorders>
                  <w:shd w:val="clear" w:color="000000" w:fill="FFFFCC"/>
                </w:tcPr>
                <w:p w14:paraId="4AC08DD0" w14:textId="77777777" w:rsidR="00034548" w:rsidRPr="00045954" w:rsidRDefault="00034548" w:rsidP="00034548">
                  <w:pPr>
                    <w:spacing w:after="0" w:line="240" w:lineRule="auto"/>
                    <w:ind w:firstLine="39"/>
                    <w:jc w:val="center"/>
                    <w:rPr>
                      <w:rFonts w:asciiTheme="minorHAnsi" w:eastAsia="Times New Roman" w:hAnsiTheme="minorHAnsi" w:cstheme="minorHAnsi"/>
                      <w:b/>
                      <w:bCs/>
                      <w:color w:val="000000"/>
                      <w:sz w:val="18"/>
                      <w:szCs w:val="18"/>
                      <w:lang w:val="en-GB" w:eastAsia="ru-RU"/>
                    </w:rPr>
                  </w:pPr>
                  <w:r w:rsidRPr="00045954">
                    <w:rPr>
                      <w:rFonts w:asciiTheme="minorHAnsi" w:hAnsiTheme="minorHAnsi" w:cstheme="minorHAnsi"/>
                      <w:b/>
                      <w:bCs/>
                      <w:sz w:val="18"/>
                      <w:szCs w:val="18"/>
                      <w:lang w:val="en-GB"/>
                    </w:rPr>
                    <w:t>2020</w:t>
                  </w:r>
                </w:p>
              </w:tc>
              <w:tc>
                <w:tcPr>
                  <w:tcW w:w="998" w:type="dxa"/>
                  <w:tcBorders>
                    <w:top w:val="single" w:sz="4" w:space="0" w:color="auto"/>
                    <w:left w:val="nil"/>
                    <w:bottom w:val="single" w:sz="4" w:space="0" w:color="auto"/>
                    <w:right w:val="single" w:sz="4" w:space="0" w:color="auto"/>
                  </w:tcBorders>
                  <w:shd w:val="clear" w:color="000000" w:fill="FFFFCC"/>
                </w:tcPr>
                <w:p w14:paraId="580D497D" w14:textId="77777777" w:rsidR="00034548" w:rsidRPr="00045954" w:rsidRDefault="00034548" w:rsidP="00034548">
                  <w:pPr>
                    <w:spacing w:after="0" w:line="240" w:lineRule="auto"/>
                    <w:ind w:firstLine="39"/>
                    <w:jc w:val="center"/>
                    <w:rPr>
                      <w:rFonts w:asciiTheme="minorHAnsi" w:eastAsia="Times New Roman" w:hAnsiTheme="minorHAnsi" w:cstheme="minorHAnsi"/>
                      <w:b/>
                      <w:bCs/>
                      <w:color w:val="000000"/>
                      <w:sz w:val="18"/>
                      <w:szCs w:val="18"/>
                      <w:lang w:val="en-GB" w:eastAsia="ru-RU"/>
                    </w:rPr>
                  </w:pPr>
                  <w:r w:rsidRPr="00045954">
                    <w:rPr>
                      <w:rFonts w:asciiTheme="minorHAnsi" w:hAnsiTheme="minorHAnsi" w:cstheme="minorHAnsi"/>
                      <w:b/>
                      <w:bCs/>
                      <w:sz w:val="18"/>
                      <w:szCs w:val="18"/>
                      <w:lang w:val="en-GB"/>
                    </w:rPr>
                    <w:t>2021</w:t>
                  </w:r>
                </w:p>
              </w:tc>
              <w:tc>
                <w:tcPr>
                  <w:tcW w:w="1075" w:type="dxa"/>
                  <w:tcBorders>
                    <w:top w:val="single" w:sz="4" w:space="0" w:color="auto"/>
                    <w:left w:val="nil"/>
                    <w:bottom w:val="single" w:sz="4" w:space="0" w:color="auto"/>
                    <w:right w:val="single" w:sz="4" w:space="0" w:color="auto"/>
                  </w:tcBorders>
                  <w:shd w:val="clear" w:color="000000" w:fill="FFFFCC"/>
                </w:tcPr>
                <w:p w14:paraId="10C933F4" w14:textId="77777777" w:rsidR="00034548" w:rsidRPr="00045954" w:rsidRDefault="00034548" w:rsidP="00034548">
                  <w:pPr>
                    <w:spacing w:after="0" w:line="240" w:lineRule="auto"/>
                    <w:ind w:firstLine="39"/>
                    <w:jc w:val="center"/>
                    <w:rPr>
                      <w:rFonts w:asciiTheme="minorHAnsi" w:eastAsia="Times New Roman" w:hAnsiTheme="minorHAnsi" w:cstheme="minorHAnsi"/>
                      <w:b/>
                      <w:bCs/>
                      <w:color w:val="000000"/>
                      <w:sz w:val="18"/>
                      <w:szCs w:val="18"/>
                      <w:lang w:val="en-GB" w:eastAsia="ru-RU"/>
                    </w:rPr>
                  </w:pPr>
                  <w:r w:rsidRPr="00045954">
                    <w:rPr>
                      <w:rFonts w:asciiTheme="minorHAnsi" w:hAnsiTheme="minorHAnsi" w:cstheme="minorHAnsi"/>
                      <w:b/>
                      <w:bCs/>
                      <w:sz w:val="18"/>
                      <w:szCs w:val="18"/>
                      <w:lang w:val="en-GB"/>
                    </w:rPr>
                    <w:t>2022</w:t>
                  </w:r>
                </w:p>
              </w:tc>
              <w:tc>
                <w:tcPr>
                  <w:tcW w:w="1075" w:type="dxa"/>
                  <w:tcBorders>
                    <w:top w:val="single" w:sz="4" w:space="0" w:color="auto"/>
                    <w:left w:val="nil"/>
                    <w:bottom w:val="single" w:sz="4" w:space="0" w:color="auto"/>
                    <w:right w:val="single" w:sz="4" w:space="0" w:color="auto"/>
                  </w:tcBorders>
                  <w:shd w:val="clear" w:color="000000" w:fill="FFFFCC"/>
                </w:tcPr>
                <w:p w14:paraId="11DACE91" w14:textId="77777777" w:rsidR="00034548" w:rsidRPr="00045954" w:rsidRDefault="00034548" w:rsidP="00034548">
                  <w:pPr>
                    <w:spacing w:after="0" w:line="240" w:lineRule="auto"/>
                    <w:ind w:firstLine="39"/>
                    <w:jc w:val="center"/>
                    <w:rPr>
                      <w:rFonts w:asciiTheme="minorHAnsi" w:hAnsiTheme="minorHAnsi" w:cstheme="minorHAnsi"/>
                      <w:b/>
                      <w:bCs/>
                      <w:sz w:val="18"/>
                      <w:szCs w:val="18"/>
                      <w:lang w:val="en-GB"/>
                    </w:rPr>
                  </w:pPr>
                  <w:r w:rsidRPr="00045954">
                    <w:rPr>
                      <w:rFonts w:asciiTheme="minorHAnsi" w:hAnsiTheme="minorHAnsi" w:cstheme="minorHAnsi"/>
                      <w:b/>
                      <w:bCs/>
                      <w:sz w:val="18"/>
                      <w:szCs w:val="18"/>
                      <w:lang w:val="en-GB"/>
                    </w:rPr>
                    <w:t>2023*</w:t>
                  </w:r>
                </w:p>
              </w:tc>
              <w:tc>
                <w:tcPr>
                  <w:tcW w:w="1096" w:type="dxa"/>
                  <w:tcBorders>
                    <w:top w:val="single" w:sz="4" w:space="0" w:color="auto"/>
                    <w:left w:val="single" w:sz="4" w:space="0" w:color="auto"/>
                    <w:bottom w:val="single" w:sz="4" w:space="0" w:color="auto"/>
                    <w:right w:val="single" w:sz="4" w:space="0" w:color="auto"/>
                  </w:tcBorders>
                  <w:shd w:val="clear" w:color="000000" w:fill="FFFFCC"/>
                </w:tcPr>
                <w:p w14:paraId="123349A0" w14:textId="77777777" w:rsidR="00034548" w:rsidRPr="00045954" w:rsidRDefault="00034548" w:rsidP="00034548">
                  <w:pPr>
                    <w:spacing w:after="0" w:line="240" w:lineRule="auto"/>
                    <w:ind w:firstLine="39"/>
                    <w:jc w:val="center"/>
                    <w:rPr>
                      <w:rFonts w:asciiTheme="minorHAnsi" w:eastAsia="Times New Roman" w:hAnsiTheme="minorHAnsi" w:cstheme="minorHAnsi"/>
                      <w:b/>
                      <w:bCs/>
                      <w:color w:val="000000"/>
                      <w:sz w:val="18"/>
                      <w:szCs w:val="18"/>
                      <w:lang w:val="en-GB" w:eastAsia="ru-RU"/>
                    </w:rPr>
                  </w:pPr>
                  <w:r w:rsidRPr="00045954">
                    <w:rPr>
                      <w:rFonts w:asciiTheme="minorHAnsi" w:hAnsiTheme="minorHAnsi" w:cstheme="minorHAnsi"/>
                      <w:b/>
                      <w:bCs/>
                      <w:sz w:val="18"/>
                      <w:szCs w:val="18"/>
                      <w:lang w:val="en-GB"/>
                    </w:rPr>
                    <w:t>Total 2018-2023</w:t>
                  </w:r>
                </w:p>
              </w:tc>
            </w:tr>
            <w:tr w:rsidR="00034548" w:rsidRPr="00045954" w14:paraId="0327A55C" w14:textId="77777777" w:rsidTr="00595CA8">
              <w:trPr>
                <w:trHeight w:val="443"/>
              </w:trPr>
              <w:tc>
                <w:tcPr>
                  <w:tcW w:w="2823" w:type="dxa"/>
                  <w:tcBorders>
                    <w:top w:val="single" w:sz="4" w:space="0" w:color="auto"/>
                    <w:left w:val="single" w:sz="4" w:space="0" w:color="auto"/>
                    <w:bottom w:val="single" w:sz="4" w:space="0" w:color="auto"/>
                    <w:right w:val="single" w:sz="4" w:space="0" w:color="auto"/>
                  </w:tcBorders>
                  <w:shd w:val="clear" w:color="000000" w:fill="FFFFCC"/>
                  <w:vAlign w:val="center"/>
                </w:tcPr>
                <w:p w14:paraId="07930C84" w14:textId="77777777" w:rsidR="00034548" w:rsidRPr="00045954" w:rsidRDefault="00034548" w:rsidP="00034548">
                  <w:pPr>
                    <w:spacing w:after="0" w:line="240" w:lineRule="auto"/>
                    <w:ind w:right="-81" w:firstLine="39"/>
                    <w:rPr>
                      <w:rFonts w:asciiTheme="minorHAnsi" w:eastAsia="Times New Roman" w:hAnsiTheme="minorHAnsi" w:cstheme="minorHAnsi"/>
                      <w:color w:val="000000"/>
                      <w:sz w:val="18"/>
                      <w:szCs w:val="18"/>
                      <w:lang w:val="en-GB" w:eastAsia="ru-RU"/>
                    </w:rPr>
                  </w:pPr>
                  <w:proofErr w:type="spellStart"/>
                  <w:r w:rsidRPr="00045954">
                    <w:rPr>
                      <w:rFonts w:asciiTheme="minorHAnsi" w:eastAsia="Times New Roman" w:hAnsiTheme="minorHAnsi" w:cstheme="minorHAnsi"/>
                      <w:color w:val="000000"/>
                      <w:sz w:val="18"/>
                      <w:szCs w:val="18"/>
                      <w:lang w:val="en-GB" w:eastAsia="ru-RU"/>
                    </w:rPr>
                    <w:t>Pediatric</w:t>
                  </w:r>
                  <w:proofErr w:type="spellEnd"/>
                  <w:r w:rsidRPr="00045954">
                    <w:rPr>
                      <w:rFonts w:asciiTheme="minorHAnsi" w:eastAsia="Times New Roman" w:hAnsiTheme="minorHAnsi" w:cstheme="minorHAnsi"/>
                      <w:color w:val="000000"/>
                      <w:sz w:val="18"/>
                      <w:szCs w:val="18"/>
                      <w:lang w:val="en-GB" w:eastAsia="ru-RU"/>
                    </w:rPr>
                    <w:t xml:space="preserve"> TB diagnostics and treatment targets </w:t>
                  </w:r>
                </w:p>
              </w:tc>
              <w:tc>
                <w:tcPr>
                  <w:tcW w:w="1032" w:type="dxa"/>
                  <w:tcBorders>
                    <w:top w:val="single" w:sz="4" w:space="0" w:color="auto"/>
                    <w:left w:val="nil"/>
                    <w:bottom w:val="single" w:sz="4" w:space="0" w:color="auto"/>
                    <w:right w:val="single" w:sz="4" w:space="0" w:color="auto"/>
                  </w:tcBorders>
                  <w:shd w:val="clear" w:color="000000" w:fill="FFFFCC"/>
                  <w:vAlign w:val="center"/>
                </w:tcPr>
                <w:p w14:paraId="2F53E72A" w14:textId="77777777" w:rsidR="00034548" w:rsidRPr="00045954" w:rsidRDefault="00034548" w:rsidP="00034548">
                  <w:pPr>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350</w:t>
                  </w:r>
                </w:p>
              </w:tc>
              <w:tc>
                <w:tcPr>
                  <w:tcW w:w="1141" w:type="dxa"/>
                  <w:tcBorders>
                    <w:top w:val="single" w:sz="4" w:space="0" w:color="auto"/>
                    <w:left w:val="nil"/>
                    <w:bottom w:val="single" w:sz="4" w:space="0" w:color="auto"/>
                    <w:right w:val="single" w:sz="4" w:space="0" w:color="auto"/>
                  </w:tcBorders>
                  <w:shd w:val="clear" w:color="000000" w:fill="FFFFCC"/>
                  <w:vAlign w:val="center"/>
                </w:tcPr>
                <w:p w14:paraId="40D80D7A" w14:textId="77777777" w:rsidR="00034548" w:rsidRPr="00045954" w:rsidRDefault="00034548" w:rsidP="00034548">
                  <w:pPr>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350</w:t>
                  </w:r>
                </w:p>
              </w:tc>
              <w:tc>
                <w:tcPr>
                  <w:tcW w:w="1021" w:type="dxa"/>
                  <w:tcBorders>
                    <w:top w:val="single" w:sz="4" w:space="0" w:color="auto"/>
                    <w:left w:val="nil"/>
                    <w:bottom w:val="single" w:sz="4" w:space="0" w:color="auto"/>
                    <w:right w:val="single" w:sz="4" w:space="0" w:color="auto"/>
                  </w:tcBorders>
                  <w:shd w:val="clear" w:color="000000" w:fill="FFFFCC"/>
                  <w:vAlign w:val="center"/>
                </w:tcPr>
                <w:p w14:paraId="3B89C548" w14:textId="77777777" w:rsidR="00034548" w:rsidRPr="00045954" w:rsidRDefault="00034548" w:rsidP="00034548">
                  <w:pPr>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300</w:t>
                  </w:r>
                </w:p>
              </w:tc>
              <w:tc>
                <w:tcPr>
                  <w:tcW w:w="998" w:type="dxa"/>
                  <w:tcBorders>
                    <w:top w:val="single" w:sz="4" w:space="0" w:color="auto"/>
                    <w:left w:val="nil"/>
                    <w:bottom w:val="single" w:sz="4" w:space="0" w:color="auto"/>
                    <w:right w:val="single" w:sz="4" w:space="0" w:color="auto"/>
                  </w:tcBorders>
                  <w:shd w:val="clear" w:color="000000" w:fill="FFFFCC"/>
                  <w:vAlign w:val="center"/>
                </w:tcPr>
                <w:p w14:paraId="2F622B55" w14:textId="77777777" w:rsidR="00034548" w:rsidRPr="00045954" w:rsidRDefault="00034548" w:rsidP="00034548">
                  <w:pPr>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300</w:t>
                  </w:r>
                </w:p>
              </w:tc>
              <w:tc>
                <w:tcPr>
                  <w:tcW w:w="1075" w:type="dxa"/>
                  <w:tcBorders>
                    <w:top w:val="single" w:sz="4" w:space="0" w:color="auto"/>
                    <w:left w:val="nil"/>
                    <w:bottom w:val="single" w:sz="4" w:space="0" w:color="auto"/>
                    <w:right w:val="single" w:sz="4" w:space="0" w:color="auto"/>
                  </w:tcBorders>
                  <w:shd w:val="clear" w:color="000000" w:fill="FFFFCC"/>
                  <w:vAlign w:val="center"/>
                </w:tcPr>
                <w:p w14:paraId="64251CFD" w14:textId="77777777" w:rsidR="00034548" w:rsidRPr="00045954" w:rsidRDefault="00034548" w:rsidP="00034548">
                  <w:pPr>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300</w:t>
                  </w:r>
                </w:p>
              </w:tc>
              <w:tc>
                <w:tcPr>
                  <w:tcW w:w="1075" w:type="dxa"/>
                  <w:tcBorders>
                    <w:top w:val="single" w:sz="4" w:space="0" w:color="auto"/>
                    <w:left w:val="nil"/>
                    <w:bottom w:val="single" w:sz="4" w:space="0" w:color="auto"/>
                    <w:right w:val="single" w:sz="4" w:space="0" w:color="auto"/>
                  </w:tcBorders>
                  <w:shd w:val="clear" w:color="000000" w:fill="FFFFCC"/>
                  <w:vAlign w:val="center"/>
                </w:tcPr>
                <w:p w14:paraId="7ED61031" w14:textId="77777777" w:rsidR="00034548" w:rsidRPr="00045954" w:rsidRDefault="00034548" w:rsidP="00034548">
                  <w:pPr>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300</w:t>
                  </w:r>
                </w:p>
              </w:tc>
              <w:tc>
                <w:tcPr>
                  <w:tcW w:w="1096" w:type="dxa"/>
                  <w:tcBorders>
                    <w:top w:val="single" w:sz="4" w:space="0" w:color="auto"/>
                    <w:left w:val="single" w:sz="4" w:space="0" w:color="auto"/>
                    <w:bottom w:val="single" w:sz="4" w:space="0" w:color="auto"/>
                    <w:right w:val="single" w:sz="4" w:space="0" w:color="auto"/>
                  </w:tcBorders>
                  <w:shd w:val="clear" w:color="000000" w:fill="FFFFCC"/>
                  <w:vAlign w:val="center"/>
                </w:tcPr>
                <w:p w14:paraId="7538126C" w14:textId="15FB5A5D" w:rsidR="00034548" w:rsidRPr="00045954" w:rsidRDefault="00034548" w:rsidP="00034548">
                  <w:pPr>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hAnsiTheme="minorHAnsi" w:cstheme="minorHAnsi"/>
                      <w:sz w:val="18"/>
                      <w:szCs w:val="18"/>
                      <w:lang w:val="en-GB"/>
                    </w:rPr>
                    <w:t>1</w:t>
                  </w:r>
                  <w:r w:rsidR="00850E4E">
                    <w:rPr>
                      <w:rFonts w:asciiTheme="minorHAnsi" w:hAnsiTheme="minorHAnsi" w:cstheme="minorHAnsi"/>
                      <w:sz w:val="18"/>
                      <w:szCs w:val="18"/>
                      <w:lang w:val="en-GB"/>
                    </w:rPr>
                    <w:t>,</w:t>
                  </w:r>
                  <w:r w:rsidRPr="00045954">
                    <w:rPr>
                      <w:rFonts w:asciiTheme="minorHAnsi" w:hAnsiTheme="minorHAnsi" w:cstheme="minorHAnsi"/>
                      <w:sz w:val="18"/>
                      <w:szCs w:val="18"/>
                      <w:lang w:val="en-GB"/>
                    </w:rPr>
                    <w:t>900</w:t>
                  </w:r>
                </w:p>
              </w:tc>
            </w:tr>
            <w:tr w:rsidR="00034548" w:rsidRPr="00045954" w14:paraId="63F8F23D" w14:textId="77777777" w:rsidTr="00595CA8">
              <w:trPr>
                <w:trHeight w:val="251"/>
              </w:trPr>
              <w:tc>
                <w:tcPr>
                  <w:tcW w:w="2823" w:type="dxa"/>
                  <w:tcBorders>
                    <w:top w:val="nil"/>
                    <w:left w:val="single" w:sz="4" w:space="0" w:color="auto"/>
                    <w:bottom w:val="single" w:sz="4" w:space="0" w:color="auto"/>
                    <w:right w:val="single" w:sz="4" w:space="0" w:color="auto"/>
                  </w:tcBorders>
                  <w:shd w:val="clear" w:color="000000" w:fill="FFFFFF"/>
                  <w:vAlign w:val="center"/>
                  <w:hideMark/>
                </w:tcPr>
                <w:p w14:paraId="22FF7218" w14:textId="77777777" w:rsidR="00034548" w:rsidRPr="00045954" w:rsidRDefault="00034548" w:rsidP="00850E4E">
                  <w:pPr>
                    <w:spacing w:after="0" w:line="240" w:lineRule="auto"/>
                    <w:ind w:right="-81"/>
                    <w:rPr>
                      <w:rFonts w:asciiTheme="minorHAnsi" w:eastAsia="Times New Roman" w:hAnsiTheme="minorHAnsi" w:cstheme="minorHAnsi"/>
                      <w:b/>
                      <w:color w:val="404040" w:themeColor="text1"/>
                      <w:sz w:val="18"/>
                      <w:szCs w:val="18"/>
                      <w:lang w:val="en-GB" w:eastAsia="ru-RU"/>
                    </w:rPr>
                  </w:pPr>
                  <w:r w:rsidRPr="00045954">
                    <w:rPr>
                      <w:rFonts w:asciiTheme="minorHAnsi" w:eastAsia="Times New Roman" w:hAnsiTheme="minorHAnsi" w:cstheme="minorHAnsi"/>
                      <w:b/>
                      <w:color w:val="404040" w:themeColor="text1"/>
                      <w:sz w:val="18"/>
                      <w:szCs w:val="18"/>
                      <w:lang w:val="en-GB" w:eastAsia="ru-RU"/>
                    </w:rPr>
                    <w:t xml:space="preserve">MDR-TB diagnostics and treatment targets </w:t>
                  </w:r>
                </w:p>
              </w:tc>
              <w:tc>
                <w:tcPr>
                  <w:tcW w:w="1032" w:type="dxa"/>
                  <w:tcBorders>
                    <w:top w:val="nil"/>
                    <w:left w:val="nil"/>
                    <w:bottom w:val="single" w:sz="4" w:space="0" w:color="auto"/>
                    <w:right w:val="single" w:sz="4" w:space="0" w:color="auto"/>
                  </w:tcBorders>
                  <w:shd w:val="clear" w:color="000000" w:fill="FFFFFF"/>
                  <w:vAlign w:val="center"/>
                  <w:hideMark/>
                </w:tcPr>
                <w:p w14:paraId="3CC8DAFD" w14:textId="3444D036" w:rsidR="00034548" w:rsidRPr="00045954" w:rsidRDefault="00034548" w:rsidP="00034548">
                  <w:pPr>
                    <w:spacing w:after="0" w:line="240" w:lineRule="auto"/>
                    <w:ind w:firstLine="39"/>
                    <w:jc w:val="center"/>
                    <w:rPr>
                      <w:rFonts w:asciiTheme="minorHAnsi" w:eastAsia="Times New Roman" w:hAnsiTheme="minorHAnsi" w:cstheme="minorHAnsi"/>
                      <w:b/>
                      <w:color w:val="404040" w:themeColor="text1"/>
                      <w:sz w:val="18"/>
                      <w:szCs w:val="18"/>
                      <w:lang w:val="en-GB" w:eastAsia="ru-RU"/>
                    </w:rPr>
                  </w:pPr>
                  <w:r w:rsidRPr="00045954">
                    <w:rPr>
                      <w:rFonts w:asciiTheme="minorHAnsi" w:eastAsia="Times New Roman" w:hAnsiTheme="minorHAnsi" w:cstheme="minorHAnsi"/>
                      <w:b/>
                      <w:color w:val="404040" w:themeColor="text1"/>
                      <w:sz w:val="18"/>
                      <w:szCs w:val="18"/>
                      <w:lang w:val="en-GB" w:eastAsia="ru-RU"/>
                    </w:rPr>
                    <w:t>1</w:t>
                  </w:r>
                  <w:r w:rsidR="00850E4E">
                    <w:rPr>
                      <w:rFonts w:asciiTheme="minorHAnsi" w:eastAsia="Times New Roman" w:hAnsiTheme="minorHAnsi" w:cstheme="minorHAnsi"/>
                      <w:b/>
                      <w:color w:val="404040" w:themeColor="text1"/>
                      <w:sz w:val="18"/>
                      <w:szCs w:val="18"/>
                      <w:lang w:val="en-GB" w:eastAsia="ru-RU"/>
                    </w:rPr>
                    <w:t>,</w:t>
                  </w:r>
                  <w:r w:rsidRPr="00045954">
                    <w:rPr>
                      <w:rFonts w:asciiTheme="minorHAnsi" w:eastAsia="Times New Roman" w:hAnsiTheme="minorHAnsi" w:cstheme="minorHAnsi"/>
                      <w:b/>
                      <w:color w:val="404040" w:themeColor="text1"/>
                      <w:sz w:val="18"/>
                      <w:szCs w:val="18"/>
                      <w:lang w:val="en-GB" w:eastAsia="ru-RU"/>
                    </w:rPr>
                    <w:t>282</w:t>
                  </w:r>
                </w:p>
              </w:tc>
              <w:tc>
                <w:tcPr>
                  <w:tcW w:w="1141" w:type="dxa"/>
                  <w:tcBorders>
                    <w:top w:val="nil"/>
                    <w:left w:val="nil"/>
                    <w:bottom w:val="single" w:sz="4" w:space="0" w:color="auto"/>
                    <w:right w:val="single" w:sz="4" w:space="0" w:color="auto"/>
                  </w:tcBorders>
                  <w:shd w:val="clear" w:color="000000" w:fill="FFFFFF"/>
                  <w:vAlign w:val="center"/>
                  <w:hideMark/>
                </w:tcPr>
                <w:p w14:paraId="0085E558" w14:textId="4EF4767B" w:rsidR="00034548" w:rsidRPr="00045954" w:rsidRDefault="00034548" w:rsidP="00034548">
                  <w:pPr>
                    <w:spacing w:after="0" w:line="240" w:lineRule="auto"/>
                    <w:ind w:firstLine="39"/>
                    <w:jc w:val="center"/>
                    <w:rPr>
                      <w:rFonts w:asciiTheme="minorHAnsi" w:eastAsia="Times New Roman" w:hAnsiTheme="minorHAnsi" w:cstheme="minorHAnsi"/>
                      <w:b/>
                      <w:color w:val="404040" w:themeColor="text1"/>
                      <w:sz w:val="18"/>
                      <w:szCs w:val="18"/>
                      <w:lang w:val="en-GB" w:eastAsia="ru-RU"/>
                    </w:rPr>
                  </w:pPr>
                  <w:r w:rsidRPr="00045954">
                    <w:rPr>
                      <w:rFonts w:asciiTheme="minorHAnsi" w:eastAsia="Times New Roman" w:hAnsiTheme="minorHAnsi" w:cstheme="minorHAnsi"/>
                      <w:b/>
                      <w:color w:val="404040" w:themeColor="text1"/>
                      <w:sz w:val="18"/>
                      <w:szCs w:val="18"/>
                      <w:lang w:val="en-GB" w:eastAsia="ru-RU"/>
                    </w:rPr>
                    <w:t>1</w:t>
                  </w:r>
                  <w:r w:rsidR="00850E4E">
                    <w:rPr>
                      <w:rFonts w:asciiTheme="minorHAnsi" w:eastAsia="Times New Roman" w:hAnsiTheme="minorHAnsi" w:cstheme="minorHAnsi"/>
                      <w:b/>
                      <w:color w:val="404040" w:themeColor="text1"/>
                      <w:sz w:val="18"/>
                      <w:szCs w:val="18"/>
                      <w:lang w:val="en-GB" w:eastAsia="ru-RU"/>
                    </w:rPr>
                    <w:t>,</w:t>
                  </w:r>
                  <w:r w:rsidRPr="00045954">
                    <w:rPr>
                      <w:rFonts w:asciiTheme="minorHAnsi" w:eastAsia="Times New Roman" w:hAnsiTheme="minorHAnsi" w:cstheme="minorHAnsi"/>
                      <w:b/>
                      <w:color w:val="404040" w:themeColor="text1"/>
                      <w:sz w:val="18"/>
                      <w:szCs w:val="18"/>
                      <w:lang w:val="en-GB" w:eastAsia="ru-RU"/>
                    </w:rPr>
                    <w:t>465</w:t>
                  </w:r>
                </w:p>
              </w:tc>
              <w:tc>
                <w:tcPr>
                  <w:tcW w:w="1021" w:type="dxa"/>
                  <w:tcBorders>
                    <w:top w:val="nil"/>
                    <w:left w:val="nil"/>
                    <w:bottom w:val="single" w:sz="4" w:space="0" w:color="auto"/>
                    <w:right w:val="single" w:sz="4" w:space="0" w:color="auto"/>
                  </w:tcBorders>
                  <w:shd w:val="clear" w:color="000000" w:fill="FFFFFF"/>
                  <w:vAlign w:val="center"/>
                  <w:hideMark/>
                </w:tcPr>
                <w:p w14:paraId="2BBC14BF" w14:textId="13721A20" w:rsidR="00034548" w:rsidRPr="00045954" w:rsidRDefault="00034548" w:rsidP="00034548">
                  <w:pPr>
                    <w:spacing w:after="0" w:line="240" w:lineRule="auto"/>
                    <w:ind w:firstLine="39"/>
                    <w:jc w:val="center"/>
                    <w:rPr>
                      <w:rFonts w:asciiTheme="minorHAnsi" w:eastAsia="Times New Roman" w:hAnsiTheme="minorHAnsi" w:cstheme="minorHAnsi"/>
                      <w:b/>
                      <w:color w:val="404040" w:themeColor="text1"/>
                      <w:sz w:val="18"/>
                      <w:szCs w:val="18"/>
                      <w:lang w:val="en-GB" w:eastAsia="ru-RU"/>
                    </w:rPr>
                  </w:pPr>
                  <w:r w:rsidRPr="00045954">
                    <w:rPr>
                      <w:rFonts w:asciiTheme="minorHAnsi" w:eastAsia="Times New Roman" w:hAnsiTheme="minorHAnsi" w:cstheme="minorHAnsi"/>
                      <w:b/>
                      <w:color w:val="404040" w:themeColor="text1"/>
                      <w:sz w:val="18"/>
                      <w:szCs w:val="18"/>
                      <w:lang w:val="en-GB" w:eastAsia="ru-RU"/>
                    </w:rPr>
                    <w:t>1</w:t>
                  </w:r>
                  <w:r w:rsidR="00850E4E">
                    <w:rPr>
                      <w:rFonts w:asciiTheme="minorHAnsi" w:eastAsia="Times New Roman" w:hAnsiTheme="minorHAnsi" w:cstheme="minorHAnsi"/>
                      <w:b/>
                      <w:color w:val="404040" w:themeColor="text1"/>
                      <w:sz w:val="18"/>
                      <w:szCs w:val="18"/>
                      <w:lang w:val="en-GB" w:eastAsia="ru-RU"/>
                    </w:rPr>
                    <w:t>,</w:t>
                  </w:r>
                  <w:r w:rsidRPr="00045954">
                    <w:rPr>
                      <w:rFonts w:asciiTheme="minorHAnsi" w:eastAsia="Times New Roman" w:hAnsiTheme="minorHAnsi" w:cstheme="minorHAnsi"/>
                      <w:b/>
                      <w:color w:val="404040" w:themeColor="text1"/>
                      <w:sz w:val="18"/>
                      <w:szCs w:val="18"/>
                      <w:lang w:val="en-GB" w:eastAsia="ru-RU"/>
                    </w:rPr>
                    <w:t>740</w:t>
                  </w:r>
                </w:p>
              </w:tc>
              <w:tc>
                <w:tcPr>
                  <w:tcW w:w="998" w:type="dxa"/>
                  <w:tcBorders>
                    <w:top w:val="nil"/>
                    <w:left w:val="nil"/>
                    <w:bottom w:val="single" w:sz="4" w:space="0" w:color="auto"/>
                    <w:right w:val="single" w:sz="4" w:space="0" w:color="auto"/>
                  </w:tcBorders>
                  <w:shd w:val="clear" w:color="000000" w:fill="FFFFFF"/>
                  <w:vAlign w:val="center"/>
                  <w:hideMark/>
                </w:tcPr>
                <w:p w14:paraId="6974AA91" w14:textId="1B60F9B8" w:rsidR="00034548" w:rsidRPr="00045954" w:rsidRDefault="00034548" w:rsidP="00034548">
                  <w:pPr>
                    <w:spacing w:after="0" w:line="240" w:lineRule="auto"/>
                    <w:ind w:firstLine="39"/>
                    <w:jc w:val="center"/>
                    <w:rPr>
                      <w:rFonts w:asciiTheme="minorHAnsi" w:eastAsia="Times New Roman" w:hAnsiTheme="minorHAnsi" w:cstheme="minorHAnsi"/>
                      <w:b/>
                      <w:color w:val="404040" w:themeColor="text1"/>
                      <w:sz w:val="18"/>
                      <w:szCs w:val="18"/>
                      <w:lang w:val="en-GB" w:eastAsia="ru-RU"/>
                    </w:rPr>
                  </w:pPr>
                  <w:r w:rsidRPr="00045954">
                    <w:rPr>
                      <w:rFonts w:asciiTheme="minorHAnsi" w:eastAsia="Times New Roman" w:hAnsiTheme="minorHAnsi" w:cstheme="minorHAnsi"/>
                      <w:b/>
                      <w:color w:val="404040" w:themeColor="text1"/>
                      <w:sz w:val="18"/>
                      <w:szCs w:val="18"/>
                      <w:lang w:val="en-GB" w:eastAsia="ru-RU"/>
                    </w:rPr>
                    <w:t>2</w:t>
                  </w:r>
                  <w:r w:rsidR="00850E4E">
                    <w:rPr>
                      <w:rFonts w:asciiTheme="minorHAnsi" w:eastAsia="Times New Roman" w:hAnsiTheme="minorHAnsi" w:cstheme="minorHAnsi"/>
                      <w:b/>
                      <w:color w:val="404040" w:themeColor="text1"/>
                      <w:sz w:val="18"/>
                      <w:szCs w:val="18"/>
                      <w:lang w:val="en-GB" w:eastAsia="ru-RU"/>
                    </w:rPr>
                    <w:t>,</w:t>
                  </w:r>
                  <w:r w:rsidRPr="00045954">
                    <w:rPr>
                      <w:rFonts w:asciiTheme="minorHAnsi" w:eastAsia="Times New Roman" w:hAnsiTheme="minorHAnsi" w:cstheme="minorHAnsi"/>
                      <w:b/>
                      <w:color w:val="404040" w:themeColor="text1"/>
                      <w:sz w:val="18"/>
                      <w:szCs w:val="18"/>
                      <w:lang w:val="en-GB" w:eastAsia="ru-RU"/>
                    </w:rPr>
                    <w:t>015</w:t>
                  </w:r>
                </w:p>
              </w:tc>
              <w:tc>
                <w:tcPr>
                  <w:tcW w:w="1075" w:type="dxa"/>
                  <w:tcBorders>
                    <w:top w:val="nil"/>
                    <w:left w:val="nil"/>
                    <w:bottom w:val="single" w:sz="4" w:space="0" w:color="auto"/>
                    <w:right w:val="single" w:sz="4" w:space="0" w:color="auto"/>
                  </w:tcBorders>
                  <w:shd w:val="clear" w:color="000000" w:fill="FFFFFF"/>
                  <w:vAlign w:val="center"/>
                  <w:hideMark/>
                </w:tcPr>
                <w:p w14:paraId="3BC07772" w14:textId="7258D53E" w:rsidR="00034548" w:rsidRPr="00045954" w:rsidRDefault="00034548" w:rsidP="00034548">
                  <w:pPr>
                    <w:spacing w:after="0" w:line="240" w:lineRule="auto"/>
                    <w:ind w:firstLine="39"/>
                    <w:jc w:val="center"/>
                    <w:rPr>
                      <w:rFonts w:asciiTheme="minorHAnsi" w:eastAsia="Times New Roman" w:hAnsiTheme="minorHAnsi" w:cstheme="minorHAnsi"/>
                      <w:b/>
                      <w:color w:val="404040" w:themeColor="text1"/>
                      <w:sz w:val="18"/>
                      <w:szCs w:val="18"/>
                      <w:lang w:val="en-GB" w:eastAsia="ru-RU"/>
                    </w:rPr>
                  </w:pPr>
                  <w:r w:rsidRPr="00045954">
                    <w:rPr>
                      <w:rFonts w:asciiTheme="minorHAnsi" w:eastAsia="Times New Roman" w:hAnsiTheme="minorHAnsi" w:cstheme="minorHAnsi"/>
                      <w:b/>
                      <w:color w:val="404040" w:themeColor="text1"/>
                      <w:sz w:val="18"/>
                      <w:szCs w:val="18"/>
                      <w:lang w:val="en-GB" w:eastAsia="ru-RU"/>
                    </w:rPr>
                    <w:t>2</w:t>
                  </w:r>
                  <w:r w:rsidR="00850E4E">
                    <w:rPr>
                      <w:rFonts w:asciiTheme="minorHAnsi" w:eastAsia="Times New Roman" w:hAnsiTheme="minorHAnsi" w:cstheme="minorHAnsi"/>
                      <w:b/>
                      <w:color w:val="404040" w:themeColor="text1"/>
                      <w:sz w:val="18"/>
                      <w:szCs w:val="18"/>
                      <w:lang w:val="en-GB" w:eastAsia="ru-RU"/>
                    </w:rPr>
                    <w:t>,</w:t>
                  </w:r>
                  <w:r w:rsidRPr="00045954">
                    <w:rPr>
                      <w:rFonts w:asciiTheme="minorHAnsi" w:eastAsia="Times New Roman" w:hAnsiTheme="minorHAnsi" w:cstheme="minorHAnsi"/>
                      <w:b/>
                      <w:color w:val="404040" w:themeColor="text1"/>
                      <w:sz w:val="18"/>
                      <w:szCs w:val="18"/>
                      <w:lang w:val="en-GB" w:eastAsia="ru-RU"/>
                    </w:rPr>
                    <w:t>290</w:t>
                  </w:r>
                </w:p>
              </w:tc>
              <w:tc>
                <w:tcPr>
                  <w:tcW w:w="1075" w:type="dxa"/>
                  <w:tcBorders>
                    <w:top w:val="single" w:sz="4" w:space="0" w:color="auto"/>
                    <w:left w:val="nil"/>
                    <w:bottom w:val="single" w:sz="4" w:space="0" w:color="auto"/>
                    <w:right w:val="single" w:sz="4" w:space="0" w:color="auto"/>
                  </w:tcBorders>
                  <w:shd w:val="clear" w:color="000000" w:fill="FFFFFF"/>
                  <w:vAlign w:val="center"/>
                </w:tcPr>
                <w:p w14:paraId="61B32ED2" w14:textId="54F99DB7" w:rsidR="00034548" w:rsidRPr="00045954" w:rsidRDefault="00034548" w:rsidP="00034548">
                  <w:pPr>
                    <w:spacing w:after="0" w:line="240" w:lineRule="auto"/>
                    <w:ind w:firstLine="39"/>
                    <w:jc w:val="center"/>
                    <w:rPr>
                      <w:rFonts w:asciiTheme="minorHAnsi" w:eastAsia="Times New Roman" w:hAnsiTheme="minorHAnsi" w:cstheme="minorHAnsi"/>
                      <w:b/>
                      <w:color w:val="404040" w:themeColor="text1"/>
                      <w:sz w:val="18"/>
                      <w:szCs w:val="18"/>
                      <w:lang w:val="en-GB" w:eastAsia="ru-RU"/>
                    </w:rPr>
                  </w:pPr>
                  <w:r w:rsidRPr="00045954">
                    <w:rPr>
                      <w:rFonts w:asciiTheme="minorHAnsi" w:eastAsia="Times New Roman" w:hAnsiTheme="minorHAnsi" w:cstheme="minorHAnsi"/>
                      <w:b/>
                      <w:color w:val="404040" w:themeColor="text1"/>
                      <w:sz w:val="18"/>
                      <w:szCs w:val="18"/>
                      <w:lang w:val="en-GB" w:eastAsia="ru-RU"/>
                    </w:rPr>
                    <w:t>2</w:t>
                  </w:r>
                  <w:r w:rsidR="00850E4E">
                    <w:rPr>
                      <w:rFonts w:asciiTheme="minorHAnsi" w:eastAsia="Times New Roman" w:hAnsiTheme="minorHAnsi" w:cstheme="minorHAnsi"/>
                      <w:b/>
                      <w:color w:val="404040" w:themeColor="text1"/>
                      <w:sz w:val="18"/>
                      <w:szCs w:val="18"/>
                      <w:lang w:val="en-GB" w:eastAsia="ru-RU"/>
                    </w:rPr>
                    <w:t>,</w:t>
                  </w:r>
                  <w:r w:rsidRPr="00045954">
                    <w:rPr>
                      <w:rFonts w:asciiTheme="minorHAnsi" w:eastAsia="Times New Roman" w:hAnsiTheme="minorHAnsi" w:cstheme="minorHAnsi"/>
                      <w:b/>
                      <w:color w:val="404040" w:themeColor="text1"/>
                      <w:sz w:val="18"/>
                      <w:szCs w:val="18"/>
                      <w:lang w:val="en-GB" w:eastAsia="ru-RU"/>
                    </w:rPr>
                    <w:t>290</w:t>
                  </w:r>
                </w:p>
              </w:tc>
              <w:tc>
                <w:tcPr>
                  <w:tcW w:w="1096" w:type="dxa"/>
                  <w:tcBorders>
                    <w:top w:val="nil"/>
                    <w:left w:val="single" w:sz="4" w:space="0" w:color="auto"/>
                    <w:bottom w:val="single" w:sz="4" w:space="0" w:color="auto"/>
                    <w:right w:val="single" w:sz="4" w:space="0" w:color="auto"/>
                  </w:tcBorders>
                  <w:shd w:val="clear" w:color="000000" w:fill="FFFFFF"/>
                  <w:vAlign w:val="center"/>
                  <w:hideMark/>
                </w:tcPr>
                <w:p w14:paraId="32182966" w14:textId="0724486E" w:rsidR="00034548" w:rsidRPr="00045954" w:rsidRDefault="00034548" w:rsidP="00034548">
                  <w:pPr>
                    <w:spacing w:after="0" w:line="240" w:lineRule="auto"/>
                    <w:ind w:firstLine="39"/>
                    <w:jc w:val="center"/>
                    <w:rPr>
                      <w:rFonts w:asciiTheme="minorHAnsi" w:eastAsia="Times New Roman" w:hAnsiTheme="minorHAnsi" w:cstheme="minorHAnsi"/>
                      <w:b/>
                      <w:color w:val="404040" w:themeColor="text1"/>
                      <w:sz w:val="18"/>
                      <w:szCs w:val="18"/>
                      <w:lang w:val="en-GB" w:eastAsia="ru-RU"/>
                    </w:rPr>
                  </w:pPr>
                  <w:r w:rsidRPr="00045954">
                    <w:rPr>
                      <w:rFonts w:asciiTheme="minorHAnsi" w:hAnsiTheme="minorHAnsi" w:cstheme="minorHAnsi"/>
                      <w:b/>
                      <w:color w:val="404040" w:themeColor="text1"/>
                      <w:sz w:val="18"/>
                      <w:szCs w:val="18"/>
                      <w:lang w:val="en-GB"/>
                    </w:rPr>
                    <w:t>11</w:t>
                  </w:r>
                  <w:r w:rsidR="00850E4E">
                    <w:rPr>
                      <w:rFonts w:asciiTheme="minorHAnsi" w:hAnsiTheme="minorHAnsi" w:cstheme="minorHAnsi"/>
                      <w:b/>
                      <w:color w:val="404040" w:themeColor="text1"/>
                      <w:sz w:val="18"/>
                      <w:szCs w:val="18"/>
                      <w:lang w:val="en-GB"/>
                    </w:rPr>
                    <w:t>,</w:t>
                  </w:r>
                  <w:r w:rsidRPr="00045954">
                    <w:rPr>
                      <w:rFonts w:asciiTheme="minorHAnsi" w:hAnsiTheme="minorHAnsi" w:cstheme="minorHAnsi"/>
                      <w:b/>
                      <w:color w:val="404040" w:themeColor="text1"/>
                      <w:sz w:val="18"/>
                      <w:szCs w:val="18"/>
                      <w:lang w:val="en-GB"/>
                    </w:rPr>
                    <w:t>082</w:t>
                  </w:r>
                </w:p>
              </w:tc>
            </w:tr>
            <w:bookmarkEnd w:id="2"/>
            <w:tr w:rsidR="00034548" w:rsidRPr="00045954" w14:paraId="1FDC521A" w14:textId="77777777" w:rsidTr="00595CA8">
              <w:trPr>
                <w:trHeight w:val="427"/>
              </w:trPr>
              <w:tc>
                <w:tcPr>
                  <w:tcW w:w="2823" w:type="dxa"/>
                  <w:tcBorders>
                    <w:top w:val="nil"/>
                    <w:left w:val="single" w:sz="4" w:space="0" w:color="auto"/>
                    <w:bottom w:val="single" w:sz="4" w:space="0" w:color="auto"/>
                    <w:right w:val="single" w:sz="4" w:space="0" w:color="auto"/>
                  </w:tcBorders>
                  <w:shd w:val="clear" w:color="000000" w:fill="FFFFCC"/>
                  <w:vAlign w:val="center"/>
                  <w:hideMark/>
                </w:tcPr>
                <w:p w14:paraId="6071F33D" w14:textId="77777777" w:rsidR="00034548" w:rsidRPr="00045954" w:rsidRDefault="00034548" w:rsidP="00850E4E">
                  <w:pPr>
                    <w:spacing w:after="0" w:line="240" w:lineRule="auto"/>
                    <w:ind w:right="-81"/>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 xml:space="preserve">Preventative Therapy (PT) targets in contacts of under-five children </w:t>
                  </w:r>
                </w:p>
              </w:tc>
              <w:tc>
                <w:tcPr>
                  <w:tcW w:w="1032" w:type="dxa"/>
                  <w:tcBorders>
                    <w:top w:val="nil"/>
                    <w:left w:val="nil"/>
                    <w:bottom w:val="single" w:sz="4" w:space="0" w:color="auto"/>
                    <w:right w:val="single" w:sz="4" w:space="0" w:color="auto"/>
                  </w:tcBorders>
                  <w:shd w:val="clear" w:color="000000" w:fill="FFFFCC"/>
                  <w:vAlign w:val="center"/>
                  <w:hideMark/>
                </w:tcPr>
                <w:p w14:paraId="0E8D4647" w14:textId="77777777" w:rsidR="00034548" w:rsidRPr="00045954" w:rsidRDefault="00034548" w:rsidP="00034548">
                  <w:pPr>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498</w:t>
                  </w:r>
                </w:p>
              </w:tc>
              <w:tc>
                <w:tcPr>
                  <w:tcW w:w="1141" w:type="dxa"/>
                  <w:tcBorders>
                    <w:top w:val="nil"/>
                    <w:left w:val="nil"/>
                    <w:bottom w:val="single" w:sz="4" w:space="0" w:color="auto"/>
                    <w:right w:val="single" w:sz="4" w:space="0" w:color="auto"/>
                  </w:tcBorders>
                  <w:shd w:val="clear" w:color="000000" w:fill="FFFFCC"/>
                  <w:vAlign w:val="center"/>
                  <w:hideMark/>
                </w:tcPr>
                <w:p w14:paraId="5CCDC079" w14:textId="77777777" w:rsidR="00034548" w:rsidRPr="00045954" w:rsidRDefault="00034548" w:rsidP="00034548">
                  <w:pPr>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952</w:t>
                  </w:r>
                </w:p>
              </w:tc>
              <w:tc>
                <w:tcPr>
                  <w:tcW w:w="1021" w:type="dxa"/>
                  <w:tcBorders>
                    <w:top w:val="nil"/>
                    <w:left w:val="nil"/>
                    <w:bottom w:val="single" w:sz="4" w:space="0" w:color="auto"/>
                    <w:right w:val="single" w:sz="4" w:space="0" w:color="auto"/>
                  </w:tcBorders>
                  <w:shd w:val="clear" w:color="000000" w:fill="FFFFCC"/>
                  <w:vAlign w:val="center"/>
                  <w:hideMark/>
                </w:tcPr>
                <w:p w14:paraId="5C5DC204" w14:textId="66C65050" w:rsidR="00034548" w:rsidRPr="00045954" w:rsidRDefault="00034548" w:rsidP="00034548">
                  <w:pPr>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1</w:t>
                  </w:r>
                  <w:r w:rsidR="00850E4E">
                    <w:rPr>
                      <w:rFonts w:asciiTheme="minorHAnsi" w:eastAsia="Times New Roman" w:hAnsiTheme="minorHAnsi" w:cstheme="minorHAnsi"/>
                      <w:color w:val="000000"/>
                      <w:sz w:val="18"/>
                      <w:szCs w:val="18"/>
                      <w:lang w:val="en-GB" w:eastAsia="ru-RU"/>
                    </w:rPr>
                    <w:t>,</w:t>
                  </w:r>
                  <w:r w:rsidRPr="00045954">
                    <w:rPr>
                      <w:rFonts w:asciiTheme="minorHAnsi" w:eastAsia="Times New Roman" w:hAnsiTheme="minorHAnsi" w:cstheme="minorHAnsi"/>
                      <w:color w:val="000000"/>
                      <w:sz w:val="18"/>
                      <w:szCs w:val="18"/>
                      <w:lang w:val="en-GB" w:eastAsia="ru-RU"/>
                    </w:rPr>
                    <w:t>360</w:t>
                  </w:r>
                </w:p>
              </w:tc>
              <w:tc>
                <w:tcPr>
                  <w:tcW w:w="998" w:type="dxa"/>
                  <w:tcBorders>
                    <w:top w:val="nil"/>
                    <w:left w:val="nil"/>
                    <w:bottom w:val="single" w:sz="4" w:space="0" w:color="auto"/>
                    <w:right w:val="single" w:sz="4" w:space="0" w:color="auto"/>
                  </w:tcBorders>
                  <w:shd w:val="clear" w:color="000000" w:fill="FFFFCC"/>
                  <w:vAlign w:val="center"/>
                  <w:hideMark/>
                </w:tcPr>
                <w:p w14:paraId="13E8E80D" w14:textId="6104058C" w:rsidR="00034548" w:rsidRPr="00045954" w:rsidRDefault="00034548" w:rsidP="00034548">
                  <w:pPr>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1</w:t>
                  </w:r>
                  <w:r w:rsidR="00850E4E">
                    <w:rPr>
                      <w:rFonts w:asciiTheme="minorHAnsi" w:eastAsia="Times New Roman" w:hAnsiTheme="minorHAnsi" w:cstheme="minorHAnsi"/>
                      <w:color w:val="000000"/>
                      <w:sz w:val="18"/>
                      <w:szCs w:val="18"/>
                      <w:lang w:val="en-GB" w:eastAsia="ru-RU"/>
                    </w:rPr>
                    <w:t>,</w:t>
                  </w:r>
                  <w:r w:rsidRPr="00045954">
                    <w:rPr>
                      <w:rFonts w:asciiTheme="minorHAnsi" w:eastAsia="Times New Roman" w:hAnsiTheme="minorHAnsi" w:cstheme="minorHAnsi"/>
                      <w:color w:val="000000"/>
                      <w:sz w:val="18"/>
                      <w:szCs w:val="18"/>
                      <w:lang w:val="en-GB" w:eastAsia="ru-RU"/>
                    </w:rPr>
                    <w:t>740</w:t>
                  </w:r>
                </w:p>
              </w:tc>
              <w:tc>
                <w:tcPr>
                  <w:tcW w:w="1075" w:type="dxa"/>
                  <w:tcBorders>
                    <w:top w:val="nil"/>
                    <w:left w:val="nil"/>
                    <w:bottom w:val="single" w:sz="4" w:space="0" w:color="auto"/>
                    <w:right w:val="single" w:sz="4" w:space="0" w:color="auto"/>
                  </w:tcBorders>
                  <w:shd w:val="clear" w:color="000000" w:fill="FFFFCC"/>
                  <w:vAlign w:val="center"/>
                  <w:hideMark/>
                </w:tcPr>
                <w:p w14:paraId="691AF0F8" w14:textId="7255A8B1" w:rsidR="00034548" w:rsidRPr="00045954" w:rsidRDefault="00034548" w:rsidP="00034548">
                  <w:pPr>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2</w:t>
                  </w:r>
                  <w:r w:rsidR="00850E4E">
                    <w:rPr>
                      <w:rFonts w:asciiTheme="minorHAnsi" w:eastAsia="Times New Roman" w:hAnsiTheme="minorHAnsi" w:cstheme="minorHAnsi"/>
                      <w:color w:val="000000"/>
                      <w:sz w:val="18"/>
                      <w:szCs w:val="18"/>
                      <w:lang w:val="en-GB" w:eastAsia="ru-RU"/>
                    </w:rPr>
                    <w:t>,</w:t>
                  </w:r>
                  <w:r w:rsidRPr="00045954">
                    <w:rPr>
                      <w:rFonts w:asciiTheme="minorHAnsi" w:eastAsia="Times New Roman" w:hAnsiTheme="minorHAnsi" w:cstheme="minorHAnsi"/>
                      <w:color w:val="000000"/>
                      <w:sz w:val="18"/>
                      <w:szCs w:val="18"/>
                      <w:lang w:val="en-GB" w:eastAsia="ru-RU"/>
                    </w:rPr>
                    <w:t>130</w:t>
                  </w:r>
                </w:p>
              </w:tc>
              <w:tc>
                <w:tcPr>
                  <w:tcW w:w="1075" w:type="dxa"/>
                  <w:tcBorders>
                    <w:top w:val="single" w:sz="4" w:space="0" w:color="auto"/>
                    <w:left w:val="nil"/>
                    <w:bottom w:val="single" w:sz="4" w:space="0" w:color="auto"/>
                    <w:right w:val="single" w:sz="4" w:space="0" w:color="auto"/>
                  </w:tcBorders>
                  <w:shd w:val="clear" w:color="000000" w:fill="FFFFCC"/>
                  <w:vAlign w:val="center"/>
                </w:tcPr>
                <w:p w14:paraId="499B476A" w14:textId="5B359086" w:rsidR="00034548" w:rsidRPr="00045954" w:rsidRDefault="00034548" w:rsidP="00034548">
                  <w:pPr>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2</w:t>
                  </w:r>
                  <w:r w:rsidR="00850E4E">
                    <w:rPr>
                      <w:rFonts w:asciiTheme="minorHAnsi" w:eastAsia="Times New Roman" w:hAnsiTheme="minorHAnsi" w:cstheme="minorHAnsi"/>
                      <w:color w:val="000000"/>
                      <w:sz w:val="18"/>
                      <w:szCs w:val="18"/>
                      <w:lang w:val="en-GB" w:eastAsia="ru-RU"/>
                    </w:rPr>
                    <w:t>,</w:t>
                  </w:r>
                  <w:r w:rsidRPr="00045954">
                    <w:rPr>
                      <w:rFonts w:asciiTheme="minorHAnsi" w:eastAsia="Times New Roman" w:hAnsiTheme="minorHAnsi" w:cstheme="minorHAnsi"/>
                      <w:color w:val="000000"/>
                      <w:sz w:val="18"/>
                      <w:szCs w:val="18"/>
                      <w:lang w:val="en-GB" w:eastAsia="ru-RU"/>
                    </w:rPr>
                    <w:t>130</w:t>
                  </w:r>
                </w:p>
              </w:tc>
              <w:tc>
                <w:tcPr>
                  <w:tcW w:w="1096" w:type="dxa"/>
                  <w:tcBorders>
                    <w:top w:val="nil"/>
                    <w:left w:val="single" w:sz="4" w:space="0" w:color="auto"/>
                    <w:bottom w:val="single" w:sz="4" w:space="0" w:color="auto"/>
                    <w:right w:val="single" w:sz="4" w:space="0" w:color="auto"/>
                  </w:tcBorders>
                  <w:shd w:val="clear" w:color="000000" w:fill="FFFFCC"/>
                  <w:vAlign w:val="center"/>
                  <w:hideMark/>
                </w:tcPr>
                <w:p w14:paraId="650F87DF" w14:textId="30F65932" w:rsidR="00034548" w:rsidRPr="00045954" w:rsidRDefault="00034548" w:rsidP="00034548">
                  <w:pPr>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hAnsiTheme="minorHAnsi" w:cstheme="minorHAnsi"/>
                      <w:sz w:val="18"/>
                      <w:szCs w:val="18"/>
                      <w:lang w:val="en-GB"/>
                    </w:rPr>
                    <w:t>8</w:t>
                  </w:r>
                  <w:r w:rsidR="00850E4E">
                    <w:rPr>
                      <w:rFonts w:asciiTheme="minorHAnsi" w:hAnsiTheme="minorHAnsi" w:cstheme="minorHAnsi"/>
                      <w:sz w:val="18"/>
                      <w:szCs w:val="18"/>
                      <w:lang w:val="en-GB"/>
                    </w:rPr>
                    <w:t>,</w:t>
                  </w:r>
                  <w:r w:rsidRPr="00045954">
                    <w:rPr>
                      <w:rFonts w:asciiTheme="minorHAnsi" w:hAnsiTheme="minorHAnsi" w:cstheme="minorHAnsi"/>
                      <w:sz w:val="18"/>
                      <w:szCs w:val="18"/>
                      <w:lang w:val="en-GB"/>
                    </w:rPr>
                    <w:t>810</w:t>
                  </w:r>
                </w:p>
              </w:tc>
            </w:tr>
            <w:tr w:rsidR="00034548" w:rsidRPr="00045954" w14:paraId="225B8FC1" w14:textId="77777777" w:rsidTr="00595CA8">
              <w:trPr>
                <w:trHeight w:val="265"/>
              </w:trPr>
              <w:tc>
                <w:tcPr>
                  <w:tcW w:w="2823" w:type="dxa"/>
                  <w:tcBorders>
                    <w:top w:val="nil"/>
                    <w:left w:val="single" w:sz="4" w:space="0" w:color="auto"/>
                    <w:bottom w:val="single" w:sz="4" w:space="0" w:color="auto"/>
                    <w:right w:val="single" w:sz="4" w:space="0" w:color="auto"/>
                  </w:tcBorders>
                  <w:shd w:val="clear" w:color="000000" w:fill="FFFFFF"/>
                  <w:vAlign w:val="center"/>
                  <w:hideMark/>
                </w:tcPr>
                <w:p w14:paraId="62466BFC" w14:textId="77777777" w:rsidR="00034548" w:rsidRPr="00045954" w:rsidRDefault="00034548" w:rsidP="00850E4E">
                  <w:pPr>
                    <w:spacing w:after="0" w:line="240" w:lineRule="auto"/>
                    <w:ind w:right="-81"/>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 xml:space="preserve">Preventative Therapy (PT) targets in contacts above 5 years of age / </w:t>
                  </w:r>
                </w:p>
              </w:tc>
              <w:tc>
                <w:tcPr>
                  <w:tcW w:w="1032" w:type="dxa"/>
                  <w:tcBorders>
                    <w:top w:val="nil"/>
                    <w:left w:val="nil"/>
                    <w:bottom w:val="single" w:sz="4" w:space="0" w:color="auto"/>
                    <w:right w:val="single" w:sz="4" w:space="0" w:color="auto"/>
                  </w:tcBorders>
                  <w:shd w:val="clear" w:color="000000" w:fill="FFFFFF"/>
                  <w:vAlign w:val="center"/>
                  <w:hideMark/>
                </w:tcPr>
                <w:p w14:paraId="42A999C2" w14:textId="77777777" w:rsidR="00034548" w:rsidRPr="00045954" w:rsidRDefault="00034548" w:rsidP="00034548">
                  <w:pPr>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646</w:t>
                  </w:r>
                </w:p>
              </w:tc>
              <w:tc>
                <w:tcPr>
                  <w:tcW w:w="1141" w:type="dxa"/>
                  <w:tcBorders>
                    <w:top w:val="nil"/>
                    <w:left w:val="nil"/>
                    <w:bottom w:val="single" w:sz="4" w:space="0" w:color="auto"/>
                    <w:right w:val="single" w:sz="4" w:space="0" w:color="auto"/>
                  </w:tcBorders>
                  <w:shd w:val="clear" w:color="000000" w:fill="FFFFFF"/>
                  <w:vAlign w:val="center"/>
                  <w:hideMark/>
                </w:tcPr>
                <w:p w14:paraId="7F7C80F0" w14:textId="77777777" w:rsidR="00034548" w:rsidRPr="00045954" w:rsidRDefault="00034548" w:rsidP="00034548">
                  <w:pPr>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964</w:t>
                  </w:r>
                </w:p>
              </w:tc>
              <w:tc>
                <w:tcPr>
                  <w:tcW w:w="1021" w:type="dxa"/>
                  <w:tcBorders>
                    <w:top w:val="nil"/>
                    <w:left w:val="nil"/>
                    <w:bottom w:val="single" w:sz="4" w:space="0" w:color="auto"/>
                    <w:right w:val="single" w:sz="4" w:space="0" w:color="auto"/>
                  </w:tcBorders>
                  <w:shd w:val="clear" w:color="000000" w:fill="FFFFFF"/>
                  <w:vAlign w:val="center"/>
                  <w:hideMark/>
                </w:tcPr>
                <w:p w14:paraId="666B72BE" w14:textId="75C897F2" w:rsidR="00034548" w:rsidRPr="00045954" w:rsidRDefault="00034548" w:rsidP="00034548">
                  <w:pPr>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2</w:t>
                  </w:r>
                  <w:r w:rsidR="00850E4E">
                    <w:rPr>
                      <w:rFonts w:asciiTheme="minorHAnsi" w:eastAsia="Times New Roman" w:hAnsiTheme="minorHAnsi" w:cstheme="minorHAnsi"/>
                      <w:color w:val="000000"/>
                      <w:sz w:val="18"/>
                      <w:szCs w:val="18"/>
                      <w:lang w:val="en-GB" w:eastAsia="ru-RU"/>
                    </w:rPr>
                    <w:t>,</w:t>
                  </w:r>
                  <w:r w:rsidRPr="00045954">
                    <w:rPr>
                      <w:rFonts w:asciiTheme="minorHAnsi" w:eastAsia="Times New Roman" w:hAnsiTheme="minorHAnsi" w:cstheme="minorHAnsi"/>
                      <w:color w:val="000000"/>
                      <w:sz w:val="18"/>
                      <w:szCs w:val="18"/>
                      <w:lang w:val="en-GB" w:eastAsia="ru-RU"/>
                    </w:rPr>
                    <w:t>018</w:t>
                  </w:r>
                </w:p>
              </w:tc>
              <w:tc>
                <w:tcPr>
                  <w:tcW w:w="998" w:type="dxa"/>
                  <w:tcBorders>
                    <w:top w:val="nil"/>
                    <w:left w:val="nil"/>
                    <w:bottom w:val="single" w:sz="4" w:space="0" w:color="auto"/>
                    <w:right w:val="single" w:sz="4" w:space="0" w:color="auto"/>
                  </w:tcBorders>
                  <w:shd w:val="clear" w:color="000000" w:fill="FFFFFF"/>
                  <w:vAlign w:val="center"/>
                  <w:hideMark/>
                </w:tcPr>
                <w:p w14:paraId="431DD118" w14:textId="2B7A1561" w:rsidR="00034548" w:rsidRPr="00045954" w:rsidRDefault="00034548" w:rsidP="00034548">
                  <w:pPr>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3</w:t>
                  </w:r>
                  <w:r w:rsidR="00850E4E">
                    <w:rPr>
                      <w:rFonts w:asciiTheme="minorHAnsi" w:eastAsia="Times New Roman" w:hAnsiTheme="minorHAnsi" w:cstheme="minorHAnsi"/>
                      <w:color w:val="000000"/>
                      <w:sz w:val="18"/>
                      <w:szCs w:val="18"/>
                      <w:lang w:val="en-GB" w:eastAsia="ru-RU"/>
                    </w:rPr>
                    <w:t>,</w:t>
                  </w:r>
                  <w:r w:rsidRPr="00045954">
                    <w:rPr>
                      <w:rFonts w:asciiTheme="minorHAnsi" w:eastAsia="Times New Roman" w:hAnsiTheme="minorHAnsi" w:cstheme="minorHAnsi"/>
                      <w:color w:val="000000"/>
                      <w:sz w:val="18"/>
                      <w:szCs w:val="18"/>
                      <w:lang w:val="en-GB" w:eastAsia="ru-RU"/>
                    </w:rPr>
                    <w:t>466</w:t>
                  </w:r>
                </w:p>
              </w:tc>
              <w:tc>
                <w:tcPr>
                  <w:tcW w:w="1075" w:type="dxa"/>
                  <w:tcBorders>
                    <w:top w:val="nil"/>
                    <w:left w:val="nil"/>
                    <w:bottom w:val="single" w:sz="4" w:space="0" w:color="auto"/>
                    <w:right w:val="single" w:sz="4" w:space="0" w:color="auto"/>
                  </w:tcBorders>
                  <w:shd w:val="clear" w:color="000000" w:fill="FFFFFF"/>
                  <w:vAlign w:val="center"/>
                  <w:hideMark/>
                </w:tcPr>
                <w:p w14:paraId="69EB5909" w14:textId="0592E476" w:rsidR="00034548" w:rsidRPr="00045954" w:rsidRDefault="00034548" w:rsidP="00034548">
                  <w:pPr>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4</w:t>
                  </w:r>
                  <w:r w:rsidR="00850E4E">
                    <w:rPr>
                      <w:rFonts w:asciiTheme="minorHAnsi" w:eastAsia="Times New Roman" w:hAnsiTheme="minorHAnsi" w:cstheme="minorHAnsi"/>
                      <w:color w:val="000000"/>
                      <w:sz w:val="18"/>
                      <w:szCs w:val="18"/>
                      <w:lang w:val="en-GB" w:eastAsia="ru-RU"/>
                    </w:rPr>
                    <w:t>,</w:t>
                  </w:r>
                  <w:r w:rsidRPr="00045954">
                    <w:rPr>
                      <w:rFonts w:asciiTheme="minorHAnsi" w:eastAsia="Times New Roman" w:hAnsiTheme="minorHAnsi" w:cstheme="minorHAnsi"/>
                      <w:color w:val="000000"/>
                      <w:sz w:val="18"/>
                      <w:szCs w:val="18"/>
                      <w:lang w:val="en-GB" w:eastAsia="ru-RU"/>
                    </w:rPr>
                    <w:t>453</w:t>
                  </w:r>
                </w:p>
              </w:tc>
              <w:tc>
                <w:tcPr>
                  <w:tcW w:w="1075" w:type="dxa"/>
                  <w:tcBorders>
                    <w:top w:val="single" w:sz="4" w:space="0" w:color="auto"/>
                    <w:left w:val="nil"/>
                    <w:bottom w:val="single" w:sz="4" w:space="0" w:color="auto"/>
                    <w:right w:val="single" w:sz="4" w:space="0" w:color="auto"/>
                  </w:tcBorders>
                  <w:shd w:val="clear" w:color="000000" w:fill="FFFFFF"/>
                  <w:vAlign w:val="center"/>
                </w:tcPr>
                <w:p w14:paraId="04C3ADE0" w14:textId="6F533B83" w:rsidR="00034548" w:rsidRPr="00045954" w:rsidRDefault="00034548" w:rsidP="00034548">
                  <w:pPr>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4</w:t>
                  </w:r>
                  <w:r w:rsidR="00850E4E">
                    <w:rPr>
                      <w:rFonts w:asciiTheme="minorHAnsi" w:eastAsia="Times New Roman" w:hAnsiTheme="minorHAnsi" w:cstheme="minorHAnsi"/>
                      <w:color w:val="000000"/>
                      <w:sz w:val="18"/>
                      <w:szCs w:val="18"/>
                      <w:lang w:val="en-GB" w:eastAsia="ru-RU"/>
                    </w:rPr>
                    <w:t>,</w:t>
                  </w:r>
                  <w:r w:rsidRPr="00045954">
                    <w:rPr>
                      <w:rFonts w:asciiTheme="minorHAnsi" w:eastAsia="Times New Roman" w:hAnsiTheme="minorHAnsi" w:cstheme="minorHAnsi"/>
                      <w:color w:val="000000"/>
                      <w:sz w:val="18"/>
                      <w:szCs w:val="18"/>
                      <w:lang w:val="en-GB" w:eastAsia="ru-RU"/>
                    </w:rPr>
                    <w:t>453</w:t>
                  </w:r>
                </w:p>
              </w:tc>
              <w:tc>
                <w:tcPr>
                  <w:tcW w:w="1096" w:type="dxa"/>
                  <w:tcBorders>
                    <w:top w:val="nil"/>
                    <w:left w:val="single" w:sz="4" w:space="0" w:color="auto"/>
                    <w:bottom w:val="single" w:sz="4" w:space="0" w:color="auto"/>
                    <w:right w:val="single" w:sz="4" w:space="0" w:color="auto"/>
                  </w:tcBorders>
                  <w:shd w:val="clear" w:color="000000" w:fill="FFFFFF"/>
                  <w:vAlign w:val="center"/>
                  <w:hideMark/>
                </w:tcPr>
                <w:p w14:paraId="61F22AA9" w14:textId="671EF6B7" w:rsidR="00034548" w:rsidRPr="00045954" w:rsidRDefault="00034548" w:rsidP="00034548">
                  <w:pPr>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hAnsiTheme="minorHAnsi" w:cstheme="minorHAnsi"/>
                      <w:sz w:val="18"/>
                      <w:szCs w:val="18"/>
                      <w:lang w:val="en-GB"/>
                    </w:rPr>
                    <w:t>16</w:t>
                  </w:r>
                  <w:r w:rsidR="00850E4E">
                    <w:rPr>
                      <w:rFonts w:asciiTheme="minorHAnsi" w:hAnsiTheme="minorHAnsi" w:cstheme="minorHAnsi"/>
                      <w:sz w:val="18"/>
                      <w:szCs w:val="18"/>
                      <w:lang w:val="en-GB"/>
                    </w:rPr>
                    <w:t>,</w:t>
                  </w:r>
                  <w:r w:rsidRPr="00045954">
                    <w:rPr>
                      <w:rFonts w:asciiTheme="minorHAnsi" w:hAnsiTheme="minorHAnsi" w:cstheme="minorHAnsi"/>
                      <w:sz w:val="18"/>
                      <w:szCs w:val="18"/>
                      <w:lang w:val="en-GB"/>
                    </w:rPr>
                    <w:t>000</w:t>
                  </w:r>
                </w:p>
              </w:tc>
            </w:tr>
            <w:tr w:rsidR="00034548" w:rsidRPr="00045954" w14:paraId="2AD0711E" w14:textId="77777777" w:rsidTr="00595CA8">
              <w:trPr>
                <w:trHeight w:val="585"/>
              </w:trPr>
              <w:tc>
                <w:tcPr>
                  <w:tcW w:w="2823" w:type="dxa"/>
                  <w:tcBorders>
                    <w:top w:val="nil"/>
                    <w:left w:val="single" w:sz="4" w:space="0" w:color="auto"/>
                    <w:bottom w:val="single" w:sz="4" w:space="0" w:color="auto"/>
                    <w:right w:val="single" w:sz="4" w:space="0" w:color="auto"/>
                  </w:tcBorders>
                  <w:shd w:val="clear" w:color="000000" w:fill="FFFFCC"/>
                  <w:vAlign w:val="center"/>
                  <w:hideMark/>
                </w:tcPr>
                <w:p w14:paraId="2DA6AA58" w14:textId="77777777" w:rsidR="00034548" w:rsidRPr="00045954" w:rsidRDefault="00034548" w:rsidP="00850E4E">
                  <w:pPr>
                    <w:spacing w:after="0" w:line="240" w:lineRule="auto"/>
                    <w:ind w:right="-81"/>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 xml:space="preserve">Preventative Therapy (PT) targets in PLHIV </w:t>
                  </w:r>
                </w:p>
              </w:tc>
              <w:tc>
                <w:tcPr>
                  <w:tcW w:w="1032" w:type="dxa"/>
                  <w:tcBorders>
                    <w:top w:val="nil"/>
                    <w:left w:val="nil"/>
                    <w:bottom w:val="single" w:sz="4" w:space="0" w:color="auto"/>
                    <w:right w:val="single" w:sz="4" w:space="0" w:color="auto"/>
                  </w:tcBorders>
                  <w:shd w:val="clear" w:color="000000" w:fill="FFFFCC"/>
                  <w:vAlign w:val="center"/>
                  <w:hideMark/>
                </w:tcPr>
                <w:p w14:paraId="6DE1B387" w14:textId="77777777" w:rsidR="00034548" w:rsidRPr="00045954" w:rsidRDefault="00034548" w:rsidP="00034548">
                  <w:pPr>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821</w:t>
                  </w:r>
                </w:p>
              </w:tc>
              <w:tc>
                <w:tcPr>
                  <w:tcW w:w="1141" w:type="dxa"/>
                  <w:tcBorders>
                    <w:top w:val="nil"/>
                    <w:left w:val="nil"/>
                    <w:bottom w:val="single" w:sz="4" w:space="0" w:color="auto"/>
                    <w:right w:val="single" w:sz="4" w:space="0" w:color="auto"/>
                  </w:tcBorders>
                  <w:shd w:val="clear" w:color="000000" w:fill="FFFFCC"/>
                  <w:vAlign w:val="center"/>
                  <w:hideMark/>
                </w:tcPr>
                <w:p w14:paraId="06B13FC7" w14:textId="77777777" w:rsidR="00034548" w:rsidRPr="00045954" w:rsidRDefault="00034548" w:rsidP="00034548">
                  <w:pPr>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600</w:t>
                  </w:r>
                </w:p>
              </w:tc>
              <w:tc>
                <w:tcPr>
                  <w:tcW w:w="1021" w:type="dxa"/>
                  <w:tcBorders>
                    <w:top w:val="nil"/>
                    <w:left w:val="nil"/>
                    <w:bottom w:val="single" w:sz="4" w:space="0" w:color="auto"/>
                    <w:right w:val="single" w:sz="4" w:space="0" w:color="auto"/>
                  </w:tcBorders>
                  <w:shd w:val="clear" w:color="000000" w:fill="FFFFCC"/>
                  <w:vAlign w:val="center"/>
                  <w:hideMark/>
                </w:tcPr>
                <w:p w14:paraId="58E860FA" w14:textId="77777777" w:rsidR="00034548" w:rsidRPr="00045954" w:rsidRDefault="00034548" w:rsidP="00034548">
                  <w:pPr>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692</w:t>
                  </w:r>
                </w:p>
              </w:tc>
              <w:tc>
                <w:tcPr>
                  <w:tcW w:w="998" w:type="dxa"/>
                  <w:tcBorders>
                    <w:top w:val="nil"/>
                    <w:left w:val="nil"/>
                    <w:bottom w:val="single" w:sz="4" w:space="0" w:color="auto"/>
                    <w:right w:val="single" w:sz="4" w:space="0" w:color="auto"/>
                  </w:tcBorders>
                  <w:shd w:val="clear" w:color="000000" w:fill="FFFFCC"/>
                  <w:vAlign w:val="center"/>
                  <w:hideMark/>
                </w:tcPr>
                <w:p w14:paraId="65DD2CB0" w14:textId="77777777" w:rsidR="00034548" w:rsidRPr="00045954" w:rsidRDefault="00034548" w:rsidP="00034548">
                  <w:pPr>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956</w:t>
                  </w:r>
                </w:p>
              </w:tc>
              <w:tc>
                <w:tcPr>
                  <w:tcW w:w="1075" w:type="dxa"/>
                  <w:tcBorders>
                    <w:top w:val="nil"/>
                    <w:left w:val="nil"/>
                    <w:bottom w:val="single" w:sz="4" w:space="0" w:color="auto"/>
                    <w:right w:val="single" w:sz="4" w:space="0" w:color="auto"/>
                  </w:tcBorders>
                  <w:shd w:val="clear" w:color="000000" w:fill="FFFFCC"/>
                  <w:vAlign w:val="center"/>
                  <w:hideMark/>
                </w:tcPr>
                <w:p w14:paraId="71083BEB" w14:textId="77777777" w:rsidR="00034548" w:rsidRPr="00045954" w:rsidRDefault="00034548" w:rsidP="00034548">
                  <w:pPr>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991</w:t>
                  </w:r>
                </w:p>
              </w:tc>
              <w:tc>
                <w:tcPr>
                  <w:tcW w:w="1075" w:type="dxa"/>
                  <w:tcBorders>
                    <w:top w:val="single" w:sz="4" w:space="0" w:color="auto"/>
                    <w:left w:val="nil"/>
                    <w:bottom w:val="single" w:sz="4" w:space="0" w:color="auto"/>
                    <w:right w:val="single" w:sz="4" w:space="0" w:color="auto"/>
                  </w:tcBorders>
                  <w:shd w:val="clear" w:color="000000" w:fill="FFFFCC"/>
                  <w:vAlign w:val="center"/>
                </w:tcPr>
                <w:p w14:paraId="63EF9A5C" w14:textId="77777777" w:rsidR="00034548" w:rsidRPr="00045954" w:rsidRDefault="00034548" w:rsidP="00034548">
                  <w:pPr>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991</w:t>
                  </w:r>
                </w:p>
              </w:tc>
              <w:tc>
                <w:tcPr>
                  <w:tcW w:w="1096" w:type="dxa"/>
                  <w:tcBorders>
                    <w:top w:val="nil"/>
                    <w:left w:val="single" w:sz="4" w:space="0" w:color="auto"/>
                    <w:bottom w:val="single" w:sz="4" w:space="0" w:color="auto"/>
                    <w:right w:val="single" w:sz="4" w:space="0" w:color="auto"/>
                  </w:tcBorders>
                  <w:shd w:val="clear" w:color="000000" w:fill="FFFFCC"/>
                  <w:vAlign w:val="center"/>
                  <w:hideMark/>
                </w:tcPr>
                <w:p w14:paraId="7A019C27" w14:textId="29EBBA80" w:rsidR="00034548" w:rsidRPr="00045954" w:rsidRDefault="00034548" w:rsidP="00034548">
                  <w:pPr>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hAnsiTheme="minorHAnsi" w:cstheme="minorHAnsi"/>
                      <w:sz w:val="18"/>
                      <w:szCs w:val="18"/>
                      <w:lang w:val="en-GB"/>
                    </w:rPr>
                    <w:t>5</w:t>
                  </w:r>
                  <w:r w:rsidR="00850E4E">
                    <w:rPr>
                      <w:rFonts w:asciiTheme="minorHAnsi" w:hAnsiTheme="minorHAnsi" w:cstheme="minorHAnsi"/>
                      <w:sz w:val="18"/>
                      <w:szCs w:val="18"/>
                      <w:lang w:val="en-GB"/>
                    </w:rPr>
                    <w:t>,</w:t>
                  </w:r>
                  <w:r w:rsidRPr="00045954">
                    <w:rPr>
                      <w:rFonts w:asciiTheme="minorHAnsi" w:hAnsiTheme="minorHAnsi" w:cstheme="minorHAnsi"/>
                      <w:sz w:val="18"/>
                      <w:szCs w:val="18"/>
                      <w:lang w:val="en-GB"/>
                    </w:rPr>
                    <w:t>051</w:t>
                  </w:r>
                </w:p>
              </w:tc>
            </w:tr>
            <w:tr w:rsidR="00034548" w:rsidRPr="00045954" w14:paraId="373A34AE" w14:textId="77777777" w:rsidTr="00595CA8">
              <w:trPr>
                <w:trHeight w:val="53"/>
              </w:trPr>
              <w:tc>
                <w:tcPr>
                  <w:tcW w:w="2823" w:type="dxa"/>
                  <w:tcBorders>
                    <w:top w:val="nil"/>
                    <w:left w:val="single" w:sz="4" w:space="0" w:color="auto"/>
                    <w:bottom w:val="single" w:sz="4" w:space="0" w:color="auto"/>
                    <w:right w:val="single" w:sz="4" w:space="0" w:color="auto"/>
                  </w:tcBorders>
                  <w:shd w:val="clear" w:color="000000" w:fill="FFFFFF"/>
                  <w:vAlign w:val="center"/>
                  <w:hideMark/>
                </w:tcPr>
                <w:p w14:paraId="19904393" w14:textId="77777777" w:rsidR="00034548" w:rsidRPr="00045954" w:rsidRDefault="00034548" w:rsidP="00850E4E">
                  <w:pPr>
                    <w:spacing w:after="0" w:line="240" w:lineRule="auto"/>
                    <w:ind w:right="-81"/>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 xml:space="preserve">Resources required for TB prevention and care </w:t>
                  </w:r>
                </w:p>
              </w:tc>
              <w:tc>
                <w:tcPr>
                  <w:tcW w:w="1032" w:type="dxa"/>
                  <w:tcBorders>
                    <w:top w:val="nil"/>
                    <w:left w:val="nil"/>
                    <w:bottom w:val="single" w:sz="4" w:space="0" w:color="auto"/>
                    <w:right w:val="single" w:sz="4" w:space="0" w:color="auto"/>
                  </w:tcBorders>
                  <w:shd w:val="clear" w:color="000000" w:fill="FFFFFF"/>
                  <w:vAlign w:val="center"/>
                  <w:hideMark/>
                </w:tcPr>
                <w:p w14:paraId="4E7D104E" w14:textId="6CC18AE4" w:rsidR="00034548" w:rsidRPr="00850E4E" w:rsidRDefault="00034548" w:rsidP="00034548">
                  <w:pPr>
                    <w:spacing w:after="0" w:line="240" w:lineRule="auto"/>
                    <w:ind w:firstLine="39"/>
                    <w:jc w:val="center"/>
                    <w:rPr>
                      <w:rFonts w:asciiTheme="minorHAnsi" w:eastAsia="Times New Roman" w:hAnsiTheme="minorHAnsi" w:cstheme="minorHAnsi"/>
                      <w:color w:val="000000"/>
                      <w:sz w:val="16"/>
                      <w:szCs w:val="16"/>
                      <w:lang w:val="en-GB" w:eastAsia="ru-RU"/>
                    </w:rPr>
                  </w:pPr>
                  <w:r w:rsidRPr="00850E4E">
                    <w:rPr>
                      <w:rFonts w:asciiTheme="minorHAnsi" w:eastAsia="Times New Roman" w:hAnsiTheme="minorHAnsi" w:cstheme="minorHAnsi"/>
                      <w:color w:val="000000"/>
                      <w:sz w:val="16"/>
                      <w:szCs w:val="16"/>
                      <w:lang w:val="en-GB" w:eastAsia="ru-RU"/>
                    </w:rPr>
                    <w:t>30</w:t>
                  </w:r>
                  <w:r w:rsidR="00850E4E" w:rsidRPr="00850E4E">
                    <w:rPr>
                      <w:rFonts w:asciiTheme="minorHAnsi" w:eastAsia="Times New Roman" w:hAnsiTheme="minorHAnsi" w:cstheme="minorHAnsi"/>
                      <w:color w:val="000000"/>
                      <w:sz w:val="16"/>
                      <w:szCs w:val="16"/>
                      <w:lang w:val="en-GB" w:eastAsia="ru-RU"/>
                    </w:rPr>
                    <w:t>,</w:t>
                  </w:r>
                  <w:r w:rsidRPr="00850E4E">
                    <w:rPr>
                      <w:rFonts w:asciiTheme="minorHAnsi" w:eastAsia="Times New Roman" w:hAnsiTheme="minorHAnsi" w:cstheme="minorHAnsi"/>
                      <w:color w:val="000000"/>
                      <w:sz w:val="16"/>
                      <w:szCs w:val="16"/>
                      <w:lang w:val="en-GB" w:eastAsia="ru-RU"/>
                    </w:rPr>
                    <w:t>384</w:t>
                  </w:r>
                  <w:r w:rsidR="00850E4E" w:rsidRPr="00850E4E">
                    <w:rPr>
                      <w:rFonts w:asciiTheme="minorHAnsi" w:eastAsia="Times New Roman" w:hAnsiTheme="minorHAnsi" w:cstheme="minorHAnsi"/>
                      <w:color w:val="000000"/>
                      <w:sz w:val="16"/>
                      <w:szCs w:val="16"/>
                      <w:lang w:val="en-GB" w:eastAsia="ru-RU"/>
                    </w:rPr>
                    <w:t>,</w:t>
                  </w:r>
                  <w:r w:rsidRPr="00850E4E">
                    <w:rPr>
                      <w:rFonts w:asciiTheme="minorHAnsi" w:eastAsia="Times New Roman" w:hAnsiTheme="minorHAnsi" w:cstheme="minorHAnsi"/>
                      <w:color w:val="000000"/>
                      <w:sz w:val="16"/>
                      <w:szCs w:val="16"/>
                      <w:lang w:val="en-GB" w:eastAsia="ru-RU"/>
                    </w:rPr>
                    <w:t>235</w:t>
                  </w:r>
                </w:p>
              </w:tc>
              <w:tc>
                <w:tcPr>
                  <w:tcW w:w="1141" w:type="dxa"/>
                  <w:tcBorders>
                    <w:top w:val="nil"/>
                    <w:left w:val="nil"/>
                    <w:bottom w:val="single" w:sz="4" w:space="0" w:color="auto"/>
                    <w:right w:val="single" w:sz="4" w:space="0" w:color="auto"/>
                  </w:tcBorders>
                  <w:shd w:val="clear" w:color="000000" w:fill="FFFFFF"/>
                  <w:vAlign w:val="center"/>
                  <w:hideMark/>
                </w:tcPr>
                <w:p w14:paraId="2EE75921" w14:textId="360B78DE" w:rsidR="00034548" w:rsidRPr="00850E4E" w:rsidRDefault="00034548" w:rsidP="00034548">
                  <w:pPr>
                    <w:spacing w:after="0" w:line="240" w:lineRule="auto"/>
                    <w:ind w:firstLine="39"/>
                    <w:jc w:val="center"/>
                    <w:rPr>
                      <w:rFonts w:asciiTheme="minorHAnsi" w:eastAsia="Times New Roman" w:hAnsiTheme="minorHAnsi" w:cstheme="minorHAnsi"/>
                      <w:color w:val="000000"/>
                      <w:sz w:val="16"/>
                      <w:szCs w:val="16"/>
                      <w:lang w:val="en-GB" w:eastAsia="ru-RU"/>
                    </w:rPr>
                  </w:pPr>
                  <w:r w:rsidRPr="00850E4E">
                    <w:rPr>
                      <w:rFonts w:asciiTheme="minorHAnsi" w:eastAsia="Times New Roman" w:hAnsiTheme="minorHAnsi" w:cstheme="minorHAnsi"/>
                      <w:color w:val="000000"/>
                      <w:sz w:val="16"/>
                      <w:szCs w:val="16"/>
                      <w:lang w:val="en-GB" w:eastAsia="ru-RU"/>
                    </w:rPr>
                    <w:t>38</w:t>
                  </w:r>
                  <w:r w:rsidR="00850E4E">
                    <w:rPr>
                      <w:rFonts w:asciiTheme="minorHAnsi" w:eastAsia="Times New Roman" w:hAnsiTheme="minorHAnsi" w:cstheme="minorHAnsi"/>
                      <w:color w:val="000000"/>
                      <w:sz w:val="16"/>
                      <w:szCs w:val="16"/>
                      <w:lang w:val="en-GB" w:eastAsia="ru-RU"/>
                    </w:rPr>
                    <w:t>,</w:t>
                  </w:r>
                  <w:r w:rsidRPr="00850E4E">
                    <w:rPr>
                      <w:rFonts w:asciiTheme="minorHAnsi" w:eastAsia="Times New Roman" w:hAnsiTheme="minorHAnsi" w:cstheme="minorHAnsi"/>
                      <w:color w:val="000000"/>
                      <w:sz w:val="16"/>
                      <w:szCs w:val="16"/>
                      <w:lang w:val="en-GB" w:eastAsia="ru-RU"/>
                    </w:rPr>
                    <w:t>441</w:t>
                  </w:r>
                  <w:r w:rsidR="00850E4E">
                    <w:rPr>
                      <w:rFonts w:asciiTheme="minorHAnsi" w:eastAsia="Times New Roman" w:hAnsiTheme="minorHAnsi" w:cstheme="minorHAnsi"/>
                      <w:color w:val="000000"/>
                      <w:sz w:val="16"/>
                      <w:szCs w:val="16"/>
                      <w:lang w:val="en-GB" w:eastAsia="ru-RU"/>
                    </w:rPr>
                    <w:t>,</w:t>
                  </w:r>
                  <w:r w:rsidRPr="00850E4E">
                    <w:rPr>
                      <w:rFonts w:asciiTheme="minorHAnsi" w:eastAsia="Times New Roman" w:hAnsiTheme="minorHAnsi" w:cstheme="minorHAnsi"/>
                      <w:color w:val="000000"/>
                      <w:sz w:val="16"/>
                      <w:szCs w:val="16"/>
                      <w:lang w:val="en-GB" w:eastAsia="ru-RU"/>
                    </w:rPr>
                    <w:t>780</w:t>
                  </w:r>
                </w:p>
              </w:tc>
              <w:tc>
                <w:tcPr>
                  <w:tcW w:w="1021" w:type="dxa"/>
                  <w:tcBorders>
                    <w:top w:val="nil"/>
                    <w:left w:val="nil"/>
                    <w:bottom w:val="single" w:sz="4" w:space="0" w:color="auto"/>
                    <w:right w:val="single" w:sz="4" w:space="0" w:color="auto"/>
                  </w:tcBorders>
                  <w:shd w:val="clear" w:color="000000" w:fill="FFFFFF"/>
                  <w:vAlign w:val="center"/>
                  <w:hideMark/>
                </w:tcPr>
                <w:p w14:paraId="7C5303D4" w14:textId="3FF0E1F9" w:rsidR="00034548" w:rsidRPr="00850E4E" w:rsidRDefault="00034548" w:rsidP="00034548">
                  <w:pPr>
                    <w:spacing w:after="0" w:line="240" w:lineRule="auto"/>
                    <w:ind w:firstLine="39"/>
                    <w:jc w:val="center"/>
                    <w:rPr>
                      <w:rFonts w:asciiTheme="minorHAnsi" w:eastAsia="Times New Roman" w:hAnsiTheme="minorHAnsi" w:cstheme="minorHAnsi"/>
                      <w:color w:val="000000"/>
                      <w:sz w:val="16"/>
                      <w:szCs w:val="16"/>
                      <w:lang w:val="en-GB" w:eastAsia="ru-RU"/>
                    </w:rPr>
                  </w:pPr>
                  <w:r w:rsidRPr="00850E4E">
                    <w:rPr>
                      <w:rFonts w:asciiTheme="minorHAnsi" w:eastAsia="Times New Roman" w:hAnsiTheme="minorHAnsi" w:cstheme="minorHAnsi"/>
                      <w:color w:val="000000"/>
                      <w:sz w:val="16"/>
                      <w:szCs w:val="16"/>
                      <w:lang w:val="en-GB" w:eastAsia="ru-RU"/>
                    </w:rPr>
                    <w:t>43</w:t>
                  </w:r>
                  <w:r w:rsidR="00850E4E">
                    <w:rPr>
                      <w:rFonts w:asciiTheme="minorHAnsi" w:eastAsia="Times New Roman" w:hAnsiTheme="minorHAnsi" w:cstheme="minorHAnsi"/>
                      <w:color w:val="000000"/>
                      <w:sz w:val="16"/>
                      <w:szCs w:val="16"/>
                      <w:lang w:val="en-GB" w:eastAsia="ru-RU"/>
                    </w:rPr>
                    <w:t>,</w:t>
                  </w:r>
                  <w:r w:rsidRPr="00850E4E">
                    <w:rPr>
                      <w:rFonts w:asciiTheme="minorHAnsi" w:eastAsia="Times New Roman" w:hAnsiTheme="minorHAnsi" w:cstheme="minorHAnsi"/>
                      <w:color w:val="000000"/>
                      <w:sz w:val="16"/>
                      <w:szCs w:val="16"/>
                      <w:lang w:val="en-GB" w:eastAsia="ru-RU"/>
                    </w:rPr>
                    <w:t>892</w:t>
                  </w:r>
                  <w:r w:rsidR="00850E4E">
                    <w:rPr>
                      <w:rFonts w:asciiTheme="minorHAnsi" w:eastAsia="Times New Roman" w:hAnsiTheme="minorHAnsi" w:cstheme="minorHAnsi"/>
                      <w:color w:val="000000"/>
                      <w:sz w:val="16"/>
                      <w:szCs w:val="16"/>
                      <w:lang w:val="en-GB" w:eastAsia="ru-RU"/>
                    </w:rPr>
                    <w:t>,</w:t>
                  </w:r>
                  <w:r w:rsidRPr="00850E4E">
                    <w:rPr>
                      <w:rFonts w:asciiTheme="minorHAnsi" w:eastAsia="Times New Roman" w:hAnsiTheme="minorHAnsi" w:cstheme="minorHAnsi"/>
                      <w:color w:val="000000"/>
                      <w:sz w:val="16"/>
                      <w:szCs w:val="16"/>
                      <w:lang w:val="en-GB" w:eastAsia="ru-RU"/>
                    </w:rPr>
                    <w:t>647</w:t>
                  </w:r>
                </w:p>
              </w:tc>
              <w:tc>
                <w:tcPr>
                  <w:tcW w:w="998" w:type="dxa"/>
                  <w:tcBorders>
                    <w:top w:val="nil"/>
                    <w:left w:val="nil"/>
                    <w:bottom w:val="single" w:sz="4" w:space="0" w:color="auto"/>
                    <w:right w:val="single" w:sz="4" w:space="0" w:color="auto"/>
                  </w:tcBorders>
                  <w:shd w:val="clear" w:color="000000" w:fill="FFFFFF"/>
                  <w:vAlign w:val="center"/>
                  <w:hideMark/>
                </w:tcPr>
                <w:p w14:paraId="17C6C8BD" w14:textId="57D0E005" w:rsidR="00034548" w:rsidRPr="00850E4E" w:rsidRDefault="00034548" w:rsidP="00034548">
                  <w:pPr>
                    <w:spacing w:after="0" w:line="240" w:lineRule="auto"/>
                    <w:ind w:firstLine="39"/>
                    <w:jc w:val="center"/>
                    <w:rPr>
                      <w:rFonts w:asciiTheme="minorHAnsi" w:eastAsia="Times New Roman" w:hAnsiTheme="minorHAnsi" w:cstheme="minorHAnsi"/>
                      <w:color w:val="000000"/>
                      <w:sz w:val="16"/>
                      <w:szCs w:val="16"/>
                      <w:lang w:val="en-GB" w:eastAsia="ru-RU"/>
                    </w:rPr>
                  </w:pPr>
                  <w:r w:rsidRPr="00850E4E">
                    <w:rPr>
                      <w:rFonts w:asciiTheme="minorHAnsi" w:eastAsia="Times New Roman" w:hAnsiTheme="minorHAnsi" w:cstheme="minorHAnsi"/>
                      <w:color w:val="000000"/>
                      <w:sz w:val="16"/>
                      <w:szCs w:val="16"/>
                      <w:lang w:val="en-GB" w:eastAsia="ru-RU"/>
                    </w:rPr>
                    <w:t>47</w:t>
                  </w:r>
                  <w:r w:rsidR="00850E4E">
                    <w:rPr>
                      <w:rFonts w:asciiTheme="minorHAnsi" w:eastAsia="Times New Roman" w:hAnsiTheme="minorHAnsi" w:cstheme="minorHAnsi"/>
                      <w:color w:val="000000"/>
                      <w:sz w:val="16"/>
                      <w:szCs w:val="16"/>
                      <w:lang w:val="en-GB" w:eastAsia="ru-RU"/>
                    </w:rPr>
                    <w:t>,</w:t>
                  </w:r>
                  <w:r w:rsidRPr="00850E4E">
                    <w:rPr>
                      <w:rFonts w:asciiTheme="minorHAnsi" w:eastAsia="Times New Roman" w:hAnsiTheme="minorHAnsi" w:cstheme="minorHAnsi"/>
                      <w:color w:val="000000"/>
                      <w:sz w:val="16"/>
                      <w:szCs w:val="16"/>
                      <w:lang w:val="en-GB" w:eastAsia="ru-RU"/>
                    </w:rPr>
                    <w:t>441</w:t>
                  </w:r>
                  <w:r w:rsidR="00850E4E">
                    <w:rPr>
                      <w:rFonts w:asciiTheme="minorHAnsi" w:eastAsia="Times New Roman" w:hAnsiTheme="minorHAnsi" w:cstheme="minorHAnsi"/>
                      <w:color w:val="000000"/>
                      <w:sz w:val="16"/>
                      <w:szCs w:val="16"/>
                      <w:lang w:val="en-GB" w:eastAsia="ru-RU"/>
                    </w:rPr>
                    <w:t>,</w:t>
                  </w:r>
                  <w:r w:rsidRPr="00850E4E">
                    <w:rPr>
                      <w:rFonts w:asciiTheme="minorHAnsi" w:eastAsia="Times New Roman" w:hAnsiTheme="minorHAnsi" w:cstheme="minorHAnsi"/>
                      <w:color w:val="000000"/>
                      <w:sz w:val="16"/>
                      <w:szCs w:val="16"/>
                      <w:lang w:val="en-GB" w:eastAsia="ru-RU"/>
                    </w:rPr>
                    <w:t>192</w:t>
                  </w:r>
                </w:p>
              </w:tc>
              <w:tc>
                <w:tcPr>
                  <w:tcW w:w="1075" w:type="dxa"/>
                  <w:tcBorders>
                    <w:top w:val="nil"/>
                    <w:left w:val="nil"/>
                    <w:bottom w:val="single" w:sz="4" w:space="0" w:color="auto"/>
                    <w:right w:val="single" w:sz="4" w:space="0" w:color="auto"/>
                  </w:tcBorders>
                  <w:shd w:val="clear" w:color="000000" w:fill="FFFFFF"/>
                  <w:vAlign w:val="center"/>
                  <w:hideMark/>
                </w:tcPr>
                <w:p w14:paraId="400FC3B7" w14:textId="409EC07E" w:rsidR="00034548" w:rsidRPr="00850E4E" w:rsidRDefault="00034548" w:rsidP="00034548">
                  <w:pPr>
                    <w:spacing w:after="0" w:line="240" w:lineRule="auto"/>
                    <w:ind w:firstLine="39"/>
                    <w:jc w:val="center"/>
                    <w:rPr>
                      <w:rFonts w:asciiTheme="minorHAnsi" w:eastAsia="Times New Roman" w:hAnsiTheme="minorHAnsi" w:cstheme="minorHAnsi"/>
                      <w:color w:val="000000"/>
                      <w:sz w:val="16"/>
                      <w:szCs w:val="16"/>
                      <w:lang w:val="en-GB" w:eastAsia="ru-RU"/>
                    </w:rPr>
                  </w:pPr>
                  <w:r w:rsidRPr="00850E4E">
                    <w:rPr>
                      <w:rFonts w:asciiTheme="minorHAnsi" w:eastAsia="Times New Roman" w:hAnsiTheme="minorHAnsi" w:cstheme="minorHAnsi"/>
                      <w:color w:val="000000"/>
                      <w:sz w:val="16"/>
                      <w:szCs w:val="16"/>
                      <w:lang w:val="en-GB" w:eastAsia="ru-RU"/>
                    </w:rPr>
                    <w:t>47</w:t>
                  </w:r>
                  <w:r w:rsidR="00850E4E">
                    <w:rPr>
                      <w:rFonts w:asciiTheme="minorHAnsi" w:eastAsia="Times New Roman" w:hAnsiTheme="minorHAnsi" w:cstheme="minorHAnsi"/>
                      <w:color w:val="000000"/>
                      <w:sz w:val="16"/>
                      <w:szCs w:val="16"/>
                      <w:lang w:val="en-GB" w:eastAsia="ru-RU"/>
                    </w:rPr>
                    <w:t>,</w:t>
                  </w:r>
                  <w:r w:rsidRPr="00850E4E">
                    <w:rPr>
                      <w:rFonts w:asciiTheme="minorHAnsi" w:eastAsia="Times New Roman" w:hAnsiTheme="minorHAnsi" w:cstheme="minorHAnsi"/>
                      <w:color w:val="000000"/>
                      <w:sz w:val="16"/>
                      <w:szCs w:val="16"/>
                      <w:lang w:val="en-GB" w:eastAsia="ru-RU"/>
                    </w:rPr>
                    <w:t>994</w:t>
                  </w:r>
                  <w:r w:rsidR="00850E4E">
                    <w:rPr>
                      <w:rFonts w:asciiTheme="minorHAnsi" w:eastAsia="Times New Roman" w:hAnsiTheme="minorHAnsi" w:cstheme="minorHAnsi"/>
                      <w:color w:val="000000"/>
                      <w:sz w:val="16"/>
                      <w:szCs w:val="16"/>
                      <w:lang w:val="en-GB" w:eastAsia="ru-RU"/>
                    </w:rPr>
                    <w:t>,</w:t>
                  </w:r>
                  <w:r w:rsidRPr="00850E4E">
                    <w:rPr>
                      <w:rFonts w:asciiTheme="minorHAnsi" w:eastAsia="Times New Roman" w:hAnsiTheme="minorHAnsi" w:cstheme="minorHAnsi"/>
                      <w:color w:val="000000"/>
                      <w:sz w:val="16"/>
                      <w:szCs w:val="16"/>
                      <w:lang w:val="en-GB" w:eastAsia="ru-RU"/>
                    </w:rPr>
                    <w:t>462</w:t>
                  </w:r>
                </w:p>
              </w:tc>
              <w:tc>
                <w:tcPr>
                  <w:tcW w:w="1075" w:type="dxa"/>
                  <w:tcBorders>
                    <w:top w:val="single" w:sz="4" w:space="0" w:color="auto"/>
                    <w:left w:val="nil"/>
                    <w:bottom w:val="single" w:sz="4" w:space="0" w:color="auto"/>
                    <w:right w:val="single" w:sz="4" w:space="0" w:color="auto"/>
                  </w:tcBorders>
                  <w:shd w:val="clear" w:color="000000" w:fill="FFFFFF"/>
                  <w:vAlign w:val="center"/>
                </w:tcPr>
                <w:p w14:paraId="37D42124" w14:textId="58A7832E" w:rsidR="00034548" w:rsidRPr="00850E4E" w:rsidRDefault="00034548" w:rsidP="00034548">
                  <w:pPr>
                    <w:spacing w:after="0" w:line="240" w:lineRule="auto"/>
                    <w:ind w:firstLine="39"/>
                    <w:jc w:val="center"/>
                    <w:rPr>
                      <w:rFonts w:asciiTheme="minorHAnsi" w:eastAsia="Times New Roman" w:hAnsiTheme="minorHAnsi" w:cstheme="minorHAnsi"/>
                      <w:color w:val="000000"/>
                      <w:sz w:val="16"/>
                      <w:szCs w:val="16"/>
                      <w:lang w:val="en-GB" w:eastAsia="ru-RU"/>
                    </w:rPr>
                  </w:pPr>
                  <w:r w:rsidRPr="00850E4E">
                    <w:rPr>
                      <w:rFonts w:asciiTheme="minorHAnsi" w:eastAsia="Times New Roman" w:hAnsiTheme="minorHAnsi" w:cstheme="minorHAnsi"/>
                      <w:color w:val="000000"/>
                      <w:sz w:val="16"/>
                      <w:szCs w:val="16"/>
                      <w:lang w:val="en-GB" w:eastAsia="ru-RU"/>
                    </w:rPr>
                    <w:t>47</w:t>
                  </w:r>
                  <w:r w:rsidR="00850E4E">
                    <w:rPr>
                      <w:rFonts w:asciiTheme="minorHAnsi" w:eastAsia="Times New Roman" w:hAnsiTheme="minorHAnsi" w:cstheme="minorHAnsi"/>
                      <w:color w:val="000000"/>
                      <w:sz w:val="16"/>
                      <w:szCs w:val="16"/>
                      <w:lang w:val="en-GB" w:eastAsia="ru-RU"/>
                    </w:rPr>
                    <w:t>,</w:t>
                  </w:r>
                  <w:r w:rsidRPr="00850E4E">
                    <w:rPr>
                      <w:rFonts w:asciiTheme="minorHAnsi" w:eastAsia="Times New Roman" w:hAnsiTheme="minorHAnsi" w:cstheme="minorHAnsi"/>
                      <w:color w:val="000000"/>
                      <w:sz w:val="16"/>
                      <w:szCs w:val="16"/>
                      <w:lang w:val="en-GB" w:eastAsia="ru-RU"/>
                    </w:rPr>
                    <w:t>994</w:t>
                  </w:r>
                  <w:r w:rsidR="00850E4E">
                    <w:rPr>
                      <w:rFonts w:asciiTheme="minorHAnsi" w:eastAsia="Times New Roman" w:hAnsiTheme="minorHAnsi" w:cstheme="minorHAnsi"/>
                      <w:color w:val="000000"/>
                      <w:sz w:val="16"/>
                      <w:szCs w:val="16"/>
                      <w:lang w:val="en-GB" w:eastAsia="ru-RU"/>
                    </w:rPr>
                    <w:t>,</w:t>
                  </w:r>
                  <w:r w:rsidRPr="00850E4E">
                    <w:rPr>
                      <w:rFonts w:asciiTheme="minorHAnsi" w:eastAsia="Times New Roman" w:hAnsiTheme="minorHAnsi" w:cstheme="minorHAnsi"/>
                      <w:color w:val="000000"/>
                      <w:sz w:val="16"/>
                      <w:szCs w:val="16"/>
                      <w:lang w:val="en-GB" w:eastAsia="ru-RU"/>
                    </w:rPr>
                    <w:t>462</w:t>
                  </w:r>
                </w:p>
              </w:tc>
              <w:tc>
                <w:tcPr>
                  <w:tcW w:w="1096" w:type="dxa"/>
                  <w:tcBorders>
                    <w:top w:val="nil"/>
                    <w:left w:val="single" w:sz="4" w:space="0" w:color="auto"/>
                    <w:bottom w:val="single" w:sz="4" w:space="0" w:color="auto"/>
                    <w:right w:val="single" w:sz="4" w:space="0" w:color="auto"/>
                  </w:tcBorders>
                  <w:shd w:val="clear" w:color="000000" w:fill="FFFFFF"/>
                  <w:vAlign w:val="center"/>
                  <w:hideMark/>
                </w:tcPr>
                <w:p w14:paraId="60083DDD" w14:textId="6400F0EB" w:rsidR="00034548" w:rsidRPr="00850E4E" w:rsidRDefault="00034548" w:rsidP="00034548">
                  <w:pPr>
                    <w:spacing w:after="0" w:line="240" w:lineRule="auto"/>
                    <w:ind w:firstLine="39"/>
                    <w:jc w:val="center"/>
                    <w:rPr>
                      <w:rFonts w:asciiTheme="minorHAnsi" w:eastAsia="Times New Roman" w:hAnsiTheme="minorHAnsi" w:cstheme="minorHAnsi"/>
                      <w:color w:val="000000"/>
                      <w:sz w:val="16"/>
                      <w:szCs w:val="16"/>
                      <w:lang w:val="en-GB" w:eastAsia="ru-RU"/>
                    </w:rPr>
                  </w:pPr>
                  <w:r w:rsidRPr="00850E4E">
                    <w:rPr>
                      <w:rFonts w:asciiTheme="minorHAnsi" w:hAnsiTheme="minorHAnsi" w:cstheme="minorHAnsi"/>
                      <w:sz w:val="16"/>
                      <w:szCs w:val="16"/>
                      <w:lang w:val="en-GB"/>
                    </w:rPr>
                    <w:t>256</w:t>
                  </w:r>
                  <w:r w:rsidR="00850E4E">
                    <w:rPr>
                      <w:rFonts w:asciiTheme="minorHAnsi" w:hAnsiTheme="minorHAnsi" w:cstheme="minorHAnsi"/>
                      <w:sz w:val="16"/>
                      <w:szCs w:val="16"/>
                      <w:lang w:val="en-GB"/>
                    </w:rPr>
                    <w:t>,</w:t>
                  </w:r>
                  <w:r w:rsidRPr="00850E4E">
                    <w:rPr>
                      <w:rFonts w:asciiTheme="minorHAnsi" w:hAnsiTheme="minorHAnsi" w:cstheme="minorHAnsi"/>
                      <w:sz w:val="16"/>
                      <w:szCs w:val="16"/>
                      <w:lang w:val="en-GB"/>
                    </w:rPr>
                    <w:t>148</w:t>
                  </w:r>
                  <w:r w:rsidR="00850E4E">
                    <w:rPr>
                      <w:rFonts w:asciiTheme="minorHAnsi" w:hAnsiTheme="minorHAnsi" w:cstheme="minorHAnsi"/>
                      <w:sz w:val="16"/>
                      <w:szCs w:val="16"/>
                      <w:lang w:val="en-GB"/>
                    </w:rPr>
                    <w:t>,</w:t>
                  </w:r>
                  <w:r w:rsidRPr="00850E4E">
                    <w:rPr>
                      <w:rFonts w:asciiTheme="minorHAnsi" w:hAnsiTheme="minorHAnsi" w:cstheme="minorHAnsi"/>
                      <w:sz w:val="16"/>
                      <w:szCs w:val="16"/>
                      <w:lang w:val="en-GB"/>
                    </w:rPr>
                    <w:t>778</w:t>
                  </w:r>
                </w:p>
              </w:tc>
            </w:tr>
            <w:tr w:rsidR="00034548" w:rsidRPr="00045954" w14:paraId="1CA5D942" w14:textId="77777777" w:rsidTr="00595CA8">
              <w:trPr>
                <w:trHeight w:val="120"/>
              </w:trPr>
              <w:tc>
                <w:tcPr>
                  <w:tcW w:w="2823" w:type="dxa"/>
                  <w:tcBorders>
                    <w:top w:val="nil"/>
                    <w:left w:val="single" w:sz="4" w:space="0" w:color="auto"/>
                    <w:bottom w:val="single" w:sz="4" w:space="0" w:color="auto"/>
                    <w:right w:val="single" w:sz="4" w:space="0" w:color="auto"/>
                  </w:tcBorders>
                  <w:shd w:val="clear" w:color="000000" w:fill="FFFFCC"/>
                  <w:vAlign w:val="center"/>
                  <w:hideMark/>
                </w:tcPr>
                <w:p w14:paraId="4F03D88B" w14:textId="77777777" w:rsidR="00034548" w:rsidRPr="00045954" w:rsidRDefault="00034548" w:rsidP="00850E4E">
                  <w:pPr>
                    <w:spacing w:after="0" w:line="240" w:lineRule="auto"/>
                    <w:ind w:right="-81"/>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 xml:space="preserve">TB diagnosis and treatment targets / </w:t>
                  </w:r>
                </w:p>
              </w:tc>
              <w:tc>
                <w:tcPr>
                  <w:tcW w:w="1032" w:type="dxa"/>
                  <w:tcBorders>
                    <w:top w:val="nil"/>
                    <w:left w:val="nil"/>
                    <w:bottom w:val="single" w:sz="4" w:space="0" w:color="auto"/>
                    <w:right w:val="single" w:sz="4" w:space="0" w:color="auto"/>
                  </w:tcBorders>
                  <w:shd w:val="clear" w:color="000000" w:fill="FFFFCC"/>
                  <w:vAlign w:val="center"/>
                  <w:hideMark/>
                </w:tcPr>
                <w:p w14:paraId="61972476" w14:textId="13275512" w:rsidR="00034548" w:rsidRPr="00045954" w:rsidRDefault="00034548" w:rsidP="00034548">
                  <w:pPr>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7</w:t>
                  </w:r>
                  <w:r w:rsidR="00850E4E">
                    <w:rPr>
                      <w:rFonts w:asciiTheme="minorHAnsi" w:eastAsia="Times New Roman" w:hAnsiTheme="minorHAnsi" w:cstheme="minorHAnsi"/>
                      <w:color w:val="000000"/>
                      <w:sz w:val="18"/>
                      <w:szCs w:val="18"/>
                      <w:lang w:val="en-GB" w:eastAsia="ru-RU"/>
                    </w:rPr>
                    <w:t>,</w:t>
                  </w:r>
                  <w:r w:rsidRPr="00045954">
                    <w:rPr>
                      <w:rFonts w:asciiTheme="minorHAnsi" w:eastAsia="Times New Roman" w:hAnsiTheme="minorHAnsi" w:cstheme="minorHAnsi"/>
                      <w:color w:val="000000"/>
                      <w:sz w:val="18"/>
                      <w:szCs w:val="18"/>
                      <w:lang w:val="en-GB" w:eastAsia="ru-RU"/>
                    </w:rPr>
                    <w:t>600</w:t>
                  </w:r>
                </w:p>
              </w:tc>
              <w:tc>
                <w:tcPr>
                  <w:tcW w:w="1141" w:type="dxa"/>
                  <w:tcBorders>
                    <w:top w:val="nil"/>
                    <w:left w:val="nil"/>
                    <w:bottom w:val="single" w:sz="4" w:space="0" w:color="auto"/>
                    <w:right w:val="single" w:sz="4" w:space="0" w:color="auto"/>
                  </w:tcBorders>
                  <w:shd w:val="clear" w:color="000000" w:fill="FFFFCC"/>
                  <w:vAlign w:val="center"/>
                  <w:hideMark/>
                </w:tcPr>
                <w:p w14:paraId="7E5EA625" w14:textId="36F93B4D" w:rsidR="00034548" w:rsidRPr="00045954" w:rsidRDefault="00034548" w:rsidP="00034548">
                  <w:pPr>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7</w:t>
                  </w:r>
                  <w:r w:rsidR="00850E4E">
                    <w:rPr>
                      <w:rFonts w:asciiTheme="minorHAnsi" w:eastAsia="Times New Roman" w:hAnsiTheme="minorHAnsi" w:cstheme="minorHAnsi"/>
                      <w:color w:val="000000"/>
                      <w:sz w:val="18"/>
                      <w:szCs w:val="18"/>
                      <w:lang w:val="en-GB" w:eastAsia="ru-RU"/>
                    </w:rPr>
                    <w:t>,</w:t>
                  </w:r>
                  <w:r w:rsidRPr="00045954">
                    <w:rPr>
                      <w:rFonts w:asciiTheme="minorHAnsi" w:eastAsia="Times New Roman" w:hAnsiTheme="minorHAnsi" w:cstheme="minorHAnsi"/>
                      <w:color w:val="000000"/>
                      <w:sz w:val="18"/>
                      <w:szCs w:val="18"/>
                      <w:lang w:val="en-GB" w:eastAsia="ru-RU"/>
                    </w:rPr>
                    <w:t>300</w:t>
                  </w:r>
                </w:p>
              </w:tc>
              <w:tc>
                <w:tcPr>
                  <w:tcW w:w="1021" w:type="dxa"/>
                  <w:tcBorders>
                    <w:top w:val="nil"/>
                    <w:left w:val="nil"/>
                    <w:bottom w:val="single" w:sz="4" w:space="0" w:color="auto"/>
                    <w:right w:val="single" w:sz="4" w:space="0" w:color="auto"/>
                  </w:tcBorders>
                  <w:shd w:val="clear" w:color="000000" w:fill="FFFFCC"/>
                  <w:vAlign w:val="center"/>
                  <w:hideMark/>
                </w:tcPr>
                <w:p w14:paraId="1018CD22" w14:textId="3CDC3691" w:rsidR="00034548" w:rsidRPr="00045954" w:rsidRDefault="00034548" w:rsidP="00034548">
                  <w:pPr>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6</w:t>
                  </w:r>
                  <w:r w:rsidR="00850E4E">
                    <w:rPr>
                      <w:rFonts w:asciiTheme="minorHAnsi" w:eastAsia="Times New Roman" w:hAnsiTheme="minorHAnsi" w:cstheme="minorHAnsi"/>
                      <w:color w:val="000000"/>
                      <w:sz w:val="18"/>
                      <w:szCs w:val="18"/>
                      <w:lang w:val="en-GB" w:eastAsia="ru-RU"/>
                    </w:rPr>
                    <w:t>,</w:t>
                  </w:r>
                  <w:r w:rsidRPr="00045954">
                    <w:rPr>
                      <w:rFonts w:asciiTheme="minorHAnsi" w:eastAsia="Times New Roman" w:hAnsiTheme="minorHAnsi" w:cstheme="minorHAnsi"/>
                      <w:color w:val="000000"/>
                      <w:sz w:val="18"/>
                      <w:szCs w:val="18"/>
                      <w:lang w:val="en-GB" w:eastAsia="ru-RU"/>
                    </w:rPr>
                    <w:t>900</w:t>
                  </w:r>
                </w:p>
              </w:tc>
              <w:tc>
                <w:tcPr>
                  <w:tcW w:w="998" w:type="dxa"/>
                  <w:tcBorders>
                    <w:top w:val="nil"/>
                    <w:left w:val="nil"/>
                    <w:bottom w:val="single" w:sz="4" w:space="0" w:color="auto"/>
                    <w:right w:val="single" w:sz="4" w:space="0" w:color="auto"/>
                  </w:tcBorders>
                  <w:shd w:val="clear" w:color="000000" w:fill="FFFFCC"/>
                  <w:vAlign w:val="center"/>
                  <w:hideMark/>
                </w:tcPr>
                <w:p w14:paraId="22825636" w14:textId="412D2F73" w:rsidR="00034548" w:rsidRPr="00045954" w:rsidRDefault="00034548" w:rsidP="00034548">
                  <w:pPr>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6</w:t>
                  </w:r>
                  <w:r w:rsidR="00850E4E">
                    <w:rPr>
                      <w:rFonts w:asciiTheme="minorHAnsi" w:eastAsia="Times New Roman" w:hAnsiTheme="minorHAnsi" w:cstheme="minorHAnsi"/>
                      <w:color w:val="000000"/>
                      <w:sz w:val="18"/>
                      <w:szCs w:val="18"/>
                      <w:lang w:val="en-GB" w:eastAsia="ru-RU"/>
                    </w:rPr>
                    <w:t>,</w:t>
                  </w:r>
                  <w:r w:rsidRPr="00045954">
                    <w:rPr>
                      <w:rFonts w:asciiTheme="minorHAnsi" w:eastAsia="Times New Roman" w:hAnsiTheme="minorHAnsi" w:cstheme="minorHAnsi"/>
                      <w:color w:val="000000"/>
                      <w:sz w:val="18"/>
                      <w:szCs w:val="18"/>
                      <w:lang w:val="en-GB" w:eastAsia="ru-RU"/>
                    </w:rPr>
                    <w:t>500</w:t>
                  </w:r>
                </w:p>
              </w:tc>
              <w:tc>
                <w:tcPr>
                  <w:tcW w:w="1075" w:type="dxa"/>
                  <w:tcBorders>
                    <w:top w:val="nil"/>
                    <w:left w:val="nil"/>
                    <w:bottom w:val="single" w:sz="4" w:space="0" w:color="auto"/>
                    <w:right w:val="single" w:sz="4" w:space="0" w:color="auto"/>
                  </w:tcBorders>
                  <w:shd w:val="clear" w:color="000000" w:fill="FFFFCC"/>
                  <w:vAlign w:val="center"/>
                  <w:hideMark/>
                </w:tcPr>
                <w:p w14:paraId="7D322CAE" w14:textId="06B037D0" w:rsidR="00034548" w:rsidRPr="00045954" w:rsidRDefault="00034548" w:rsidP="00034548">
                  <w:pPr>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6</w:t>
                  </w:r>
                  <w:r w:rsidR="00850E4E">
                    <w:rPr>
                      <w:rFonts w:asciiTheme="minorHAnsi" w:eastAsia="Times New Roman" w:hAnsiTheme="minorHAnsi" w:cstheme="minorHAnsi"/>
                      <w:color w:val="000000"/>
                      <w:sz w:val="18"/>
                      <w:szCs w:val="18"/>
                      <w:lang w:val="en-GB" w:eastAsia="ru-RU"/>
                    </w:rPr>
                    <w:t>,</w:t>
                  </w:r>
                  <w:r w:rsidRPr="00045954">
                    <w:rPr>
                      <w:rFonts w:asciiTheme="minorHAnsi" w:eastAsia="Times New Roman" w:hAnsiTheme="minorHAnsi" w:cstheme="minorHAnsi"/>
                      <w:color w:val="000000"/>
                      <w:sz w:val="18"/>
                      <w:szCs w:val="18"/>
                      <w:lang w:val="en-GB" w:eastAsia="ru-RU"/>
                    </w:rPr>
                    <w:t>300</w:t>
                  </w:r>
                </w:p>
              </w:tc>
              <w:tc>
                <w:tcPr>
                  <w:tcW w:w="1075" w:type="dxa"/>
                  <w:tcBorders>
                    <w:top w:val="single" w:sz="4" w:space="0" w:color="auto"/>
                    <w:left w:val="nil"/>
                    <w:bottom w:val="single" w:sz="4" w:space="0" w:color="auto"/>
                    <w:right w:val="single" w:sz="4" w:space="0" w:color="auto"/>
                  </w:tcBorders>
                  <w:shd w:val="clear" w:color="000000" w:fill="FFFFCC"/>
                  <w:vAlign w:val="center"/>
                </w:tcPr>
                <w:p w14:paraId="08E911F7" w14:textId="60DA6E9C" w:rsidR="00034548" w:rsidRPr="00045954" w:rsidRDefault="00034548" w:rsidP="00034548">
                  <w:pPr>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6</w:t>
                  </w:r>
                  <w:r w:rsidR="00850E4E">
                    <w:rPr>
                      <w:rFonts w:asciiTheme="minorHAnsi" w:eastAsia="Times New Roman" w:hAnsiTheme="minorHAnsi" w:cstheme="minorHAnsi"/>
                      <w:color w:val="000000"/>
                      <w:sz w:val="18"/>
                      <w:szCs w:val="18"/>
                      <w:lang w:val="en-GB" w:eastAsia="ru-RU"/>
                    </w:rPr>
                    <w:t>,</w:t>
                  </w:r>
                  <w:r w:rsidRPr="00045954">
                    <w:rPr>
                      <w:rFonts w:asciiTheme="minorHAnsi" w:eastAsia="Times New Roman" w:hAnsiTheme="minorHAnsi" w:cstheme="minorHAnsi"/>
                      <w:color w:val="000000"/>
                      <w:sz w:val="18"/>
                      <w:szCs w:val="18"/>
                      <w:lang w:val="en-GB" w:eastAsia="ru-RU"/>
                    </w:rPr>
                    <w:t>300</w:t>
                  </w:r>
                </w:p>
              </w:tc>
              <w:tc>
                <w:tcPr>
                  <w:tcW w:w="1096" w:type="dxa"/>
                  <w:tcBorders>
                    <w:top w:val="nil"/>
                    <w:left w:val="single" w:sz="4" w:space="0" w:color="auto"/>
                    <w:bottom w:val="single" w:sz="4" w:space="0" w:color="auto"/>
                    <w:right w:val="single" w:sz="4" w:space="0" w:color="auto"/>
                  </w:tcBorders>
                  <w:shd w:val="clear" w:color="000000" w:fill="FFFFCC"/>
                  <w:vAlign w:val="center"/>
                  <w:hideMark/>
                </w:tcPr>
                <w:p w14:paraId="7062E2DB" w14:textId="3D366E3D" w:rsidR="00034548" w:rsidRPr="00045954" w:rsidRDefault="00034548" w:rsidP="00034548">
                  <w:pPr>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hAnsiTheme="minorHAnsi" w:cstheme="minorHAnsi"/>
                      <w:sz w:val="18"/>
                      <w:szCs w:val="18"/>
                      <w:lang w:val="en-GB"/>
                    </w:rPr>
                    <w:t>40</w:t>
                  </w:r>
                  <w:r w:rsidR="00850E4E">
                    <w:rPr>
                      <w:rFonts w:asciiTheme="minorHAnsi" w:hAnsiTheme="minorHAnsi" w:cstheme="minorHAnsi"/>
                      <w:sz w:val="18"/>
                      <w:szCs w:val="18"/>
                      <w:lang w:val="en-GB"/>
                    </w:rPr>
                    <w:t>,</w:t>
                  </w:r>
                  <w:r w:rsidRPr="00045954">
                    <w:rPr>
                      <w:rFonts w:asciiTheme="minorHAnsi" w:hAnsiTheme="minorHAnsi" w:cstheme="minorHAnsi"/>
                      <w:sz w:val="18"/>
                      <w:szCs w:val="18"/>
                      <w:lang w:val="en-GB"/>
                    </w:rPr>
                    <w:t>900</w:t>
                  </w:r>
                </w:p>
              </w:tc>
            </w:tr>
            <w:tr w:rsidR="00034548" w:rsidRPr="00045954" w14:paraId="331DEDE6" w14:textId="77777777" w:rsidTr="00595CA8">
              <w:trPr>
                <w:trHeight w:val="53"/>
              </w:trPr>
              <w:tc>
                <w:tcPr>
                  <w:tcW w:w="2823" w:type="dxa"/>
                  <w:tcBorders>
                    <w:top w:val="nil"/>
                    <w:left w:val="single" w:sz="4" w:space="0" w:color="auto"/>
                    <w:bottom w:val="single" w:sz="4" w:space="0" w:color="auto"/>
                    <w:right w:val="single" w:sz="4" w:space="0" w:color="auto"/>
                  </w:tcBorders>
                  <w:shd w:val="clear" w:color="000000" w:fill="FFFFFF"/>
                  <w:vAlign w:val="center"/>
                  <w:hideMark/>
                </w:tcPr>
                <w:p w14:paraId="218C6975" w14:textId="77777777" w:rsidR="00034548" w:rsidRPr="00045954" w:rsidRDefault="00034548" w:rsidP="00850E4E">
                  <w:pPr>
                    <w:spacing w:after="0" w:line="240" w:lineRule="auto"/>
                    <w:ind w:right="-81"/>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 xml:space="preserve">TB preventive therapy targets </w:t>
                  </w:r>
                </w:p>
              </w:tc>
              <w:tc>
                <w:tcPr>
                  <w:tcW w:w="1032" w:type="dxa"/>
                  <w:tcBorders>
                    <w:top w:val="nil"/>
                    <w:left w:val="nil"/>
                    <w:bottom w:val="single" w:sz="4" w:space="0" w:color="auto"/>
                    <w:right w:val="single" w:sz="4" w:space="0" w:color="auto"/>
                  </w:tcBorders>
                  <w:shd w:val="clear" w:color="000000" w:fill="FFFFFF"/>
                  <w:vAlign w:val="center"/>
                  <w:hideMark/>
                </w:tcPr>
                <w:p w14:paraId="22B674FD" w14:textId="66F74404" w:rsidR="00034548" w:rsidRPr="00045954" w:rsidRDefault="00034548" w:rsidP="00034548">
                  <w:pPr>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1</w:t>
                  </w:r>
                  <w:r w:rsidR="00850E4E">
                    <w:rPr>
                      <w:rFonts w:asciiTheme="minorHAnsi" w:eastAsia="Times New Roman" w:hAnsiTheme="minorHAnsi" w:cstheme="minorHAnsi"/>
                      <w:color w:val="000000"/>
                      <w:sz w:val="18"/>
                      <w:szCs w:val="18"/>
                      <w:lang w:val="en-GB" w:eastAsia="ru-RU"/>
                    </w:rPr>
                    <w:t>,</w:t>
                  </w:r>
                  <w:r w:rsidRPr="00045954">
                    <w:rPr>
                      <w:rFonts w:asciiTheme="minorHAnsi" w:eastAsia="Times New Roman" w:hAnsiTheme="minorHAnsi" w:cstheme="minorHAnsi"/>
                      <w:color w:val="000000"/>
                      <w:sz w:val="18"/>
                      <w:szCs w:val="18"/>
                      <w:lang w:val="en-GB" w:eastAsia="ru-RU"/>
                    </w:rPr>
                    <w:t>960</w:t>
                  </w:r>
                </w:p>
              </w:tc>
              <w:tc>
                <w:tcPr>
                  <w:tcW w:w="1141" w:type="dxa"/>
                  <w:tcBorders>
                    <w:top w:val="nil"/>
                    <w:left w:val="nil"/>
                    <w:bottom w:val="single" w:sz="4" w:space="0" w:color="auto"/>
                    <w:right w:val="single" w:sz="4" w:space="0" w:color="auto"/>
                  </w:tcBorders>
                  <w:shd w:val="clear" w:color="000000" w:fill="FFFFFF"/>
                  <w:vAlign w:val="center"/>
                  <w:hideMark/>
                </w:tcPr>
                <w:p w14:paraId="4CB2CC53" w14:textId="1264B764" w:rsidR="00034548" w:rsidRPr="00045954" w:rsidRDefault="00034548" w:rsidP="00034548">
                  <w:pPr>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2</w:t>
                  </w:r>
                  <w:r w:rsidR="00850E4E">
                    <w:rPr>
                      <w:rFonts w:asciiTheme="minorHAnsi" w:eastAsia="Times New Roman" w:hAnsiTheme="minorHAnsi" w:cstheme="minorHAnsi"/>
                      <w:color w:val="000000"/>
                      <w:sz w:val="18"/>
                      <w:szCs w:val="18"/>
                      <w:lang w:val="en-GB" w:eastAsia="ru-RU"/>
                    </w:rPr>
                    <w:t>,</w:t>
                  </w:r>
                  <w:r w:rsidRPr="00045954">
                    <w:rPr>
                      <w:rFonts w:asciiTheme="minorHAnsi" w:eastAsia="Times New Roman" w:hAnsiTheme="minorHAnsi" w:cstheme="minorHAnsi"/>
                      <w:color w:val="000000"/>
                      <w:sz w:val="18"/>
                      <w:szCs w:val="18"/>
                      <w:lang w:val="en-GB" w:eastAsia="ru-RU"/>
                    </w:rPr>
                    <w:t>510</w:t>
                  </w:r>
                </w:p>
              </w:tc>
              <w:tc>
                <w:tcPr>
                  <w:tcW w:w="1021" w:type="dxa"/>
                  <w:tcBorders>
                    <w:top w:val="nil"/>
                    <w:left w:val="nil"/>
                    <w:bottom w:val="single" w:sz="4" w:space="0" w:color="auto"/>
                    <w:right w:val="single" w:sz="4" w:space="0" w:color="auto"/>
                  </w:tcBorders>
                  <w:shd w:val="clear" w:color="000000" w:fill="FFFFFF"/>
                  <w:vAlign w:val="center"/>
                  <w:hideMark/>
                </w:tcPr>
                <w:p w14:paraId="025571C2" w14:textId="67263E34" w:rsidR="00034548" w:rsidRPr="00045954" w:rsidRDefault="00034548" w:rsidP="00034548">
                  <w:pPr>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4</w:t>
                  </w:r>
                  <w:r w:rsidR="00850E4E">
                    <w:rPr>
                      <w:rFonts w:asciiTheme="minorHAnsi" w:eastAsia="Times New Roman" w:hAnsiTheme="minorHAnsi" w:cstheme="minorHAnsi"/>
                      <w:color w:val="000000"/>
                      <w:sz w:val="18"/>
                      <w:szCs w:val="18"/>
                      <w:lang w:val="en-GB" w:eastAsia="ru-RU"/>
                    </w:rPr>
                    <w:t>,</w:t>
                  </w:r>
                  <w:r w:rsidRPr="00045954">
                    <w:rPr>
                      <w:rFonts w:asciiTheme="minorHAnsi" w:eastAsia="Times New Roman" w:hAnsiTheme="minorHAnsi" w:cstheme="minorHAnsi"/>
                      <w:color w:val="000000"/>
                      <w:sz w:val="18"/>
                      <w:szCs w:val="18"/>
                      <w:lang w:val="en-GB" w:eastAsia="ru-RU"/>
                    </w:rPr>
                    <w:t>070</w:t>
                  </w:r>
                </w:p>
              </w:tc>
              <w:tc>
                <w:tcPr>
                  <w:tcW w:w="998" w:type="dxa"/>
                  <w:tcBorders>
                    <w:top w:val="nil"/>
                    <w:left w:val="nil"/>
                    <w:bottom w:val="single" w:sz="4" w:space="0" w:color="auto"/>
                    <w:right w:val="single" w:sz="4" w:space="0" w:color="auto"/>
                  </w:tcBorders>
                  <w:shd w:val="clear" w:color="000000" w:fill="FFFFFF"/>
                  <w:vAlign w:val="center"/>
                  <w:hideMark/>
                </w:tcPr>
                <w:p w14:paraId="22F9DEA5" w14:textId="7D823174" w:rsidR="00034548" w:rsidRPr="00045954" w:rsidRDefault="00034548" w:rsidP="00034548">
                  <w:pPr>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6</w:t>
                  </w:r>
                  <w:r w:rsidR="00850E4E">
                    <w:rPr>
                      <w:rFonts w:asciiTheme="minorHAnsi" w:eastAsia="Times New Roman" w:hAnsiTheme="minorHAnsi" w:cstheme="minorHAnsi"/>
                      <w:color w:val="000000"/>
                      <w:sz w:val="18"/>
                      <w:szCs w:val="18"/>
                      <w:lang w:val="en-GB" w:eastAsia="ru-RU"/>
                    </w:rPr>
                    <w:t>,</w:t>
                  </w:r>
                  <w:r w:rsidRPr="00045954">
                    <w:rPr>
                      <w:rFonts w:asciiTheme="minorHAnsi" w:eastAsia="Times New Roman" w:hAnsiTheme="minorHAnsi" w:cstheme="minorHAnsi"/>
                      <w:color w:val="000000"/>
                      <w:sz w:val="18"/>
                      <w:szCs w:val="18"/>
                      <w:lang w:val="en-GB" w:eastAsia="ru-RU"/>
                    </w:rPr>
                    <w:t>160</w:t>
                  </w:r>
                </w:p>
              </w:tc>
              <w:tc>
                <w:tcPr>
                  <w:tcW w:w="1075" w:type="dxa"/>
                  <w:tcBorders>
                    <w:top w:val="nil"/>
                    <w:left w:val="nil"/>
                    <w:bottom w:val="single" w:sz="4" w:space="0" w:color="auto"/>
                    <w:right w:val="single" w:sz="4" w:space="0" w:color="auto"/>
                  </w:tcBorders>
                  <w:shd w:val="clear" w:color="000000" w:fill="FFFFFF"/>
                  <w:vAlign w:val="center"/>
                  <w:hideMark/>
                </w:tcPr>
                <w:p w14:paraId="66DF1823" w14:textId="3159E607" w:rsidR="00034548" w:rsidRPr="00045954" w:rsidRDefault="00034548" w:rsidP="00034548">
                  <w:pPr>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7</w:t>
                  </w:r>
                  <w:r w:rsidR="00850E4E">
                    <w:rPr>
                      <w:rFonts w:asciiTheme="minorHAnsi" w:eastAsia="Times New Roman" w:hAnsiTheme="minorHAnsi" w:cstheme="minorHAnsi"/>
                      <w:color w:val="000000"/>
                      <w:sz w:val="18"/>
                      <w:szCs w:val="18"/>
                      <w:lang w:val="en-GB" w:eastAsia="ru-RU"/>
                    </w:rPr>
                    <w:t>,</w:t>
                  </w:r>
                  <w:r w:rsidRPr="00045954">
                    <w:rPr>
                      <w:rFonts w:asciiTheme="minorHAnsi" w:eastAsia="Times New Roman" w:hAnsiTheme="minorHAnsi" w:cstheme="minorHAnsi"/>
                      <w:color w:val="000000"/>
                      <w:sz w:val="18"/>
                      <w:szCs w:val="18"/>
                      <w:lang w:val="en-GB" w:eastAsia="ru-RU"/>
                    </w:rPr>
                    <w:t>570</w:t>
                  </w:r>
                </w:p>
              </w:tc>
              <w:tc>
                <w:tcPr>
                  <w:tcW w:w="1075" w:type="dxa"/>
                  <w:tcBorders>
                    <w:top w:val="single" w:sz="4" w:space="0" w:color="auto"/>
                    <w:left w:val="nil"/>
                    <w:bottom w:val="single" w:sz="4" w:space="0" w:color="auto"/>
                    <w:right w:val="single" w:sz="4" w:space="0" w:color="auto"/>
                  </w:tcBorders>
                  <w:shd w:val="clear" w:color="000000" w:fill="FFFFFF"/>
                  <w:vAlign w:val="center"/>
                </w:tcPr>
                <w:p w14:paraId="17ADF067" w14:textId="36D24F3B" w:rsidR="00034548" w:rsidRPr="00045954" w:rsidRDefault="00034548" w:rsidP="00034548">
                  <w:pPr>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7</w:t>
                  </w:r>
                  <w:r w:rsidR="00850E4E">
                    <w:rPr>
                      <w:rFonts w:asciiTheme="minorHAnsi" w:eastAsia="Times New Roman" w:hAnsiTheme="minorHAnsi" w:cstheme="minorHAnsi"/>
                      <w:color w:val="000000"/>
                      <w:sz w:val="18"/>
                      <w:szCs w:val="18"/>
                      <w:lang w:val="en-GB" w:eastAsia="ru-RU"/>
                    </w:rPr>
                    <w:t>,</w:t>
                  </w:r>
                  <w:r w:rsidRPr="00045954">
                    <w:rPr>
                      <w:rFonts w:asciiTheme="minorHAnsi" w:eastAsia="Times New Roman" w:hAnsiTheme="minorHAnsi" w:cstheme="minorHAnsi"/>
                      <w:color w:val="000000"/>
                      <w:sz w:val="18"/>
                      <w:szCs w:val="18"/>
                      <w:lang w:val="en-GB" w:eastAsia="ru-RU"/>
                    </w:rPr>
                    <w:t>570</w:t>
                  </w:r>
                </w:p>
              </w:tc>
              <w:tc>
                <w:tcPr>
                  <w:tcW w:w="1096" w:type="dxa"/>
                  <w:tcBorders>
                    <w:top w:val="nil"/>
                    <w:left w:val="single" w:sz="4" w:space="0" w:color="auto"/>
                    <w:bottom w:val="single" w:sz="4" w:space="0" w:color="auto"/>
                    <w:right w:val="single" w:sz="4" w:space="0" w:color="auto"/>
                  </w:tcBorders>
                  <w:shd w:val="clear" w:color="000000" w:fill="FFFFFF"/>
                  <w:vAlign w:val="center"/>
                  <w:hideMark/>
                </w:tcPr>
                <w:p w14:paraId="06EC524C" w14:textId="6C2FF1E6" w:rsidR="00034548" w:rsidRPr="00045954" w:rsidRDefault="00034548" w:rsidP="00034548">
                  <w:pPr>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hAnsiTheme="minorHAnsi" w:cstheme="minorHAnsi"/>
                      <w:sz w:val="18"/>
                      <w:szCs w:val="18"/>
                      <w:lang w:val="en-GB"/>
                    </w:rPr>
                    <w:t>29</w:t>
                  </w:r>
                  <w:r w:rsidR="00850E4E">
                    <w:rPr>
                      <w:rFonts w:asciiTheme="minorHAnsi" w:hAnsiTheme="minorHAnsi" w:cstheme="minorHAnsi"/>
                      <w:sz w:val="18"/>
                      <w:szCs w:val="18"/>
                      <w:lang w:val="en-GB"/>
                    </w:rPr>
                    <w:t>,</w:t>
                  </w:r>
                  <w:r w:rsidRPr="00045954">
                    <w:rPr>
                      <w:rFonts w:asciiTheme="minorHAnsi" w:hAnsiTheme="minorHAnsi" w:cstheme="minorHAnsi"/>
                      <w:sz w:val="18"/>
                      <w:szCs w:val="18"/>
                      <w:lang w:val="en-GB"/>
                    </w:rPr>
                    <w:t>840</w:t>
                  </w:r>
                </w:p>
              </w:tc>
            </w:tr>
          </w:tbl>
          <w:p w14:paraId="1E3C648D" w14:textId="77777777" w:rsidR="00034548" w:rsidRPr="00045954" w:rsidRDefault="00034548" w:rsidP="00034548">
            <w:pPr>
              <w:jc w:val="both"/>
              <w:rPr>
                <w:rFonts w:asciiTheme="minorHAnsi" w:hAnsiTheme="minorHAnsi" w:cstheme="minorHAnsi"/>
                <w:sz w:val="16"/>
                <w:szCs w:val="16"/>
                <w:lang w:val="en-GB"/>
              </w:rPr>
            </w:pPr>
            <w:r w:rsidRPr="00045954">
              <w:rPr>
                <w:rFonts w:asciiTheme="minorHAnsi" w:hAnsiTheme="minorHAnsi" w:cstheme="minorHAnsi"/>
                <w:sz w:val="16"/>
                <w:szCs w:val="16"/>
                <w:lang w:val="en-GB"/>
              </w:rPr>
              <w:t xml:space="preserve">* Bearing in mind that the targets for 2023 were not proposed the country in line with ambitious UN targets, </w:t>
            </w:r>
            <w:proofErr w:type="gramStart"/>
            <w:r w:rsidRPr="00045954">
              <w:rPr>
                <w:rFonts w:asciiTheme="minorHAnsi" w:hAnsiTheme="minorHAnsi" w:cstheme="minorHAnsi"/>
                <w:sz w:val="16"/>
                <w:szCs w:val="16"/>
                <w:lang w:val="en-GB"/>
              </w:rPr>
              <w:t>taking into account</w:t>
            </w:r>
            <w:proofErr w:type="gramEnd"/>
            <w:r w:rsidRPr="00045954">
              <w:rPr>
                <w:rFonts w:asciiTheme="minorHAnsi" w:hAnsiTheme="minorHAnsi" w:cstheme="minorHAnsi"/>
                <w:sz w:val="16"/>
                <w:szCs w:val="16"/>
                <w:lang w:val="en-GB"/>
              </w:rPr>
              <w:t xml:space="preserve"> the current context and realistic potential of the country for 2023 decided to keep the targets proposed for 2022.</w:t>
            </w:r>
          </w:p>
          <w:p w14:paraId="6EB763B3" w14:textId="208AC555" w:rsidR="00034548" w:rsidRPr="00045954" w:rsidRDefault="0018162A" w:rsidP="0018162A">
            <w:pPr>
              <w:jc w:val="both"/>
              <w:rPr>
                <w:rFonts w:asciiTheme="minorHAnsi" w:hAnsiTheme="minorHAnsi" w:cstheme="minorHAnsi"/>
                <w:sz w:val="20"/>
                <w:szCs w:val="20"/>
                <w:lang w:val="en-GB"/>
              </w:rPr>
            </w:pPr>
            <w:r>
              <w:rPr>
                <w:rFonts w:asciiTheme="minorHAnsi" w:hAnsiTheme="minorHAnsi" w:cstheme="minorHAnsi"/>
                <w:sz w:val="20"/>
                <w:szCs w:val="20"/>
                <w:lang w:val="en-GB"/>
              </w:rPr>
              <w:t>To</w:t>
            </w:r>
            <w:r w:rsidR="00034548" w:rsidRPr="00045954">
              <w:rPr>
                <w:rFonts w:asciiTheme="minorHAnsi" w:hAnsiTheme="minorHAnsi" w:cstheme="minorHAnsi"/>
                <w:sz w:val="20"/>
                <w:szCs w:val="20"/>
                <w:lang w:val="en-GB"/>
              </w:rPr>
              <w:t xml:space="preserve"> achieve these goals, the TB Programme in the National Strategic Plan has outlined 2023 targets and indicators as follows:</w:t>
            </w:r>
          </w:p>
          <w:p w14:paraId="0C78C7C3" w14:textId="77777777" w:rsidR="00034548" w:rsidRPr="00045954" w:rsidRDefault="00034548" w:rsidP="00034548">
            <w:pPr>
              <w:pStyle w:val="affff3"/>
              <w:ind w:left="0" w:firstLine="39"/>
              <w:rPr>
                <w:rFonts w:asciiTheme="minorHAnsi" w:hAnsiTheme="minorHAnsi" w:cstheme="minorHAnsi"/>
                <w:b/>
                <w:bCs/>
                <w:sz w:val="20"/>
                <w:szCs w:val="20"/>
                <w:lang w:val="en-GB"/>
              </w:rPr>
            </w:pPr>
            <w:r w:rsidRPr="00045954">
              <w:rPr>
                <w:rFonts w:asciiTheme="minorHAnsi" w:hAnsiTheme="minorHAnsi" w:cstheme="minorHAnsi"/>
                <w:b/>
                <w:bCs/>
                <w:sz w:val="20"/>
                <w:szCs w:val="20"/>
                <w:lang w:val="en-GB"/>
              </w:rPr>
              <w:t xml:space="preserve">Impact indicators: </w:t>
            </w:r>
          </w:p>
          <w:p w14:paraId="10942F87" w14:textId="2B8854BD" w:rsidR="00034548" w:rsidRPr="00045954" w:rsidRDefault="00034548" w:rsidP="008B5FE3">
            <w:pPr>
              <w:pStyle w:val="affff3"/>
              <w:numPr>
                <w:ilvl w:val="0"/>
                <w:numId w:val="25"/>
              </w:numPr>
              <w:tabs>
                <w:tab w:val="left" w:pos="323"/>
              </w:tabs>
              <w:spacing w:after="0" w:line="240" w:lineRule="auto"/>
              <w:rPr>
                <w:rFonts w:asciiTheme="minorHAnsi" w:hAnsiTheme="minorHAnsi" w:cstheme="minorHAnsi"/>
                <w:sz w:val="20"/>
                <w:szCs w:val="20"/>
                <w:lang w:val="en-GB"/>
              </w:rPr>
            </w:pPr>
            <w:r w:rsidRPr="00045954">
              <w:rPr>
                <w:rFonts w:asciiTheme="minorHAnsi" w:hAnsiTheme="minorHAnsi" w:cstheme="minorHAnsi"/>
                <w:sz w:val="20"/>
                <w:szCs w:val="20"/>
                <w:lang w:val="en-GB"/>
              </w:rPr>
              <w:t>TB I-3(M): TB mortality rate per 100,000 population – 3</w:t>
            </w:r>
            <w:r w:rsidR="0018162A">
              <w:rPr>
                <w:rFonts w:asciiTheme="minorHAnsi" w:hAnsiTheme="minorHAnsi" w:cstheme="minorHAnsi"/>
                <w:sz w:val="20"/>
                <w:szCs w:val="20"/>
                <w:lang w:val="en-GB"/>
              </w:rPr>
              <w:t>.</w:t>
            </w:r>
            <w:r w:rsidRPr="00045954">
              <w:rPr>
                <w:rFonts w:asciiTheme="minorHAnsi" w:hAnsiTheme="minorHAnsi" w:cstheme="minorHAnsi"/>
                <w:sz w:val="20"/>
                <w:szCs w:val="20"/>
                <w:lang w:val="en-GB"/>
              </w:rPr>
              <w:t>8</w:t>
            </w:r>
          </w:p>
          <w:p w14:paraId="1FEFFD8D" w14:textId="1097AAA1" w:rsidR="00034548" w:rsidRPr="00045954" w:rsidRDefault="00034548" w:rsidP="008B5FE3">
            <w:pPr>
              <w:pStyle w:val="affff3"/>
              <w:numPr>
                <w:ilvl w:val="0"/>
                <w:numId w:val="25"/>
              </w:numPr>
              <w:tabs>
                <w:tab w:val="left" w:pos="323"/>
              </w:tabs>
              <w:spacing w:after="160" w:line="259" w:lineRule="auto"/>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t>TB I-4(M): RR-TB and/or MDR-TB prevalence among new TB patients (Proportion of new TB cases with RR-TB and/or MDR-TB) – 30</w:t>
            </w:r>
            <w:r w:rsidR="0018162A">
              <w:rPr>
                <w:rFonts w:asciiTheme="minorHAnsi" w:hAnsiTheme="minorHAnsi" w:cstheme="minorHAnsi"/>
                <w:sz w:val="20"/>
                <w:szCs w:val="20"/>
                <w:lang w:val="en-GB"/>
              </w:rPr>
              <w:t>.</w:t>
            </w:r>
            <w:r w:rsidRPr="00045954">
              <w:rPr>
                <w:rFonts w:asciiTheme="minorHAnsi" w:hAnsiTheme="minorHAnsi" w:cstheme="minorHAnsi"/>
                <w:sz w:val="20"/>
                <w:szCs w:val="20"/>
                <w:lang w:val="en-GB"/>
              </w:rPr>
              <w:t>5%</w:t>
            </w:r>
          </w:p>
          <w:p w14:paraId="54DEC3D7" w14:textId="479A1273" w:rsidR="00034548" w:rsidRPr="00045954" w:rsidRDefault="00034548" w:rsidP="00034548">
            <w:pPr>
              <w:pStyle w:val="affff3"/>
              <w:tabs>
                <w:tab w:val="left" w:pos="323"/>
              </w:tabs>
              <w:ind w:left="0" w:firstLine="39"/>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t>TB I-2: TB incidence rate per 100,000 population – 77</w:t>
            </w:r>
            <w:r w:rsidR="0018162A">
              <w:rPr>
                <w:rFonts w:asciiTheme="minorHAnsi" w:hAnsiTheme="minorHAnsi" w:cstheme="minorHAnsi"/>
                <w:sz w:val="20"/>
                <w:szCs w:val="20"/>
                <w:lang w:val="en-GB"/>
              </w:rPr>
              <w:t>.</w:t>
            </w:r>
            <w:r w:rsidRPr="00045954">
              <w:rPr>
                <w:rFonts w:asciiTheme="minorHAnsi" w:hAnsiTheme="minorHAnsi" w:cstheme="minorHAnsi"/>
                <w:sz w:val="20"/>
                <w:szCs w:val="20"/>
                <w:lang w:val="en-GB"/>
              </w:rPr>
              <w:t>0</w:t>
            </w:r>
          </w:p>
          <w:p w14:paraId="010C0319" w14:textId="77777777" w:rsidR="00034548" w:rsidRPr="00045954" w:rsidRDefault="00034548" w:rsidP="00034548">
            <w:pPr>
              <w:pStyle w:val="affff3"/>
              <w:tabs>
                <w:tab w:val="left" w:pos="323"/>
              </w:tabs>
              <w:ind w:left="0" w:firstLine="39"/>
              <w:jc w:val="both"/>
              <w:rPr>
                <w:rFonts w:asciiTheme="minorHAnsi" w:hAnsiTheme="minorHAnsi" w:cstheme="minorHAnsi"/>
                <w:b/>
                <w:bCs/>
                <w:sz w:val="20"/>
                <w:szCs w:val="20"/>
                <w:lang w:val="en-GB"/>
              </w:rPr>
            </w:pPr>
            <w:r w:rsidRPr="00045954">
              <w:rPr>
                <w:rFonts w:asciiTheme="minorHAnsi" w:hAnsiTheme="minorHAnsi" w:cstheme="minorHAnsi"/>
                <w:b/>
                <w:bCs/>
                <w:sz w:val="20"/>
                <w:szCs w:val="20"/>
                <w:lang w:val="en-GB"/>
              </w:rPr>
              <w:t>Outcome indicators:</w:t>
            </w:r>
          </w:p>
          <w:p w14:paraId="44DF9074" w14:textId="77777777" w:rsidR="00034548" w:rsidRPr="00045954" w:rsidRDefault="00034548" w:rsidP="008B5FE3">
            <w:pPr>
              <w:pStyle w:val="affff3"/>
              <w:numPr>
                <w:ilvl w:val="0"/>
                <w:numId w:val="25"/>
              </w:numPr>
              <w:tabs>
                <w:tab w:val="left" w:pos="323"/>
              </w:tabs>
              <w:spacing w:after="160" w:line="259" w:lineRule="auto"/>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t>TB O-2a: Treatment success rate of all forms of TB-bacteriologically confirmed plus clinically diagnosed, new and relapse cases – 85%</w:t>
            </w:r>
          </w:p>
          <w:p w14:paraId="4FB578B9" w14:textId="77777777" w:rsidR="00034548" w:rsidRPr="00045954" w:rsidRDefault="00034548" w:rsidP="008B5FE3">
            <w:pPr>
              <w:pStyle w:val="affff3"/>
              <w:numPr>
                <w:ilvl w:val="0"/>
                <w:numId w:val="25"/>
              </w:numPr>
              <w:tabs>
                <w:tab w:val="left" w:pos="323"/>
              </w:tabs>
              <w:spacing w:after="160" w:line="259" w:lineRule="auto"/>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t>TB O-4(M): Treatment success rate of RR TB and/or MDR-TB: Percentage of cases with RR and/or MDR-TB successfully treated – 75%</w:t>
            </w:r>
          </w:p>
          <w:p w14:paraId="7FE53A8D" w14:textId="77777777" w:rsidR="00034548" w:rsidRPr="00045954" w:rsidRDefault="00034548" w:rsidP="008B5FE3">
            <w:pPr>
              <w:pStyle w:val="affff3"/>
              <w:numPr>
                <w:ilvl w:val="0"/>
                <w:numId w:val="25"/>
              </w:numPr>
              <w:tabs>
                <w:tab w:val="left" w:pos="323"/>
              </w:tabs>
              <w:spacing w:after="160" w:line="259" w:lineRule="auto"/>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t xml:space="preserve">TB O-5(M): TB treatment coverage: Percentage of new and relapse cases that </w:t>
            </w:r>
            <w:proofErr w:type="gramStart"/>
            <w:r w:rsidRPr="00045954">
              <w:rPr>
                <w:rFonts w:asciiTheme="minorHAnsi" w:hAnsiTheme="minorHAnsi" w:cstheme="minorHAnsi"/>
                <w:sz w:val="20"/>
                <w:szCs w:val="20"/>
                <w:lang w:val="en-GB"/>
              </w:rPr>
              <w:t>were notified</w:t>
            </w:r>
            <w:proofErr w:type="gramEnd"/>
            <w:r w:rsidRPr="00045954">
              <w:rPr>
                <w:rFonts w:asciiTheme="minorHAnsi" w:hAnsiTheme="minorHAnsi" w:cstheme="minorHAnsi"/>
                <w:sz w:val="20"/>
                <w:szCs w:val="20"/>
                <w:lang w:val="en-GB"/>
              </w:rPr>
              <w:t xml:space="preserve"> and treated among the estimated number of incident TB cases in the same year (all form of TB-bacteriologically confirmed plus clinically diagnosed) – 90%</w:t>
            </w:r>
          </w:p>
          <w:p w14:paraId="3B4DC0D6" w14:textId="77777777" w:rsidR="00521B97" w:rsidRPr="00045954" w:rsidRDefault="00521B97" w:rsidP="00521B97">
            <w:pPr>
              <w:pStyle w:val="affff3"/>
              <w:tabs>
                <w:tab w:val="left" w:pos="323"/>
              </w:tabs>
              <w:ind w:left="0" w:firstLine="39"/>
              <w:jc w:val="both"/>
              <w:rPr>
                <w:rFonts w:asciiTheme="minorHAnsi" w:hAnsiTheme="minorHAnsi" w:cstheme="minorHAnsi"/>
                <w:b/>
                <w:bCs/>
                <w:sz w:val="20"/>
                <w:szCs w:val="20"/>
                <w:lang w:val="en-GB"/>
              </w:rPr>
            </w:pPr>
            <w:r w:rsidRPr="00045954">
              <w:rPr>
                <w:rFonts w:asciiTheme="minorHAnsi" w:hAnsiTheme="minorHAnsi" w:cstheme="minorHAnsi"/>
                <w:b/>
                <w:bCs/>
                <w:sz w:val="20"/>
                <w:szCs w:val="20"/>
                <w:lang w:val="en-GB"/>
              </w:rPr>
              <w:lastRenderedPageBreak/>
              <w:t>Coverage indicators:</w:t>
            </w:r>
          </w:p>
          <w:p w14:paraId="30EBABE2" w14:textId="77777777" w:rsidR="00521B97" w:rsidRPr="00045954" w:rsidRDefault="00521B97" w:rsidP="008B5FE3">
            <w:pPr>
              <w:pStyle w:val="affff3"/>
              <w:numPr>
                <w:ilvl w:val="0"/>
                <w:numId w:val="25"/>
              </w:numPr>
              <w:tabs>
                <w:tab w:val="left" w:pos="323"/>
              </w:tabs>
              <w:spacing w:after="160" w:line="259" w:lineRule="auto"/>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t xml:space="preserve">MDR TB -4: Percentage of cases with RR TB and /or MDR TB started on treatment on MDR TB who </w:t>
            </w:r>
            <w:proofErr w:type="gramStart"/>
            <w:r w:rsidRPr="00045954">
              <w:rPr>
                <w:rFonts w:asciiTheme="minorHAnsi" w:hAnsiTheme="minorHAnsi" w:cstheme="minorHAnsi"/>
                <w:sz w:val="20"/>
                <w:szCs w:val="20"/>
                <w:lang w:val="en-GB"/>
              </w:rPr>
              <w:t>were lost</w:t>
            </w:r>
            <w:proofErr w:type="gramEnd"/>
            <w:r w:rsidRPr="00045954">
              <w:rPr>
                <w:rFonts w:asciiTheme="minorHAnsi" w:hAnsiTheme="minorHAnsi" w:cstheme="minorHAnsi"/>
                <w:sz w:val="20"/>
                <w:szCs w:val="20"/>
                <w:lang w:val="en-GB"/>
              </w:rPr>
              <w:t xml:space="preserve"> to follow up during the first six month of treatment – 10%</w:t>
            </w:r>
          </w:p>
          <w:p w14:paraId="5C2DC448" w14:textId="77777777" w:rsidR="00521B97" w:rsidRPr="00045954" w:rsidRDefault="00521B97" w:rsidP="008B5FE3">
            <w:pPr>
              <w:pStyle w:val="affff3"/>
              <w:numPr>
                <w:ilvl w:val="0"/>
                <w:numId w:val="25"/>
              </w:numPr>
              <w:tabs>
                <w:tab w:val="left" w:pos="323"/>
              </w:tabs>
              <w:spacing w:after="160" w:line="259" w:lineRule="auto"/>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t xml:space="preserve">MDR TB-2(M): Number of TB cases with RR-TB and/or MDR-TB notified – 1,778 </w:t>
            </w:r>
          </w:p>
          <w:p w14:paraId="62CFED6C" w14:textId="77777777" w:rsidR="00521B97" w:rsidRPr="00045954" w:rsidRDefault="00521B97" w:rsidP="008B5FE3">
            <w:pPr>
              <w:pStyle w:val="affff3"/>
              <w:numPr>
                <w:ilvl w:val="0"/>
                <w:numId w:val="25"/>
              </w:numPr>
              <w:tabs>
                <w:tab w:val="left" w:pos="323"/>
              </w:tabs>
              <w:spacing w:after="160" w:line="259" w:lineRule="auto"/>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t>Percentage of confirmed MDR-TB cases tested for susceptibility to any fluoroquinolone and any second-line injectable drug – 77%</w:t>
            </w:r>
          </w:p>
          <w:p w14:paraId="5DD43E52" w14:textId="77777777" w:rsidR="00521B97" w:rsidRPr="00045954" w:rsidRDefault="00521B97" w:rsidP="008B5FE3">
            <w:pPr>
              <w:pStyle w:val="affff3"/>
              <w:numPr>
                <w:ilvl w:val="0"/>
                <w:numId w:val="25"/>
              </w:numPr>
              <w:tabs>
                <w:tab w:val="left" w:pos="323"/>
              </w:tabs>
              <w:spacing w:after="160" w:line="259" w:lineRule="auto"/>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t>MDR TB-3(M): Number of cases with RR-TB and/or MDR-TB that initiated second-line treatment – 1,600</w:t>
            </w:r>
          </w:p>
          <w:p w14:paraId="3267B3D2" w14:textId="77777777" w:rsidR="00521B97" w:rsidRPr="00045954" w:rsidRDefault="00521B97" w:rsidP="008B5FE3">
            <w:pPr>
              <w:pStyle w:val="affff3"/>
              <w:numPr>
                <w:ilvl w:val="0"/>
                <w:numId w:val="25"/>
              </w:numPr>
              <w:tabs>
                <w:tab w:val="left" w:pos="323"/>
              </w:tabs>
              <w:spacing w:after="160" w:line="259" w:lineRule="auto"/>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t>MDR TB-8: Number of cases of XDR TB enrolled in treatment – 120</w:t>
            </w:r>
          </w:p>
          <w:p w14:paraId="4F6A4592" w14:textId="77777777" w:rsidR="00521B97" w:rsidRPr="00045954" w:rsidRDefault="00521B97" w:rsidP="008B5FE3">
            <w:pPr>
              <w:pStyle w:val="affff3"/>
              <w:numPr>
                <w:ilvl w:val="0"/>
                <w:numId w:val="25"/>
              </w:numPr>
              <w:tabs>
                <w:tab w:val="left" w:pos="323"/>
              </w:tabs>
              <w:spacing w:after="160" w:line="259" w:lineRule="auto"/>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t>TB/HIV-5: Percentage of registered new and relapse TB patients with documented HIV status – 94%</w:t>
            </w:r>
          </w:p>
          <w:p w14:paraId="3AFBDA6A" w14:textId="77777777" w:rsidR="00521B97" w:rsidRPr="00045954" w:rsidRDefault="00521B97" w:rsidP="008B5FE3">
            <w:pPr>
              <w:pStyle w:val="affff3"/>
              <w:numPr>
                <w:ilvl w:val="0"/>
                <w:numId w:val="25"/>
              </w:numPr>
              <w:tabs>
                <w:tab w:val="left" w:pos="323"/>
              </w:tabs>
              <w:spacing w:after="160" w:line="259" w:lineRule="auto"/>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t>TB/HIV-6: Percentage of HIV positive new and relapse TB patients on ART during TB treatment – 90%</w:t>
            </w:r>
          </w:p>
          <w:p w14:paraId="34889F65" w14:textId="77777777" w:rsidR="00FB6172" w:rsidRPr="00912C27" w:rsidRDefault="00FB6172" w:rsidP="00FB6172">
            <w:pPr>
              <w:pStyle w:val="affff3"/>
              <w:spacing w:after="160" w:line="259" w:lineRule="auto"/>
              <w:ind w:left="0" w:firstLine="39"/>
              <w:jc w:val="both"/>
              <w:rPr>
                <w:rFonts w:asciiTheme="minorHAnsi" w:hAnsiTheme="minorHAnsi" w:cstheme="minorHAnsi"/>
                <w:sz w:val="20"/>
                <w:szCs w:val="20"/>
                <w:lang w:val="en-GB"/>
              </w:rPr>
            </w:pPr>
          </w:p>
          <w:p w14:paraId="57A0E9FE" w14:textId="29200802" w:rsidR="00FB6172" w:rsidRPr="0018162A" w:rsidRDefault="0018162A" w:rsidP="0018162A">
            <w:pPr>
              <w:jc w:val="both"/>
              <w:rPr>
                <w:rFonts w:asciiTheme="minorHAnsi" w:hAnsiTheme="minorHAnsi" w:cstheme="minorHAnsi"/>
                <w:sz w:val="20"/>
                <w:szCs w:val="20"/>
                <w:lang w:val="en-GB"/>
              </w:rPr>
            </w:pPr>
            <w:r>
              <w:rPr>
                <w:rFonts w:asciiTheme="minorHAnsi" w:eastAsia="Calibri" w:hAnsiTheme="minorHAnsi" w:cstheme="minorHAnsi"/>
                <w:sz w:val="20"/>
                <w:szCs w:val="20"/>
                <w:lang w:val="en-GB"/>
              </w:rPr>
              <w:t>1</w:t>
            </w:r>
            <w:r w:rsidRPr="0018162A">
              <w:rPr>
                <w:rFonts w:asciiTheme="minorHAnsi" w:hAnsiTheme="minorHAnsi" w:cstheme="minorHAnsi"/>
                <w:sz w:val="20"/>
                <w:szCs w:val="20"/>
                <w:lang w:val="en-GB"/>
              </w:rPr>
              <w:t xml:space="preserve">) </w:t>
            </w:r>
            <w:r w:rsidR="00FB6172" w:rsidRPr="0018162A">
              <w:rPr>
                <w:rFonts w:asciiTheme="minorHAnsi" w:hAnsiTheme="minorHAnsi" w:cstheme="minorHAnsi"/>
                <w:sz w:val="20"/>
                <w:szCs w:val="20"/>
                <w:lang w:val="en-GB"/>
              </w:rPr>
              <w:t xml:space="preserve">As part of the upcoming GF grant for 2021-2023, the country plans to improve the detection efficiency through increased molecular genetics tests coverage. Currently, 24 GeneXpert platforms in TB services and six platforms in HIV services </w:t>
            </w:r>
            <w:proofErr w:type="gramStart"/>
            <w:r w:rsidR="00FB6172" w:rsidRPr="0018162A">
              <w:rPr>
                <w:rFonts w:asciiTheme="minorHAnsi" w:hAnsiTheme="minorHAnsi" w:cstheme="minorHAnsi"/>
                <w:sz w:val="20"/>
                <w:szCs w:val="20"/>
                <w:lang w:val="en-GB"/>
              </w:rPr>
              <w:t>are installed</w:t>
            </w:r>
            <w:proofErr w:type="gramEnd"/>
            <w:r w:rsidR="00FB6172" w:rsidRPr="0018162A">
              <w:rPr>
                <w:rFonts w:asciiTheme="minorHAnsi" w:hAnsiTheme="minorHAnsi" w:cstheme="minorHAnsi"/>
                <w:sz w:val="20"/>
                <w:szCs w:val="20"/>
                <w:lang w:val="en-GB"/>
              </w:rPr>
              <w:t xml:space="preserve"> in Kyrgyzstan. Given that the ongoing GF grant supports the sputum specimen transportation system and TB drugs procurement, the NTP proposes to continue funding the sputum transportation system except for two regions (Chui and Talas oblasts) since these </w:t>
            </w:r>
            <w:proofErr w:type="gramStart"/>
            <w:r w:rsidR="00FB6172" w:rsidRPr="0018162A">
              <w:rPr>
                <w:rFonts w:asciiTheme="minorHAnsi" w:hAnsiTheme="minorHAnsi" w:cstheme="minorHAnsi"/>
                <w:sz w:val="20"/>
                <w:szCs w:val="20"/>
                <w:lang w:val="en-GB"/>
              </w:rPr>
              <w:t>are covered</w:t>
            </w:r>
            <w:proofErr w:type="gramEnd"/>
            <w:r w:rsidR="00FB6172" w:rsidRPr="0018162A">
              <w:rPr>
                <w:rFonts w:asciiTheme="minorHAnsi" w:hAnsiTheme="minorHAnsi" w:cstheme="minorHAnsi"/>
                <w:sz w:val="20"/>
                <w:szCs w:val="20"/>
                <w:lang w:val="en-GB"/>
              </w:rPr>
              <w:t xml:space="preserve"> by the MHIF. The main challenges include poor laboratory network management, large number of laboratories, inadequate diagnostics, especially in Osh oblast (2019, WHO Mission Report)</w:t>
            </w:r>
            <w:r w:rsidR="00FB6172" w:rsidRPr="0018162A">
              <w:rPr>
                <w:rFonts w:asciiTheme="minorHAnsi" w:hAnsiTheme="minorHAnsi" w:cstheme="minorHAnsi"/>
                <w:szCs w:val="20"/>
                <w:vertAlign w:val="superscript"/>
              </w:rPr>
              <w:footnoteReference w:id="36"/>
            </w:r>
            <w:r w:rsidR="00FB6172" w:rsidRPr="0018162A">
              <w:rPr>
                <w:rFonts w:asciiTheme="minorHAnsi" w:hAnsiTheme="minorHAnsi" w:cstheme="minorHAnsi"/>
                <w:sz w:val="20"/>
                <w:szCs w:val="20"/>
                <w:lang w:val="en-GB"/>
              </w:rPr>
              <w:t xml:space="preserve">. </w:t>
            </w:r>
            <w:proofErr w:type="gramStart"/>
            <w:r w:rsidR="00FB6172" w:rsidRPr="0018162A">
              <w:rPr>
                <w:rFonts w:asciiTheme="minorHAnsi" w:hAnsiTheme="minorHAnsi" w:cstheme="minorHAnsi"/>
                <w:sz w:val="20"/>
                <w:szCs w:val="20"/>
                <w:lang w:val="en-GB"/>
              </w:rPr>
              <w:t>Taking into account</w:t>
            </w:r>
            <w:proofErr w:type="gramEnd"/>
            <w:r w:rsidR="00FB6172" w:rsidRPr="0018162A">
              <w:rPr>
                <w:rFonts w:asciiTheme="minorHAnsi" w:hAnsiTheme="minorHAnsi" w:cstheme="minorHAnsi"/>
                <w:sz w:val="20"/>
                <w:szCs w:val="20"/>
                <w:lang w:val="en-GB"/>
              </w:rPr>
              <w:t xml:space="preserve"> the recommendations of the WHO Mission to address the disproportionate variances in the capacities of regional laboratories, the NTP, with the support of other donors, will make efforts to integrate the laboratory services with TB services and enhance the capacity of regional laboratories. To increase the number of available diagnostic tests and ensure timely monitoring and external quality assurance in the regional laboratories, it is necessary to increase the number of skilled staff and support the National Reference Laboratory (NRL) with appropriate support from partners and donors.</w:t>
            </w:r>
            <w:r w:rsidRPr="0018162A">
              <w:rPr>
                <w:rFonts w:asciiTheme="minorHAnsi" w:hAnsiTheme="minorHAnsi" w:cstheme="minorHAnsi"/>
                <w:sz w:val="20"/>
                <w:szCs w:val="20"/>
                <w:lang w:val="en-GB"/>
              </w:rPr>
              <w:t xml:space="preserve"> </w:t>
            </w:r>
            <w:r w:rsidR="00FB6172" w:rsidRPr="0018162A">
              <w:rPr>
                <w:rFonts w:asciiTheme="minorHAnsi" w:hAnsiTheme="minorHAnsi" w:cstheme="minorHAnsi"/>
                <w:sz w:val="20"/>
                <w:szCs w:val="20"/>
                <w:lang w:val="en-GB"/>
              </w:rPr>
              <w:t>The NTP, with the support from the USAID-funded project, will enhance the capacity of the regional laboratories. The programme proposes to remunerate 40 laboratory professionals under GF financing to retain qualified staff. Under the GF Grant 2021-2023, the Programme requests GF funding to support the national TB diagnostics capacity through the supply of reagents and consumables, support the operation of NRL by ensuring biosafety standards and support to the Supranational Reference Laboratory (SRL).</w:t>
            </w:r>
          </w:p>
          <w:p w14:paraId="533DA37E" w14:textId="03533F4F" w:rsidR="00FB6172" w:rsidRPr="0018162A" w:rsidRDefault="0018162A" w:rsidP="0018162A">
            <w:pPr>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2) </w:t>
            </w:r>
            <w:r w:rsidR="00FB6172" w:rsidRPr="0018162A">
              <w:rPr>
                <w:rFonts w:asciiTheme="minorHAnsi" w:hAnsiTheme="minorHAnsi" w:cstheme="minorHAnsi"/>
                <w:sz w:val="20"/>
                <w:szCs w:val="20"/>
                <w:lang w:val="en-GB"/>
              </w:rPr>
              <w:t xml:space="preserve">Due to a lack of national mechanisms to cater for </w:t>
            </w:r>
            <w:r w:rsidRPr="0018162A">
              <w:rPr>
                <w:rFonts w:asciiTheme="minorHAnsi" w:hAnsiTheme="minorHAnsi" w:cstheme="minorHAnsi"/>
                <w:sz w:val="20"/>
                <w:szCs w:val="20"/>
                <w:lang w:val="en-GB"/>
              </w:rPr>
              <w:t>enough</w:t>
            </w:r>
            <w:r w:rsidR="00FB6172" w:rsidRPr="0018162A">
              <w:rPr>
                <w:rFonts w:asciiTheme="minorHAnsi" w:hAnsiTheme="minorHAnsi" w:cstheme="minorHAnsi"/>
                <w:sz w:val="20"/>
                <w:szCs w:val="20"/>
                <w:lang w:val="en-GB"/>
              </w:rPr>
              <w:t xml:space="preserve"> WHO pre-qualified TB drugs, the efforts will continue to ensure an uninterrupted supply of second-line TB drugs from international sources, such as GDF and others. Currently, the country is revising the law on pharmaceuticals procurement, which is under the approval of Parliament. By the end of 2023, the country intends to procure around 20% of the required second-line drugs (SLD) from the state budget.</w:t>
            </w:r>
          </w:p>
          <w:p w14:paraId="7EB5FA07" w14:textId="77777777" w:rsidR="00FB6172" w:rsidRDefault="00FB6172" w:rsidP="00FB6172">
            <w:pPr>
              <w:pStyle w:val="affff3"/>
              <w:ind w:left="39"/>
              <w:jc w:val="both"/>
              <w:rPr>
                <w:rFonts w:asciiTheme="minorHAnsi" w:eastAsia="Calibri" w:hAnsiTheme="minorHAnsi" w:cstheme="minorHAnsi"/>
                <w:sz w:val="20"/>
                <w:szCs w:val="20"/>
                <w:lang w:val="en-GB"/>
              </w:rPr>
            </w:pPr>
          </w:p>
          <w:p w14:paraId="2645D5E8" w14:textId="14AA05CA" w:rsidR="00FB6172" w:rsidRPr="0018162A" w:rsidRDefault="00FB6172" w:rsidP="00FB6172">
            <w:pPr>
              <w:pStyle w:val="affff3"/>
              <w:ind w:left="39"/>
              <w:jc w:val="both"/>
              <w:rPr>
                <w:rFonts w:asciiTheme="minorHAnsi" w:eastAsia="Calibri" w:hAnsiTheme="minorHAnsi" w:cstheme="minorHAnsi"/>
                <w:sz w:val="20"/>
                <w:szCs w:val="20"/>
              </w:rPr>
            </w:pPr>
            <w:r w:rsidRPr="00912C27">
              <w:rPr>
                <w:rFonts w:asciiTheme="minorHAnsi" w:eastAsia="Calibri" w:hAnsiTheme="minorHAnsi" w:cstheme="minorHAnsi"/>
                <w:sz w:val="20"/>
                <w:szCs w:val="20"/>
                <w:lang w:val="en-GB"/>
              </w:rPr>
              <w:t>The Table below shows the number of patients disaggregated by available financing.</w:t>
            </w:r>
          </w:p>
          <w:tbl>
            <w:tblPr>
              <w:tblW w:w="10097" w:type="dxa"/>
              <w:tblLook w:val="04A0" w:firstRow="1" w:lastRow="0" w:firstColumn="1" w:lastColumn="0" w:noHBand="0" w:noVBand="1"/>
            </w:tblPr>
            <w:tblGrid>
              <w:gridCol w:w="4475"/>
              <w:gridCol w:w="1413"/>
              <w:gridCol w:w="1412"/>
              <w:gridCol w:w="1275"/>
              <w:gridCol w:w="1522"/>
            </w:tblGrid>
            <w:tr w:rsidR="00FB6172" w:rsidRPr="00912C27" w14:paraId="2D109F87" w14:textId="77777777" w:rsidTr="00595CA8">
              <w:trPr>
                <w:trHeight w:val="365"/>
              </w:trPr>
              <w:tc>
                <w:tcPr>
                  <w:tcW w:w="4475" w:type="dxa"/>
                  <w:tcBorders>
                    <w:top w:val="single" w:sz="4" w:space="0" w:color="auto"/>
                    <w:left w:val="single" w:sz="4" w:space="0" w:color="auto"/>
                    <w:bottom w:val="single" w:sz="4" w:space="0" w:color="auto"/>
                    <w:right w:val="single" w:sz="4" w:space="0" w:color="auto"/>
                  </w:tcBorders>
                  <w:shd w:val="clear" w:color="000000" w:fill="FFFFCC"/>
                </w:tcPr>
                <w:p w14:paraId="602BE664" w14:textId="77777777" w:rsidR="00FB6172" w:rsidRPr="0018162A" w:rsidRDefault="00FB6172" w:rsidP="00FB6172">
                  <w:pPr>
                    <w:spacing w:after="0" w:line="240" w:lineRule="auto"/>
                    <w:ind w:firstLine="39"/>
                    <w:jc w:val="center"/>
                    <w:rPr>
                      <w:rFonts w:ascii="Calibri" w:eastAsia="Times New Roman" w:hAnsi="Calibri" w:cs="Times New Roman"/>
                      <w:b/>
                      <w:bCs/>
                      <w:color w:val="000000"/>
                      <w:sz w:val="18"/>
                      <w:szCs w:val="18"/>
                      <w:lang w:val="en-GB" w:eastAsia="ru-RU"/>
                    </w:rPr>
                  </w:pPr>
                  <w:r w:rsidRPr="0018162A">
                    <w:rPr>
                      <w:b/>
                      <w:bCs/>
                      <w:sz w:val="18"/>
                      <w:szCs w:val="18"/>
                      <w:lang w:val="en-GB"/>
                    </w:rPr>
                    <w:t xml:space="preserve">Financing </w:t>
                  </w:r>
                </w:p>
              </w:tc>
              <w:tc>
                <w:tcPr>
                  <w:tcW w:w="1413" w:type="dxa"/>
                  <w:tcBorders>
                    <w:top w:val="single" w:sz="4" w:space="0" w:color="auto"/>
                    <w:left w:val="nil"/>
                    <w:bottom w:val="single" w:sz="4" w:space="0" w:color="auto"/>
                    <w:right w:val="single" w:sz="4" w:space="0" w:color="auto"/>
                  </w:tcBorders>
                  <w:shd w:val="clear" w:color="000000" w:fill="FFFFCC"/>
                </w:tcPr>
                <w:p w14:paraId="20163F4C" w14:textId="62A200D1" w:rsidR="00FB6172" w:rsidRPr="0018162A" w:rsidRDefault="00FB6172" w:rsidP="0018162A">
                  <w:pPr>
                    <w:spacing w:after="0" w:line="240" w:lineRule="auto"/>
                    <w:ind w:firstLine="39"/>
                    <w:jc w:val="center"/>
                    <w:rPr>
                      <w:rFonts w:ascii="Calibri" w:eastAsia="Times New Roman" w:hAnsi="Calibri" w:cs="Times New Roman"/>
                      <w:b/>
                      <w:bCs/>
                      <w:color w:val="000000"/>
                      <w:sz w:val="18"/>
                      <w:szCs w:val="18"/>
                      <w:lang w:val="en-GB" w:eastAsia="ru-RU"/>
                    </w:rPr>
                  </w:pPr>
                  <w:r w:rsidRPr="0018162A">
                    <w:rPr>
                      <w:b/>
                      <w:bCs/>
                      <w:sz w:val="18"/>
                      <w:szCs w:val="18"/>
                      <w:lang w:val="en-GB"/>
                    </w:rPr>
                    <w:t>Number of patients in 2021</w:t>
                  </w:r>
                </w:p>
              </w:tc>
              <w:tc>
                <w:tcPr>
                  <w:tcW w:w="1412" w:type="dxa"/>
                  <w:tcBorders>
                    <w:top w:val="single" w:sz="4" w:space="0" w:color="auto"/>
                    <w:left w:val="nil"/>
                    <w:bottom w:val="single" w:sz="4" w:space="0" w:color="auto"/>
                    <w:right w:val="single" w:sz="4" w:space="0" w:color="auto"/>
                  </w:tcBorders>
                  <w:shd w:val="clear" w:color="000000" w:fill="FFFFCC"/>
                </w:tcPr>
                <w:p w14:paraId="10870C4C" w14:textId="77777777" w:rsidR="00FB6172" w:rsidRPr="0018162A" w:rsidRDefault="00FB6172" w:rsidP="00FB6172">
                  <w:pPr>
                    <w:spacing w:after="0" w:line="240" w:lineRule="auto"/>
                    <w:ind w:firstLine="39"/>
                    <w:jc w:val="center"/>
                    <w:rPr>
                      <w:b/>
                      <w:bCs/>
                      <w:sz w:val="18"/>
                      <w:szCs w:val="18"/>
                      <w:lang w:val="en-GB"/>
                    </w:rPr>
                  </w:pPr>
                  <w:r w:rsidRPr="0018162A">
                    <w:rPr>
                      <w:b/>
                      <w:bCs/>
                      <w:sz w:val="18"/>
                      <w:szCs w:val="18"/>
                      <w:lang w:val="en-GB"/>
                    </w:rPr>
                    <w:t>Number of patients in</w:t>
                  </w:r>
                </w:p>
                <w:p w14:paraId="27EF703D" w14:textId="77777777" w:rsidR="00FB6172" w:rsidRPr="0018162A" w:rsidRDefault="00FB6172" w:rsidP="00FB6172">
                  <w:pPr>
                    <w:spacing w:after="0" w:line="240" w:lineRule="auto"/>
                    <w:ind w:firstLine="39"/>
                    <w:jc w:val="center"/>
                    <w:rPr>
                      <w:rFonts w:ascii="Calibri" w:eastAsia="Times New Roman" w:hAnsi="Calibri" w:cs="Times New Roman"/>
                      <w:b/>
                      <w:bCs/>
                      <w:color w:val="000000"/>
                      <w:sz w:val="18"/>
                      <w:szCs w:val="18"/>
                      <w:lang w:val="en-GB" w:eastAsia="ru-RU"/>
                    </w:rPr>
                  </w:pPr>
                  <w:r w:rsidRPr="0018162A">
                    <w:rPr>
                      <w:b/>
                      <w:bCs/>
                      <w:sz w:val="18"/>
                      <w:szCs w:val="18"/>
                      <w:lang w:val="en-GB"/>
                    </w:rPr>
                    <w:t>2022</w:t>
                  </w:r>
                </w:p>
              </w:tc>
              <w:tc>
                <w:tcPr>
                  <w:tcW w:w="1275" w:type="dxa"/>
                  <w:tcBorders>
                    <w:top w:val="single" w:sz="4" w:space="0" w:color="auto"/>
                    <w:left w:val="nil"/>
                    <w:bottom w:val="single" w:sz="4" w:space="0" w:color="auto"/>
                    <w:right w:val="single" w:sz="4" w:space="0" w:color="auto"/>
                  </w:tcBorders>
                  <w:shd w:val="clear" w:color="000000" w:fill="FFFFCC"/>
                </w:tcPr>
                <w:p w14:paraId="1591C354" w14:textId="43C11DD3" w:rsidR="00FB6172" w:rsidRPr="0018162A" w:rsidRDefault="00FB6172" w:rsidP="0018162A">
                  <w:pPr>
                    <w:spacing w:after="0" w:line="240" w:lineRule="auto"/>
                    <w:ind w:firstLine="39"/>
                    <w:jc w:val="center"/>
                    <w:rPr>
                      <w:b/>
                      <w:bCs/>
                      <w:sz w:val="18"/>
                      <w:szCs w:val="18"/>
                      <w:lang w:val="en-GB"/>
                    </w:rPr>
                  </w:pPr>
                  <w:r w:rsidRPr="0018162A">
                    <w:rPr>
                      <w:b/>
                      <w:bCs/>
                      <w:sz w:val="18"/>
                      <w:szCs w:val="18"/>
                      <w:lang w:val="en-GB"/>
                    </w:rPr>
                    <w:t>Number of patients in2023</w:t>
                  </w:r>
                </w:p>
              </w:tc>
              <w:tc>
                <w:tcPr>
                  <w:tcW w:w="1522" w:type="dxa"/>
                  <w:tcBorders>
                    <w:top w:val="single" w:sz="4" w:space="0" w:color="auto"/>
                    <w:left w:val="single" w:sz="4" w:space="0" w:color="auto"/>
                    <w:bottom w:val="single" w:sz="4" w:space="0" w:color="auto"/>
                    <w:right w:val="single" w:sz="4" w:space="0" w:color="auto"/>
                  </w:tcBorders>
                  <w:shd w:val="clear" w:color="000000" w:fill="FFFFCC"/>
                </w:tcPr>
                <w:p w14:paraId="13FF25A4" w14:textId="77777777" w:rsidR="00FB6172" w:rsidRPr="0018162A" w:rsidRDefault="00FB6172" w:rsidP="00FB6172">
                  <w:pPr>
                    <w:spacing w:after="0" w:line="240" w:lineRule="auto"/>
                    <w:ind w:firstLine="39"/>
                    <w:jc w:val="center"/>
                    <w:rPr>
                      <w:b/>
                      <w:bCs/>
                      <w:sz w:val="18"/>
                      <w:szCs w:val="18"/>
                      <w:lang w:val="en-GB"/>
                    </w:rPr>
                  </w:pPr>
                  <w:r w:rsidRPr="0018162A">
                    <w:rPr>
                      <w:b/>
                      <w:bCs/>
                      <w:sz w:val="18"/>
                      <w:szCs w:val="18"/>
                      <w:lang w:val="en-GB"/>
                    </w:rPr>
                    <w:t xml:space="preserve">Total </w:t>
                  </w:r>
                </w:p>
                <w:p w14:paraId="3E53B9ED" w14:textId="77777777" w:rsidR="00FB6172" w:rsidRPr="0018162A" w:rsidRDefault="00FB6172" w:rsidP="00FB6172">
                  <w:pPr>
                    <w:spacing w:after="0" w:line="240" w:lineRule="auto"/>
                    <w:ind w:firstLine="39"/>
                    <w:jc w:val="center"/>
                    <w:rPr>
                      <w:rFonts w:ascii="Calibri" w:eastAsia="Times New Roman" w:hAnsi="Calibri" w:cs="Times New Roman"/>
                      <w:b/>
                      <w:bCs/>
                      <w:color w:val="000000"/>
                      <w:sz w:val="18"/>
                      <w:szCs w:val="18"/>
                      <w:lang w:val="en-GB" w:eastAsia="ru-RU"/>
                    </w:rPr>
                  </w:pPr>
                  <w:r w:rsidRPr="0018162A">
                    <w:rPr>
                      <w:b/>
                      <w:bCs/>
                      <w:sz w:val="18"/>
                      <w:szCs w:val="18"/>
                      <w:lang w:val="en-GB"/>
                    </w:rPr>
                    <w:t>2018-2022</w:t>
                  </w:r>
                </w:p>
              </w:tc>
            </w:tr>
            <w:tr w:rsidR="00FB6172" w:rsidRPr="00912C27" w14:paraId="696ECBD5" w14:textId="77777777" w:rsidTr="00595CA8">
              <w:trPr>
                <w:trHeight w:val="251"/>
              </w:trPr>
              <w:tc>
                <w:tcPr>
                  <w:tcW w:w="4475" w:type="dxa"/>
                  <w:tcBorders>
                    <w:top w:val="nil"/>
                    <w:left w:val="single" w:sz="4" w:space="0" w:color="auto"/>
                    <w:bottom w:val="single" w:sz="4" w:space="0" w:color="auto"/>
                    <w:right w:val="single" w:sz="4" w:space="0" w:color="auto"/>
                  </w:tcBorders>
                  <w:shd w:val="clear" w:color="000000" w:fill="FFFFFF"/>
                  <w:vAlign w:val="center"/>
                  <w:hideMark/>
                </w:tcPr>
                <w:p w14:paraId="71C4BD21" w14:textId="77777777" w:rsidR="00FB6172" w:rsidRPr="0018162A" w:rsidRDefault="00FB6172" w:rsidP="00FB6172">
                  <w:pPr>
                    <w:spacing w:after="0" w:line="240" w:lineRule="auto"/>
                    <w:ind w:right="-81"/>
                    <w:rPr>
                      <w:rFonts w:ascii="Calibri" w:eastAsia="Times New Roman" w:hAnsi="Calibri" w:cs="Times New Roman"/>
                      <w:color w:val="000000"/>
                      <w:sz w:val="18"/>
                      <w:szCs w:val="18"/>
                      <w:lang w:val="en-GB" w:eastAsia="ru-RU"/>
                    </w:rPr>
                  </w:pPr>
                  <w:r w:rsidRPr="0018162A">
                    <w:rPr>
                      <w:rFonts w:cs="Arial"/>
                      <w:color w:val="000000"/>
                      <w:sz w:val="18"/>
                      <w:szCs w:val="18"/>
                      <w:lang w:val="en-GB"/>
                    </w:rPr>
                    <w:t xml:space="preserve">GF grant – primary financing </w:t>
                  </w:r>
                </w:p>
              </w:tc>
              <w:tc>
                <w:tcPr>
                  <w:tcW w:w="1413" w:type="dxa"/>
                  <w:tcBorders>
                    <w:top w:val="nil"/>
                    <w:left w:val="nil"/>
                    <w:bottom w:val="single" w:sz="4" w:space="0" w:color="auto"/>
                    <w:right w:val="single" w:sz="4" w:space="0" w:color="auto"/>
                  </w:tcBorders>
                  <w:shd w:val="clear" w:color="000000" w:fill="FFFFFF"/>
                </w:tcPr>
                <w:p w14:paraId="239898F2" w14:textId="77777777" w:rsidR="00FB6172" w:rsidRPr="0018162A" w:rsidRDefault="00FB6172" w:rsidP="00FB6172">
                  <w:pPr>
                    <w:spacing w:after="0" w:line="240" w:lineRule="auto"/>
                    <w:ind w:firstLine="39"/>
                    <w:jc w:val="center"/>
                    <w:rPr>
                      <w:rFonts w:ascii="Calibri" w:eastAsia="Times New Roman" w:hAnsi="Calibri" w:cs="Times New Roman"/>
                      <w:color w:val="000000"/>
                      <w:sz w:val="18"/>
                      <w:szCs w:val="18"/>
                      <w:lang w:val="en-GB" w:eastAsia="ru-RU"/>
                    </w:rPr>
                  </w:pPr>
                  <w:r w:rsidRPr="0018162A">
                    <w:rPr>
                      <w:rFonts w:cs="Arial"/>
                      <w:color w:val="333333"/>
                      <w:sz w:val="18"/>
                      <w:szCs w:val="18"/>
                      <w:lang w:val="en-GB"/>
                    </w:rPr>
                    <w:t>1,292</w:t>
                  </w:r>
                </w:p>
              </w:tc>
              <w:tc>
                <w:tcPr>
                  <w:tcW w:w="1412" w:type="dxa"/>
                  <w:tcBorders>
                    <w:top w:val="nil"/>
                    <w:left w:val="nil"/>
                    <w:bottom w:val="single" w:sz="4" w:space="0" w:color="auto"/>
                    <w:right w:val="single" w:sz="4" w:space="0" w:color="auto"/>
                  </w:tcBorders>
                  <w:shd w:val="clear" w:color="000000" w:fill="FFFFFF"/>
                </w:tcPr>
                <w:p w14:paraId="30303C6E" w14:textId="77777777" w:rsidR="00FB6172" w:rsidRPr="0018162A" w:rsidRDefault="00FB6172" w:rsidP="00FB6172">
                  <w:pPr>
                    <w:spacing w:after="0" w:line="240" w:lineRule="auto"/>
                    <w:ind w:firstLine="39"/>
                    <w:jc w:val="center"/>
                    <w:rPr>
                      <w:rFonts w:ascii="Calibri" w:eastAsia="Times New Roman" w:hAnsi="Calibri" w:cs="Times New Roman"/>
                      <w:color w:val="000000"/>
                      <w:sz w:val="18"/>
                      <w:szCs w:val="18"/>
                      <w:lang w:val="en-GB" w:eastAsia="ru-RU"/>
                    </w:rPr>
                  </w:pPr>
                  <w:r w:rsidRPr="0018162A">
                    <w:rPr>
                      <w:rFonts w:cs="Arial"/>
                      <w:color w:val="333333"/>
                      <w:sz w:val="18"/>
                      <w:szCs w:val="18"/>
                      <w:lang w:val="en-GB"/>
                    </w:rPr>
                    <w:t>1,295</w:t>
                  </w:r>
                </w:p>
              </w:tc>
              <w:tc>
                <w:tcPr>
                  <w:tcW w:w="1275" w:type="dxa"/>
                  <w:tcBorders>
                    <w:top w:val="single" w:sz="4" w:space="0" w:color="auto"/>
                    <w:left w:val="nil"/>
                    <w:bottom w:val="single" w:sz="4" w:space="0" w:color="auto"/>
                    <w:right w:val="single" w:sz="4" w:space="0" w:color="auto"/>
                  </w:tcBorders>
                  <w:shd w:val="clear" w:color="000000" w:fill="FFFFFF"/>
                </w:tcPr>
                <w:p w14:paraId="458B0A7F" w14:textId="77777777" w:rsidR="00FB6172" w:rsidRPr="0018162A" w:rsidRDefault="00FB6172" w:rsidP="00FB6172">
                  <w:pPr>
                    <w:spacing w:after="0" w:line="240" w:lineRule="auto"/>
                    <w:ind w:firstLine="39"/>
                    <w:jc w:val="center"/>
                    <w:rPr>
                      <w:rFonts w:ascii="Calibri" w:eastAsia="Times New Roman" w:hAnsi="Calibri" w:cs="Times New Roman"/>
                      <w:color w:val="000000"/>
                      <w:sz w:val="18"/>
                      <w:szCs w:val="18"/>
                      <w:lang w:val="en-GB" w:eastAsia="ru-RU"/>
                    </w:rPr>
                  </w:pPr>
                  <w:r w:rsidRPr="0018162A">
                    <w:rPr>
                      <w:rFonts w:cs="Arial"/>
                      <w:color w:val="333333"/>
                      <w:sz w:val="18"/>
                      <w:szCs w:val="18"/>
                      <w:lang w:val="en-GB"/>
                    </w:rPr>
                    <w:t>1,280</w:t>
                  </w:r>
                </w:p>
              </w:tc>
              <w:tc>
                <w:tcPr>
                  <w:tcW w:w="1522" w:type="dxa"/>
                  <w:tcBorders>
                    <w:top w:val="nil"/>
                    <w:left w:val="single" w:sz="4" w:space="0" w:color="auto"/>
                    <w:bottom w:val="single" w:sz="4" w:space="0" w:color="auto"/>
                    <w:right w:val="single" w:sz="4" w:space="0" w:color="auto"/>
                  </w:tcBorders>
                  <w:shd w:val="clear" w:color="000000" w:fill="FFFFFF"/>
                </w:tcPr>
                <w:p w14:paraId="021E8F5E" w14:textId="77777777" w:rsidR="00FB6172" w:rsidRPr="0018162A" w:rsidRDefault="00FB6172" w:rsidP="00FB6172">
                  <w:pPr>
                    <w:spacing w:after="0" w:line="240" w:lineRule="auto"/>
                    <w:ind w:firstLine="39"/>
                    <w:jc w:val="center"/>
                    <w:rPr>
                      <w:rFonts w:ascii="Calibri" w:eastAsia="Times New Roman" w:hAnsi="Calibri" w:cs="Times New Roman"/>
                      <w:color w:val="000000"/>
                      <w:sz w:val="18"/>
                      <w:szCs w:val="18"/>
                      <w:lang w:val="en-GB" w:eastAsia="ru-RU"/>
                    </w:rPr>
                  </w:pPr>
                  <w:r w:rsidRPr="0018162A">
                    <w:rPr>
                      <w:rFonts w:cs="Arial"/>
                      <w:color w:val="333333"/>
                      <w:sz w:val="18"/>
                      <w:szCs w:val="18"/>
                      <w:lang w:val="en-GB"/>
                    </w:rPr>
                    <w:t>3,867</w:t>
                  </w:r>
                </w:p>
              </w:tc>
            </w:tr>
            <w:tr w:rsidR="00FB6172" w:rsidRPr="00912C27" w14:paraId="7C5C2501" w14:textId="77777777" w:rsidTr="00595CA8">
              <w:trPr>
                <w:trHeight w:val="251"/>
              </w:trPr>
              <w:tc>
                <w:tcPr>
                  <w:tcW w:w="4475" w:type="dxa"/>
                  <w:tcBorders>
                    <w:top w:val="single" w:sz="4" w:space="0" w:color="auto"/>
                    <w:left w:val="single" w:sz="4" w:space="0" w:color="auto"/>
                    <w:bottom w:val="single" w:sz="4" w:space="0" w:color="auto"/>
                    <w:right w:val="single" w:sz="4" w:space="0" w:color="auto"/>
                  </w:tcBorders>
                  <w:shd w:val="clear" w:color="000000" w:fill="FFFFFF"/>
                  <w:vAlign w:val="center"/>
                </w:tcPr>
                <w:p w14:paraId="5A8E9D8B" w14:textId="77777777" w:rsidR="00FB6172" w:rsidRPr="0018162A" w:rsidRDefault="00FB6172" w:rsidP="00FB6172">
                  <w:pPr>
                    <w:spacing w:after="0" w:line="240" w:lineRule="auto"/>
                    <w:ind w:right="-81"/>
                    <w:rPr>
                      <w:rFonts w:ascii="Calibri" w:eastAsia="Times New Roman" w:hAnsi="Calibri" w:cs="Times New Roman"/>
                      <w:color w:val="000000"/>
                      <w:sz w:val="18"/>
                      <w:szCs w:val="18"/>
                      <w:lang w:val="en-GB" w:eastAsia="ru-RU"/>
                    </w:rPr>
                  </w:pPr>
                  <w:r w:rsidRPr="0018162A">
                    <w:rPr>
                      <w:rFonts w:cs="Arial"/>
                      <w:color w:val="000000"/>
                      <w:sz w:val="18"/>
                      <w:szCs w:val="18"/>
                      <w:lang w:val="en-GB"/>
                    </w:rPr>
                    <w:t xml:space="preserve">State budget </w:t>
                  </w:r>
                </w:p>
              </w:tc>
              <w:tc>
                <w:tcPr>
                  <w:tcW w:w="1413" w:type="dxa"/>
                  <w:tcBorders>
                    <w:top w:val="single" w:sz="4" w:space="0" w:color="auto"/>
                    <w:left w:val="nil"/>
                    <w:bottom w:val="single" w:sz="4" w:space="0" w:color="auto"/>
                    <w:right w:val="single" w:sz="4" w:space="0" w:color="auto"/>
                  </w:tcBorders>
                  <w:shd w:val="clear" w:color="000000" w:fill="FFFFFF"/>
                </w:tcPr>
                <w:p w14:paraId="2C3ED54F" w14:textId="77777777" w:rsidR="00FB6172" w:rsidRPr="0018162A" w:rsidRDefault="00FB6172" w:rsidP="00FB6172">
                  <w:pPr>
                    <w:spacing w:after="0" w:line="240" w:lineRule="auto"/>
                    <w:ind w:firstLine="39"/>
                    <w:jc w:val="center"/>
                    <w:rPr>
                      <w:rFonts w:ascii="Calibri" w:eastAsia="Times New Roman" w:hAnsi="Calibri" w:cs="Times New Roman"/>
                      <w:color w:val="000000"/>
                      <w:sz w:val="18"/>
                      <w:szCs w:val="18"/>
                      <w:lang w:val="en-GB" w:eastAsia="ru-RU"/>
                    </w:rPr>
                  </w:pPr>
                  <w:r w:rsidRPr="0018162A">
                    <w:rPr>
                      <w:rFonts w:cs="Arial"/>
                      <w:color w:val="333333"/>
                      <w:sz w:val="18"/>
                      <w:szCs w:val="18"/>
                      <w:lang w:val="en-GB"/>
                    </w:rPr>
                    <w:t>228</w:t>
                  </w:r>
                </w:p>
              </w:tc>
              <w:tc>
                <w:tcPr>
                  <w:tcW w:w="1412" w:type="dxa"/>
                  <w:tcBorders>
                    <w:top w:val="single" w:sz="4" w:space="0" w:color="auto"/>
                    <w:left w:val="nil"/>
                    <w:bottom w:val="single" w:sz="4" w:space="0" w:color="auto"/>
                    <w:right w:val="single" w:sz="4" w:space="0" w:color="auto"/>
                  </w:tcBorders>
                  <w:shd w:val="clear" w:color="000000" w:fill="FFFFFF"/>
                </w:tcPr>
                <w:p w14:paraId="0189FC30" w14:textId="77777777" w:rsidR="00FB6172" w:rsidRPr="0018162A" w:rsidRDefault="00FB6172" w:rsidP="00FB6172">
                  <w:pPr>
                    <w:spacing w:after="0" w:line="240" w:lineRule="auto"/>
                    <w:ind w:firstLine="39"/>
                    <w:jc w:val="center"/>
                    <w:rPr>
                      <w:rFonts w:ascii="Calibri" w:eastAsia="Times New Roman" w:hAnsi="Calibri" w:cs="Times New Roman"/>
                      <w:color w:val="000000"/>
                      <w:sz w:val="18"/>
                      <w:szCs w:val="18"/>
                      <w:lang w:val="en-GB" w:eastAsia="ru-RU"/>
                    </w:rPr>
                  </w:pPr>
                  <w:r w:rsidRPr="0018162A">
                    <w:rPr>
                      <w:rFonts w:cs="Arial"/>
                      <w:color w:val="333333"/>
                      <w:sz w:val="18"/>
                      <w:szCs w:val="18"/>
                      <w:lang w:val="en-GB"/>
                    </w:rPr>
                    <w:t>265</w:t>
                  </w:r>
                </w:p>
              </w:tc>
              <w:tc>
                <w:tcPr>
                  <w:tcW w:w="1275" w:type="dxa"/>
                  <w:tcBorders>
                    <w:top w:val="single" w:sz="4" w:space="0" w:color="auto"/>
                    <w:left w:val="nil"/>
                    <w:bottom w:val="single" w:sz="4" w:space="0" w:color="auto"/>
                    <w:right w:val="single" w:sz="4" w:space="0" w:color="auto"/>
                  </w:tcBorders>
                  <w:shd w:val="clear" w:color="000000" w:fill="FFFFFF"/>
                </w:tcPr>
                <w:p w14:paraId="259C71AA" w14:textId="77777777" w:rsidR="00FB6172" w:rsidRPr="0018162A" w:rsidRDefault="00FB6172" w:rsidP="00FB6172">
                  <w:pPr>
                    <w:spacing w:after="0" w:line="240" w:lineRule="auto"/>
                    <w:ind w:firstLine="39"/>
                    <w:jc w:val="center"/>
                    <w:rPr>
                      <w:rFonts w:ascii="Calibri" w:eastAsia="Times New Roman" w:hAnsi="Calibri" w:cs="Times New Roman"/>
                      <w:color w:val="000000"/>
                      <w:sz w:val="18"/>
                      <w:szCs w:val="18"/>
                      <w:lang w:val="en-GB" w:eastAsia="ru-RU"/>
                    </w:rPr>
                  </w:pPr>
                  <w:r w:rsidRPr="0018162A">
                    <w:rPr>
                      <w:rFonts w:cs="Arial"/>
                      <w:color w:val="333333"/>
                      <w:sz w:val="18"/>
                      <w:szCs w:val="18"/>
                      <w:lang w:val="en-GB"/>
                    </w:rPr>
                    <w:t>320</w:t>
                  </w:r>
                </w:p>
              </w:tc>
              <w:tc>
                <w:tcPr>
                  <w:tcW w:w="1522" w:type="dxa"/>
                  <w:tcBorders>
                    <w:top w:val="single" w:sz="4" w:space="0" w:color="auto"/>
                    <w:left w:val="single" w:sz="4" w:space="0" w:color="auto"/>
                    <w:bottom w:val="single" w:sz="4" w:space="0" w:color="auto"/>
                    <w:right w:val="single" w:sz="4" w:space="0" w:color="auto"/>
                  </w:tcBorders>
                  <w:shd w:val="clear" w:color="000000" w:fill="FFFFFF"/>
                </w:tcPr>
                <w:p w14:paraId="7DC15162" w14:textId="77777777" w:rsidR="00FB6172" w:rsidRPr="0018162A" w:rsidRDefault="00FB6172" w:rsidP="00FB6172">
                  <w:pPr>
                    <w:spacing w:after="0" w:line="240" w:lineRule="auto"/>
                    <w:ind w:firstLine="39"/>
                    <w:jc w:val="center"/>
                    <w:rPr>
                      <w:sz w:val="18"/>
                      <w:szCs w:val="18"/>
                      <w:lang w:val="en-GB"/>
                    </w:rPr>
                  </w:pPr>
                  <w:r w:rsidRPr="0018162A">
                    <w:rPr>
                      <w:rFonts w:cs="Arial"/>
                      <w:color w:val="333333"/>
                      <w:sz w:val="18"/>
                      <w:szCs w:val="18"/>
                      <w:lang w:val="en-GB"/>
                    </w:rPr>
                    <w:t>813</w:t>
                  </w:r>
                </w:p>
              </w:tc>
            </w:tr>
            <w:tr w:rsidR="00FB6172" w:rsidRPr="00912C27" w14:paraId="632BB4F2" w14:textId="77777777" w:rsidTr="00595CA8">
              <w:trPr>
                <w:trHeight w:val="251"/>
              </w:trPr>
              <w:tc>
                <w:tcPr>
                  <w:tcW w:w="4475" w:type="dxa"/>
                  <w:tcBorders>
                    <w:top w:val="single" w:sz="4" w:space="0" w:color="auto"/>
                    <w:left w:val="single" w:sz="4" w:space="0" w:color="auto"/>
                    <w:bottom w:val="single" w:sz="4" w:space="0" w:color="auto"/>
                    <w:right w:val="single" w:sz="4" w:space="0" w:color="auto"/>
                  </w:tcBorders>
                  <w:shd w:val="clear" w:color="000000" w:fill="FFFFFF"/>
                  <w:vAlign w:val="center"/>
                </w:tcPr>
                <w:p w14:paraId="76049E75" w14:textId="77777777" w:rsidR="00FB6172" w:rsidRPr="0018162A" w:rsidRDefault="00FB6172" w:rsidP="00FB6172">
                  <w:pPr>
                    <w:spacing w:after="0" w:line="240" w:lineRule="auto"/>
                    <w:ind w:right="-81"/>
                    <w:rPr>
                      <w:rFonts w:ascii="Calibri" w:eastAsia="Times New Roman" w:hAnsi="Calibri" w:cs="Times New Roman"/>
                      <w:b/>
                      <w:color w:val="000000"/>
                      <w:sz w:val="18"/>
                      <w:szCs w:val="18"/>
                      <w:lang w:val="en-GB" w:eastAsia="ru-RU"/>
                    </w:rPr>
                  </w:pPr>
                  <w:r w:rsidRPr="0018162A">
                    <w:rPr>
                      <w:rFonts w:cs="Arial"/>
                      <w:color w:val="000000"/>
                      <w:sz w:val="18"/>
                      <w:szCs w:val="18"/>
                      <w:lang w:val="en-GB"/>
                    </w:rPr>
                    <w:t>GF PAAR</w:t>
                  </w:r>
                </w:p>
              </w:tc>
              <w:tc>
                <w:tcPr>
                  <w:tcW w:w="1413" w:type="dxa"/>
                  <w:tcBorders>
                    <w:top w:val="single" w:sz="4" w:space="0" w:color="auto"/>
                    <w:left w:val="nil"/>
                    <w:bottom w:val="single" w:sz="4" w:space="0" w:color="auto"/>
                    <w:right w:val="single" w:sz="4" w:space="0" w:color="auto"/>
                  </w:tcBorders>
                  <w:shd w:val="clear" w:color="000000" w:fill="FFFFFF"/>
                </w:tcPr>
                <w:p w14:paraId="2A3FDB87" w14:textId="77777777" w:rsidR="00FB6172" w:rsidRPr="0018162A" w:rsidRDefault="00FB6172" w:rsidP="00FB6172">
                  <w:pPr>
                    <w:spacing w:after="0" w:line="240" w:lineRule="auto"/>
                    <w:ind w:firstLine="39"/>
                    <w:jc w:val="center"/>
                    <w:rPr>
                      <w:rFonts w:ascii="Calibri" w:eastAsia="Times New Roman" w:hAnsi="Calibri" w:cs="Times New Roman"/>
                      <w:b/>
                      <w:color w:val="000000"/>
                      <w:sz w:val="18"/>
                      <w:szCs w:val="18"/>
                      <w:lang w:val="en-GB" w:eastAsia="ru-RU"/>
                    </w:rPr>
                  </w:pPr>
                  <w:r w:rsidRPr="0018162A">
                    <w:rPr>
                      <w:rFonts w:cs="Arial"/>
                      <w:color w:val="000000"/>
                      <w:sz w:val="18"/>
                      <w:szCs w:val="18"/>
                      <w:lang w:val="en-GB"/>
                    </w:rPr>
                    <w:t>495</w:t>
                  </w:r>
                </w:p>
              </w:tc>
              <w:tc>
                <w:tcPr>
                  <w:tcW w:w="1412" w:type="dxa"/>
                  <w:tcBorders>
                    <w:top w:val="single" w:sz="4" w:space="0" w:color="auto"/>
                    <w:left w:val="nil"/>
                    <w:bottom w:val="single" w:sz="4" w:space="0" w:color="auto"/>
                    <w:right w:val="single" w:sz="4" w:space="0" w:color="auto"/>
                  </w:tcBorders>
                  <w:shd w:val="clear" w:color="000000" w:fill="FFFFFF"/>
                </w:tcPr>
                <w:p w14:paraId="6ED5889B" w14:textId="77777777" w:rsidR="00FB6172" w:rsidRPr="0018162A" w:rsidRDefault="00FB6172" w:rsidP="00FB6172">
                  <w:pPr>
                    <w:spacing w:after="0" w:line="240" w:lineRule="auto"/>
                    <w:ind w:firstLine="39"/>
                    <w:jc w:val="center"/>
                    <w:rPr>
                      <w:rFonts w:ascii="Calibri" w:eastAsia="Times New Roman" w:hAnsi="Calibri" w:cs="Times New Roman"/>
                      <w:b/>
                      <w:color w:val="000000"/>
                      <w:sz w:val="18"/>
                      <w:szCs w:val="18"/>
                      <w:lang w:val="en-GB" w:eastAsia="ru-RU"/>
                    </w:rPr>
                  </w:pPr>
                  <w:r w:rsidRPr="0018162A">
                    <w:rPr>
                      <w:rFonts w:cs="Arial"/>
                      <w:color w:val="000000"/>
                      <w:sz w:val="18"/>
                      <w:szCs w:val="18"/>
                      <w:lang w:val="en-GB"/>
                    </w:rPr>
                    <w:t>730</w:t>
                  </w:r>
                </w:p>
              </w:tc>
              <w:tc>
                <w:tcPr>
                  <w:tcW w:w="1275" w:type="dxa"/>
                  <w:tcBorders>
                    <w:top w:val="single" w:sz="4" w:space="0" w:color="auto"/>
                    <w:left w:val="nil"/>
                    <w:bottom w:val="single" w:sz="4" w:space="0" w:color="auto"/>
                    <w:right w:val="single" w:sz="4" w:space="0" w:color="auto"/>
                  </w:tcBorders>
                  <w:shd w:val="clear" w:color="000000" w:fill="FFFFFF"/>
                </w:tcPr>
                <w:p w14:paraId="10E695DA" w14:textId="77777777" w:rsidR="00FB6172" w:rsidRPr="0018162A" w:rsidRDefault="00FB6172" w:rsidP="00FB6172">
                  <w:pPr>
                    <w:spacing w:after="0" w:line="240" w:lineRule="auto"/>
                    <w:ind w:firstLine="39"/>
                    <w:jc w:val="center"/>
                    <w:rPr>
                      <w:rFonts w:ascii="Calibri" w:eastAsia="Times New Roman" w:hAnsi="Calibri" w:cs="Times New Roman"/>
                      <w:b/>
                      <w:color w:val="000000"/>
                      <w:sz w:val="18"/>
                      <w:szCs w:val="18"/>
                      <w:lang w:val="en-GB" w:eastAsia="ru-RU"/>
                    </w:rPr>
                  </w:pPr>
                  <w:r w:rsidRPr="0018162A">
                    <w:rPr>
                      <w:rFonts w:cs="Arial"/>
                      <w:color w:val="000000"/>
                      <w:sz w:val="18"/>
                      <w:szCs w:val="18"/>
                      <w:lang w:val="en-GB"/>
                    </w:rPr>
                    <w:t>690</w:t>
                  </w:r>
                </w:p>
              </w:tc>
              <w:tc>
                <w:tcPr>
                  <w:tcW w:w="1522" w:type="dxa"/>
                  <w:tcBorders>
                    <w:top w:val="single" w:sz="4" w:space="0" w:color="auto"/>
                    <w:left w:val="single" w:sz="4" w:space="0" w:color="auto"/>
                    <w:bottom w:val="single" w:sz="4" w:space="0" w:color="auto"/>
                    <w:right w:val="single" w:sz="4" w:space="0" w:color="auto"/>
                  </w:tcBorders>
                  <w:shd w:val="clear" w:color="000000" w:fill="FFFFFF"/>
                </w:tcPr>
                <w:p w14:paraId="790F8344" w14:textId="77777777" w:rsidR="00FB6172" w:rsidRPr="0018162A" w:rsidRDefault="00FB6172" w:rsidP="00FB6172">
                  <w:pPr>
                    <w:spacing w:after="0" w:line="240" w:lineRule="auto"/>
                    <w:ind w:firstLine="39"/>
                    <w:jc w:val="center"/>
                    <w:rPr>
                      <w:b/>
                      <w:sz w:val="18"/>
                      <w:szCs w:val="18"/>
                      <w:lang w:val="en-GB"/>
                    </w:rPr>
                  </w:pPr>
                  <w:r w:rsidRPr="0018162A">
                    <w:rPr>
                      <w:rFonts w:cs="Arial"/>
                      <w:color w:val="000000"/>
                      <w:sz w:val="18"/>
                      <w:szCs w:val="18"/>
                      <w:lang w:val="en-GB"/>
                    </w:rPr>
                    <w:t>1,915</w:t>
                  </w:r>
                </w:p>
              </w:tc>
            </w:tr>
          </w:tbl>
          <w:p w14:paraId="1E5AEEF7" w14:textId="595A188F" w:rsidR="00FB6172" w:rsidRPr="00912C27" w:rsidRDefault="00FB6172" w:rsidP="00FB6172">
            <w:pPr>
              <w:jc w:val="both"/>
              <w:rPr>
                <w:rFonts w:asciiTheme="minorHAnsi" w:eastAsia="Calibri" w:hAnsiTheme="minorHAnsi" w:cstheme="minorHAnsi"/>
                <w:sz w:val="20"/>
                <w:szCs w:val="20"/>
                <w:lang w:val="en-GB"/>
              </w:rPr>
            </w:pPr>
            <w:r w:rsidRPr="00912C27">
              <w:rPr>
                <w:rFonts w:asciiTheme="minorHAnsi" w:eastAsia="Calibri" w:hAnsiTheme="minorHAnsi" w:cstheme="minorHAnsi"/>
                <w:sz w:val="20"/>
                <w:szCs w:val="20"/>
                <w:lang w:val="en-GB"/>
              </w:rPr>
              <w:t xml:space="preserve">As part of the </w:t>
            </w:r>
            <w:r>
              <w:rPr>
                <w:rFonts w:asciiTheme="minorHAnsi" w:eastAsia="Calibri" w:hAnsiTheme="minorHAnsi" w:cstheme="minorHAnsi"/>
                <w:sz w:val="20"/>
                <w:szCs w:val="20"/>
                <w:lang w:val="en-GB"/>
              </w:rPr>
              <w:t>GF’s</w:t>
            </w:r>
            <w:r w:rsidRPr="00912C27">
              <w:rPr>
                <w:rFonts w:asciiTheme="minorHAnsi" w:eastAsia="Calibri" w:hAnsiTheme="minorHAnsi" w:cstheme="minorHAnsi"/>
                <w:sz w:val="20"/>
                <w:szCs w:val="20"/>
                <w:lang w:val="en-GB"/>
              </w:rPr>
              <w:t xml:space="preserve"> Funding Request </w:t>
            </w:r>
            <w:r>
              <w:rPr>
                <w:rFonts w:asciiTheme="minorHAnsi" w:eastAsia="Calibri" w:hAnsiTheme="minorHAnsi" w:cstheme="minorHAnsi"/>
                <w:sz w:val="20"/>
                <w:szCs w:val="20"/>
                <w:lang w:val="en-GB"/>
              </w:rPr>
              <w:t>for</w:t>
            </w:r>
            <w:r w:rsidRPr="00912C27">
              <w:rPr>
                <w:rFonts w:asciiTheme="minorHAnsi" w:eastAsia="Calibri" w:hAnsiTheme="minorHAnsi" w:cstheme="minorHAnsi"/>
                <w:sz w:val="20"/>
                <w:szCs w:val="20"/>
                <w:lang w:val="en-GB"/>
              </w:rPr>
              <w:t xml:space="preserve"> 2021-2023</w:t>
            </w:r>
            <w:r>
              <w:rPr>
                <w:rFonts w:asciiTheme="minorHAnsi" w:eastAsia="Calibri" w:hAnsiTheme="minorHAnsi" w:cstheme="minorHAnsi"/>
                <w:sz w:val="20"/>
                <w:szCs w:val="20"/>
                <w:lang w:val="en-GB"/>
              </w:rPr>
              <w:t xml:space="preserve">, the </w:t>
            </w:r>
            <w:r w:rsidRPr="00912C27">
              <w:rPr>
                <w:rFonts w:asciiTheme="minorHAnsi" w:eastAsia="Calibri" w:hAnsiTheme="minorHAnsi" w:cstheme="minorHAnsi"/>
                <w:sz w:val="20"/>
                <w:szCs w:val="20"/>
                <w:lang w:val="en-GB"/>
              </w:rPr>
              <w:t xml:space="preserve">budget to support patients </w:t>
            </w:r>
            <w:proofErr w:type="gramStart"/>
            <w:r w:rsidRPr="00912C27">
              <w:rPr>
                <w:rFonts w:asciiTheme="minorHAnsi" w:eastAsia="Calibri" w:hAnsiTheme="minorHAnsi" w:cstheme="minorHAnsi"/>
                <w:sz w:val="20"/>
                <w:szCs w:val="20"/>
                <w:lang w:val="en-GB"/>
              </w:rPr>
              <w:t>is calculated</w:t>
            </w:r>
            <w:proofErr w:type="gramEnd"/>
            <w:r w:rsidRPr="00912C27">
              <w:rPr>
                <w:rFonts w:asciiTheme="minorHAnsi" w:eastAsia="Calibri" w:hAnsiTheme="minorHAnsi" w:cstheme="minorHAnsi"/>
                <w:sz w:val="20"/>
                <w:szCs w:val="20"/>
                <w:lang w:val="en-GB"/>
              </w:rPr>
              <w:t xml:space="preserve"> based on actual patient enrolment in previous years 1</w:t>
            </w:r>
            <w:r>
              <w:rPr>
                <w:rFonts w:asciiTheme="minorHAnsi" w:eastAsia="Calibri" w:hAnsiTheme="minorHAnsi" w:cstheme="minorHAnsi"/>
                <w:sz w:val="20"/>
                <w:szCs w:val="20"/>
                <w:lang w:val="en-GB"/>
              </w:rPr>
              <w:t>,</w:t>
            </w:r>
            <w:r w:rsidRPr="00912C27">
              <w:rPr>
                <w:rFonts w:asciiTheme="minorHAnsi" w:eastAsia="Calibri" w:hAnsiTheme="minorHAnsi" w:cstheme="minorHAnsi"/>
                <w:sz w:val="20"/>
                <w:szCs w:val="20"/>
                <w:lang w:val="en-GB"/>
              </w:rPr>
              <w:t>540, 1</w:t>
            </w:r>
            <w:r>
              <w:rPr>
                <w:rFonts w:asciiTheme="minorHAnsi" w:eastAsia="Calibri" w:hAnsiTheme="minorHAnsi" w:cstheme="minorHAnsi"/>
                <w:sz w:val="20"/>
                <w:szCs w:val="20"/>
                <w:lang w:val="en-GB"/>
              </w:rPr>
              <w:t>,</w:t>
            </w:r>
            <w:r w:rsidRPr="00912C27">
              <w:rPr>
                <w:rFonts w:asciiTheme="minorHAnsi" w:eastAsia="Calibri" w:hAnsiTheme="minorHAnsi" w:cstheme="minorHAnsi"/>
                <w:sz w:val="20"/>
                <w:szCs w:val="20"/>
                <w:lang w:val="en-GB"/>
              </w:rPr>
              <w:t>560 and 1</w:t>
            </w:r>
            <w:r>
              <w:rPr>
                <w:rFonts w:asciiTheme="minorHAnsi" w:eastAsia="Calibri" w:hAnsiTheme="minorHAnsi" w:cstheme="minorHAnsi"/>
                <w:sz w:val="20"/>
                <w:szCs w:val="20"/>
                <w:lang w:val="en-GB"/>
              </w:rPr>
              <w:t>,</w:t>
            </w:r>
            <w:r w:rsidRPr="00912C27">
              <w:rPr>
                <w:rFonts w:asciiTheme="minorHAnsi" w:eastAsia="Calibri" w:hAnsiTheme="minorHAnsi" w:cstheme="minorHAnsi"/>
                <w:sz w:val="20"/>
                <w:szCs w:val="20"/>
                <w:lang w:val="en-GB"/>
              </w:rPr>
              <w:t xml:space="preserve">600. In line with the country's commitments on financing of 15%, 17% and 20% of the amount required for drugs procurement in 2021-2023, the funds from the government will be allocated for procurement of drugs to </w:t>
            </w:r>
            <w:r>
              <w:rPr>
                <w:rFonts w:asciiTheme="minorHAnsi" w:eastAsia="Calibri" w:hAnsiTheme="minorHAnsi" w:cstheme="minorHAnsi"/>
                <w:sz w:val="20"/>
                <w:szCs w:val="20"/>
                <w:lang w:val="en-GB"/>
              </w:rPr>
              <w:t xml:space="preserve">support </w:t>
            </w:r>
            <w:r w:rsidRPr="00912C27">
              <w:rPr>
                <w:rFonts w:asciiTheme="minorHAnsi" w:eastAsia="Calibri" w:hAnsiTheme="minorHAnsi" w:cstheme="minorHAnsi"/>
                <w:sz w:val="20"/>
                <w:szCs w:val="20"/>
                <w:lang w:val="en-GB"/>
              </w:rPr>
              <w:t>228, 265 and 320 DR-TB patients</w:t>
            </w:r>
            <w:r>
              <w:rPr>
                <w:rFonts w:asciiTheme="minorHAnsi" w:eastAsia="Calibri" w:hAnsiTheme="minorHAnsi" w:cstheme="minorHAnsi"/>
                <w:sz w:val="20"/>
                <w:szCs w:val="20"/>
                <w:lang w:val="en-GB"/>
              </w:rPr>
              <w:t>,</w:t>
            </w:r>
            <w:r w:rsidRPr="00912C27">
              <w:rPr>
                <w:rFonts w:asciiTheme="minorHAnsi" w:eastAsia="Calibri" w:hAnsiTheme="minorHAnsi" w:cstheme="minorHAnsi"/>
                <w:sz w:val="20"/>
                <w:szCs w:val="20"/>
                <w:lang w:val="en-GB"/>
              </w:rPr>
              <w:t xml:space="preserve"> respectively. </w:t>
            </w:r>
            <w:proofErr w:type="gramStart"/>
            <w:r w:rsidRPr="00912C27">
              <w:rPr>
                <w:rFonts w:asciiTheme="minorHAnsi" w:eastAsia="Calibri" w:hAnsiTheme="minorHAnsi" w:cstheme="minorHAnsi"/>
                <w:sz w:val="20"/>
                <w:szCs w:val="20"/>
                <w:lang w:val="en-GB"/>
              </w:rPr>
              <w:t>Taking into account</w:t>
            </w:r>
            <w:proofErr w:type="gramEnd"/>
            <w:r w:rsidRPr="00912C27">
              <w:rPr>
                <w:rFonts w:asciiTheme="minorHAnsi" w:eastAsia="Calibri" w:hAnsiTheme="minorHAnsi" w:cstheme="minorHAnsi"/>
                <w:sz w:val="20"/>
                <w:szCs w:val="20"/>
                <w:lang w:val="en-GB"/>
              </w:rPr>
              <w:t xml:space="preserve"> the expected number of detected DR-TB patients</w:t>
            </w:r>
            <w:r>
              <w:rPr>
                <w:rFonts w:asciiTheme="minorHAnsi" w:eastAsia="Calibri" w:hAnsiTheme="minorHAnsi" w:cstheme="minorHAnsi"/>
                <w:sz w:val="20"/>
                <w:szCs w:val="20"/>
                <w:lang w:val="en-GB"/>
              </w:rPr>
              <w:t>,</w:t>
            </w:r>
            <w:r w:rsidRPr="00912C27">
              <w:rPr>
                <w:rFonts w:asciiTheme="minorHAnsi" w:eastAsia="Calibri" w:hAnsiTheme="minorHAnsi" w:cstheme="minorHAnsi"/>
                <w:sz w:val="20"/>
                <w:szCs w:val="20"/>
                <w:lang w:val="en-GB"/>
              </w:rPr>
              <w:t xml:space="preserve"> there is a funding gap for 495, 730 and 690 DR-TB patients which will be requested under the PAAR.</w:t>
            </w:r>
          </w:p>
          <w:p w14:paraId="388EF39D" w14:textId="59ACE13C" w:rsidR="00FB6172" w:rsidRPr="00912C27" w:rsidRDefault="00FB6172" w:rsidP="00FB6172">
            <w:pPr>
              <w:jc w:val="both"/>
              <w:rPr>
                <w:rFonts w:asciiTheme="minorHAnsi" w:eastAsia="Calibri" w:hAnsiTheme="minorHAnsi" w:cstheme="minorHAnsi"/>
                <w:sz w:val="20"/>
                <w:szCs w:val="20"/>
                <w:lang w:val="en-GB"/>
              </w:rPr>
            </w:pPr>
            <w:r w:rsidRPr="00963DDA">
              <w:rPr>
                <w:rFonts w:asciiTheme="minorHAnsi" w:eastAsia="Calibri" w:hAnsiTheme="minorHAnsi" w:cstheme="minorHAnsi"/>
                <w:sz w:val="20"/>
                <w:szCs w:val="20"/>
                <w:lang w:val="en-GB"/>
              </w:rPr>
              <w:t xml:space="preserve">Currently, all first-line TB drugs, including isoniazid for preventive TB treatment, </w:t>
            </w:r>
            <w:proofErr w:type="gramStart"/>
            <w:r w:rsidRPr="00963DDA">
              <w:rPr>
                <w:rFonts w:asciiTheme="minorHAnsi" w:eastAsia="Calibri" w:hAnsiTheme="minorHAnsi" w:cstheme="minorHAnsi"/>
                <w:sz w:val="20"/>
                <w:szCs w:val="20"/>
                <w:lang w:val="en-GB"/>
              </w:rPr>
              <w:t>are procured</w:t>
            </w:r>
            <w:proofErr w:type="gramEnd"/>
            <w:r w:rsidRPr="00963DDA">
              <w:rPr>
                <w:rFonts w:asciiTheme="minorHAnsi" w:eastAsia="Calibri" w:hAnsiTheme="minorHAnsi" w:cstheme="minorHAnsi"/>
                <w:sz w:val="20"/>
                <w:szCs w:val="20"/>
                <w:lang w:val="en-GB"/>
              </w:rPr>
              <w:t xml:space="preserve"> by domestic resources. In addition, under the requested funding, the NTP is planning to introduce </w:t>
            </w:r>
            <w:r w:rsidRPr="00963DDA">
              <w:rPr>
                <w:rFonts w:asciiTheme="minorHAnsi" w:eastAsia="Calibri" w:hAnsiTheme="minorHAnsi" w:cstheme="minorHAnsi"/>
                <w:lang w:val="en-GB"/>
              </w:rPr>
              <w:t>a system of monitor the stock at the facility level</w:t>
            </w:r>
            <w:r w:rsidRPr="00963DDA">
              <w:rPr>
                <w:rFonts w:asciiTheme="minorHAnsi" w:eastAsia="Calibri" w:hAnsiTheme="minorHAnsi" w:cstheme="minorHAnsi"/>
                <w:sz w:val="20"/>
                <w:szCs w:val="20"/>
                <w:lang w:val="en-GB"/>
              </w:rPr>
              <w:t xml:space="preserve">. </w:t>
            </w:r>
            <w:r>
              <w:rPr>
                <w:rFonts w:asciiTheme="minorHAnsi" w:eastAsia="Calibri" w:hAnsiTheme="minorHAnsi" w:cstheme="minorHAnsi"/>
                <w:sz w:val="20"/>
                <w:szCs w:val="20"/>
                <w:lang w:val="en-GB"/>
              </w:rPr>
              <w:t>M</w:t>
            </w:r>
            <w:r w:rsidRPr="00912C27">
              <w:rPr>
                <w:rFonts w:asciiTheme="minorHAnsi" w:eastAsia="Calibri" w:hAnsiTheme="minorHAnsi" w:cstheme="minorHAnsi"/>
                <w:sz w:val="20"/>
                <w:szCs w:val="20"/>
                <w:lang w:val="en-GB"/>
              </w:rPr>
              <w:t>echanisms to monitor medicines supply at the facility level will ensure tracking of TB medicines stocks. In addition, the community and Board of Trustees established under the TB service will oversee the procurement and supply chain</w:t>
            </w:r>
            <w:r w:rsidR="0018162A">
              <w:rPr>
                <w:rFonts w:asciiTheme="minorHAnsi" w:eastAsia="Calibri" w:hAnsiTheme="minorHAnsi" w:cstheme="minorHAnsi"/>
                <w:sz w:val="20"/>
                <w:szCs w:val="20"/>
                <w:lang w:val="en-GB"/>
              </w:rPr>
              <w:t xml:space="preserve"> </w:t>
            </w:r>
            <w:r w:rsidRPr="00912C27">
              <w:rPr>
                <w:rFonts w:asciiTheme="minorHAnsi" w:eastAsia="Calibri" w:hAnsiTheme="minorHAnsi" w:cstheme="minorHAnsi"/>
                <w:sz w:val="20"/>
                <w:szCs w:val="20"/>
                <w:lang w:val="en-GB"/>
              </w:rPr>
              <w:t>management of the TB medicines.</w:t>
            </w:r>
          </w:p>
          <w:p w14:paraId="5F24A327" w14:textId="5203E05E" w:rsidR="00FB6172" w:rsidRPr="0018162A" w:rsidRDefault="0018162A" w:rsidP="0018162A">
            <w:pPr>
              <w:jc w:val="both"/>
              <w:rPr>
                <w:rFonts w:asciiTheme="minorHAnsi" w:eastAsia="Calibri" w:hAnsiTheme="minorHAnsi" w:cstheme="minorHAnsi"/>
                <w:sz w:val="20"/>
                <w:szCs w:val="20"/>
                <w:lang w:val="en-GB"/>
              </w:rPr>
            </w:pPr>
            <w:r>
              <w:rPr>
                <w:rFonts w:asciiTheme="minorHAnsi" w:eastAsia="Calibri" w:hAnsiTheme="minorHAnsi" w:cstheme="minorHAnsi"/>
                <w:sz w:val="20"/>
                <w:szCs w:val="20"/>
                <w:lang w:val="en-GB"/>
              </w:rPr>
              <w:t xml:space="preserve">3) </w:t>
            </w:r>
            <w:r w:rsidR="00FB6172" w:rsidRPr="0018162A">
              <w:rPr>
                <w:rFonts w:asciiTheme="minorHAnsi" w:eastAsia="Calibri" w:hAnsiTheme="minorHAnsi" w:cstheme="minorHAnsi"/>
                <w:sz w:val="20"/>
                <w:szCs w:val="20"/>
                <w:lang w:val="en-GB"/>
              </w:rPr>
              <w:t xml:space="preserve">One of the main reasons behind the low treatment success rate is the high percentage of treatment dropouts associated with the duration of DR-TB patients’ treatment from 18 to 24 months. To tackle this issue, the NTP, following the WHO recommendations, introduced short-term 9-months treatment regimens for DR-TB patients (over </w:t>
            </w:r>
            <w:r w:rsidR="00FB6172" w:rsidRPr="0018162A">
              <w:rPr>
                <w:rFonts w:asciiTheme="minorHAnsi" w:eastAsia="Calibri" w:hAnsiTheme="minorHAnsi" w:cstheme="minorHAnsi"/>
                <w:sz w:val="20"/>
                <w:szCs w:val="20"/>
                <w:lang w:val="en-GB"/>
              </w:rPr>
              <w:lastRenderedPageBreak/>
              <w:t xml:space="preserve">20%). In addition, effective as of 2021, the </w:t>
            </w:r>
            <w:r>
              <w:rPr>
                <w:rFonts w:asciiTheme="minorHAnsi" w:eastAsia="Calibri" w:hAnsiTheme="minorHAnsi" w:cstheme="minorHAnsi"/>
                <w:sz w:val="20"/>
                <w:szCs w:val="20"/>
                <w:lang w:val="en-GB"/>
              </w:rPr>
              <w:t>NTP</w:t>
            </w:r>
            <w:r w:rsidR="00FB6172" w:rsidRPr="0018162A">
              <w:rPr>
                <w:rFonts w:asciiTheme="minorHAnsi" w:eastAsia="Calibri" w:hAnsiTheme="minorHAnsi" w:cstheme="minorHAnsi"/>
                <w:sz w:val="20"/>
                <w:szCs w:val="20"/>
                <w:lang w:val="en-GB"/>
              </w:rPr>
              <w:t xml:space="preserve">, as part of the operational study, intends to initiate the use of </w:t>
            </w:r>
            <w:proofErr w:type="spellStart"/>
            <w:r w:rsidR="00FB6172" w:rsidRPr="0018162A">
              <w:rPr>
                <w:rFonts w:asciiTheme="minorHAnsi" w:eastAsia="Calibri" w:hAnsiTheme="minorHAnsi" w:cstheme="minorHAnsi"/>
                <w:sz w:val="20"/>
                <w:szCs w:val="20"/>
                <w:lang w:val="en-GB"/>
              </w:rPr>
              <w:t>pretomanide</w:t>
            </w:r>
            <w:proofErr w:type="spellEnd"/>
            <w:r w:rsidR="00FB6172" w:rsidRPr="0018162A">
              <w:rPr>
                <w:rFonts w:asciiTheme="minorHAnsi" w:eastAsia="Calibri" w:hAnsiTheme="minorHAnsi" w:cstheme="minorHAnsi"/>
                <w:sz w:val="20"/>
                <w:szCs w:val="20"/>
                <w:lang w:val="en-GB"/>
              </w:rPr>
              <w:t xml:space="preserve"> in 6-month (</w:t>
            </w:r>
            <w:proofErr w:type="spellStart"/>
            <w:r w:rsidR="00FB6172" w:rsidRPr="0018162A">
              <w:rPr>
                <w:rFonts w:asciiTheme="minorHAnsi" w:eastAsia="Calibri" w:hAnsiTheme="minorHAnsi" w:cstheme="minorHAnsi"/>
                <w:sz w:val="20"/>
                <w:szCs w:val="20"/>
                <w:lang w:val="en-GB"/>
              </w:rPr>
              <w:t>BPaL</w:t>
            </w:r>
            <w:proofErr w:type="spellEnd"/>
            <w:r w:rsidR="00FB6172" w:rsidRPr="0018162A">
              <w:rPr>
                <w:rFonts w:asciiTheme="minorHAnsi" w:eastAsia="Calibri" w:hAnsiTheme="minorHAnsi" w:cstheme="minorHAnsi"/>
                <w:sz w:val="20"/>
                <w:szCs w:val="20"/>
                <w:lang w:val="en-GB"/>
              </w:rPr>
              <w:t xml:space="preserve"> regimens recommended by WHO). The current funding request includes the budget for the procurement of second-line and the </w:t>
            </w:r>
            <w:proofErr w:type="spellStart"/>
            <w:r w:rsidR="00FB6172" w:rsidRPr="0018162A">
              <w:rPr>
                <w:rFonts w:asciiTheme="minorHAnsi" w:eastAsia="Calibri" w:hAnsiTheme="minorHAnsi" w:cstheme="minorHAnsi"/>
                <w:sz w:val="20"/>
                <w:szCs w:val="20"/>
                <w:lang w:val="en-GB"/>
              </w:rPr>
              <w:t>BPaL</w:t>
            </w:r>
            <w:proofErr w:type="spellEnd"/>
            <w:r w:rsidR="00FB6172" w:rsidRPr="0018162A">
              <w:rPr>
                <w:rFonts w:asciiTheme="minorHAnsi" w:eastAsia="Calibri" w:hAnsiTheme="minorHAnsi" w:cstheme="minorHAnsi"/>
                <w:sz w:val="20"/>
                <w:szCs w:val="20"/>
                <w:lang w:val="en-GB"/>
              </w:rPr>
              <w:t xml:space="preserve"> regimen, the preparation and implementation thereof will </w:t>
            </w:r>
            <w:proofErr w:type="gramStart"/>
            <w:r w:rsidR="00FB6172" w:rsidRPr="0018162A">
              <w:rPr>
                <w:rFonts w:asciiTheme="minorHAnsi" w:eastAsia="Calibri" w:hAnsiTheme="minorHAnsi" w:cstheme="minorHAnsi"/>
                <w:sz w:val="20"/>
                <w:szCs w:val="20"/>
                <w:lang w:val="en-GB"/>
              </w:rPr>
              <w:t>be supported</w:t>
            </w:r>
            <w:proofErr w:type="gramEnd"/>
            <w:r w:rsidR="00FB6172" w:rsidRPr="0018162A">
              <w:rPr>
                <w:rFonts w:asciiTheme="minorHAnsi" w:eastAsia="Calibri" w:hAnsiTheme="minorHAnsi" w:cstheme="minorHAnsi"/>
                <w:sz w:val="20"/>
                <w:szCs w:val="20"/>
                <w:lang w:val="en-GB"/>
              </w:rPr>
              <w:t xml:space="preserve"> by the KNCV branch in the Kyrgyz Republic upon the agreement with TB Alliance as part of KOICA funding. Adverse effects (AE) are among the main reasons for DR-TB patients to drop out of treatment. Due to restrictions in the procurement procedures of the NTP, it currently purchases drugs of unknown quality to address AE. To address this issue, the Programme included the purchase of AE treatments under PAAR.  As part of PAAR, it also proposes to include piloting new TB diagnostics for NRL: such as sequencing the full genome of TB mycobacteria and </w:t>
            </w:r>
            <w:proofErr w:type="spellStart"/>
            <w:r w:rsidR="00FB6172" w:rsidRPr="0018162A">
              <w:rPr>
                <w:rFonts w:asciiTheme="minorHAnsi" w:eastAsia="Calibri" w:hAnsiTheme="minorHAnsi" w:cstheme="minorHAnsi"/>
                <w:sz w:val="20"/>
                <w:szCs w:val="20"/>
                <w:lang w:val="en-GB"/>
              </w:rPr>
              <w:t>Quanti</w:t>
            </w:r>
            <w:r w:rsidR="00DA34C7" w:rsidRPr="0018162A">
              <w:rPr>
                <w:rFonts w:asciiTheme="minorHAnsi" w:eastAsia="Calibri" w:hAnsiTheme="minorHAnsi" w:cstheme="minorHAnsi"/>
                <w:sz w:val="20"/>
                <w:szCs w:val="20"/>
                <w:lang w:val="en-GB"/>
              </w:rPr>
              <w:t>feron</w:t>
            </w:r>
            <w:proofErr w:type="spellEnd"/>
            <w:r w:rsidR="00FB6172" w:rsidRPr="0018162A">
              <w:rPr>
                <w:rFonts w:asciiTheme="minorHAnsi" w:eastAsia="Calibri" w:hAnsiTheme="minorHAnsi" w:cstheme="minorHAnsi"/>
                <w:sz w:val="20"/>
                <w:szCs w:val="20"/>
                <w:lang w:val="en-GB"/>
              </w:rPr>
              <w:t xml:space="preserve"> test in addition to the development of the regulatory framework for these studies and the introduction of new drugs for prevention of TB in the country.</w:t>
            </w:r>
          </w:p>
          <w:p w14:paraId="6B8B9960" w14:textId="1A92AA4D" w:rsidR="00557A8A" w:rsidRPr="0018162A" w:rsidRDefault="0018162A" w:rsidP="0018162A">
            <w:pPr>
              <w:jc w:val="both"/>
              <w:rPr>
                <w:rFonts w:asciiTheme="minorHAnsi" w:eastAsia="Calibri" w:hAnsiTheme="minorHAnsi" w:cstheme="minorHAnsi"/>
                <w:sz w:val="20"/>
                <w:szCs w:val="20"/>
                <w:lang w:val="en-GB"/>
              </w:rPr>
            </w:pPr>
            <w:r>
              <w:rPr>
                <w:rFonts w:asciiTheme="minorHAnsi" w:eastAsia="Calibri" w:hAnsiTheme="minorHAnsi" w:cstheme="minorHAnsi"/>
                <w:sz w:val="20"/>
                <w:szCs w:val="20"/>
                <w:lang w:val="en-GB"/>
              </w:rPr>
              <w:t>4) Optimisation</w:t>
            </w:r>
            <w:r w:rsidR="00557A8A" w:rsidRPr="0018162A">
              <w:rPr>
                <w:rFonts w:asciiTheme="minorHAnsi" w:eastAsia="Calibri" w:hAnsiTheme="minorHAnsi" w:cstheme="minorHAnsi"/>
                <w:sz w:val="20"/>
                <w:szCs w:val="20"/>
                <w:lang w:val="en-GB"/>
              </w:rPr>
              <w:t xml:space="preserve"> of TB services and transition to out-patient treatment in accordance with the national plan will </w:t>
            </w:r>
            <w:r w:rsidR="001C60E7" w:rsidRPr="0018162A">
              <w:rPr>
                <w:rFonts w:asciiTheme="minorHAnsi" w:eastAsia="Calibri" w:hAnsiTheme="minorHAnsi" w:cstheme="minorHAnsi"/>
                <w:sz w:val="20"/>
                <w:szCs w:val="20"/>
                <w:lang w:val="en-GB"/>
              </w:rPr>
              <w:t>improve</w:t>
            </w:r>
            <w:r w:rsidR="00557A8A" w:rsidRPr="0018162A">
              <w:rPr>
                <w:rFonts w:asciiTheme="minorHAnsi" w:eastAsia="Calibri" w:hAnsiTheme="minorHAnsi" w:cstheme="minorHAnsi"/>
                <w:sz w:val="20"/>
                <w:szCs w:val="20"/>
                <w:lang w:val="en-GB"/>
              </w:rPr>
              <w:t xml:space="preserve"> the TB case management of TB patients, who will not </w:t>
            </w:r>
            <w:proofErr w:type="gramStart"/>
            <w:r w:rsidR="00557A8A" w:rsidRPr="0018162A">
              <w:rPr>
                <w:rFonts w:asciiTheme="minorHAnsi" w:eastAsia="Calibri" w:hAnsiTheme="minorHAnsi" w:cstheme="minorHAnsi"/>
                <w:sz w:val="20"/>
                <w:szCs w:val="20"/>
                <w:lang w:val="en-GB"/>
              </w:rPr>
              <w:t>be admitted</w:t>
            </w:r>
            <w:proofErr w:type="gramEnd"/>
            <w:r w:rsidR="00557A8A" w:rsidRPr="0018162A">
              <w:rPr>
                <w:rFonts w:asciiTheme="minorHAnsi" w:eastAsia="Calibri" w:hAnsiTheme="minorHAnsi" w:cstheme="minorHAnsi"/>
                <w:sz w:val="20"/>
                <w:szCs w:val="20"/>
                <w:lang w:val="en-GB"/>
              </w:rPr>
              <w:t xml:space="preserve"> to hospitals. The programme will fund measures to improve the service delivery (with the definition of hospitalisation criteria, duration of inpatient treatment, discharge and coordination). Cases of treatment dropouts will </w:t>
            </w:r>
            <w:proofErr w:type="gramStart"/>
            <w:r w:rsidR="00557A8A" w:rsidRPr="0018162A">
              <w:rPr>
                <w:rFonts w:asciiTheme="minorHAnsi" w:eastAsia="Calibri" w:hAnsiTheme="minorHAnsi" w:cstheme="minorHAnsi"/>
                <w:sz w:val="20"/>
                <w:szCs w:val="20"/>
                <w:lang w:val="en-GB"/>
              </w:rPr>
              <w:t>be decreased</w:t>
            </w:r>
            <w:proofErr w:type="gramEnd"/>
            <w:r w:rsidR="00557A8A" w:rsidRPr="0018162A">
              <w:rPr>
                <w:rFonts w:asciiTheme="minorHAnsi" w:eastAsia="Calibri" w:hAnsiTheme="minorHAnsi" w:cstheme="minorHAnsi"/>
                <w:sz w:val="20"/>
                <w:szCs w:val="20"/>
                <w:lang w:val="en-GB"/>
              </w:rPr>
              <w:t xml:space="preserve"> through out-patient TB treatment and motivational support. In the new grant, it </w:t>
            </w:r>
            <w:proofErr w:type="gramStart"/>
            <w:r w:rsidR="00557A8A" w:rsidRPr="0018162A">
              <w:rPr>
                <w:rFonts w:asciiTheme="minorHAnsi" w:eastAsia="Calibri" w:hAnsiTheme="minorHAnsi" w:cstheme="minorHAnsi"/>
                <w:sz w:val="20"/>
                <w:szCs w:val="20"/>
                <w:lang w:val="en-GB"/>
              </w:rPr>
              <w:t>is intended</w:t>
            </w:r>
            <w:proofErr w:type="gramEnd"/>
            <w:r w:rsidR="00557A8A" w:rsidRPr="0018162A">
              <w:rPr>
                <w:rFonts w:asciiTheme="minorHAnsi" w:eastAsia="Calibri" w:hAnsiTheme="minorHAnsi" w:cstheme="minorHAnsi"/>
                <w:sz w:val="20"/>
                <w:szCs w:val="20"/>
                <w:lang w:val="en-GB"/>
              </w:rPr>
              <w:t xml:space="preserve"> to scale up the TB case management programmes by involving four NGOs, which will operate in the regions with the largest number of DR-TB patients. In other oblasts, the support of field case managers under the NTP will continue. NGOs will do active case finding among risk groups (dropouts from treatment or at high risk of dropping out) and </w:t>
            </w:r>
            <w:r w:rsidR="001C60E7" w:rsidRPr="0018162A">
              <w:rPr>
                <w:rFonts w:asciiTheme="minorHAnsi" w:eastAsia="Calibri" w:hAnsiTheme="minorHAnsi" w:cstheme="minorHAnsi"/>
                <w:sz w:val="20"/>
                <w:szCs w:val="20"/>
                <w:lang w:val="en-GB"/>
              </w:rPr>
              <w:t>guide them back to treatment</w:t>
            </w:r>
            <w:r w:rsidR="00557A8A" w:rsidRPr="0018162A">
              <w:rPr>
                <w:rFonts w:asciiTheme="minorHAnsi" w:eastAsia="Calibri" w:hAnsiTheme="minorHAnsi" w:cstheme="minorHAnsi"/>
                <w:sz w:val="20"/>
                <w:szCs w:val="20"/>
                <w:lang w:val="en-GB"/>
              </w:rPr>
              <w:t xml:space="preserve">. </w:t>
            </w:r>
          </w:p>
          <w:p w14:paraId="6587F168" w14:textId="00B421C2" w:rsidR="00557A8A" w:rsidRPr="0018162A" w:rsidRDefault="00557A8A" w:rsidP="00557A8A">
            <w:pPr>
              <w:jc w:val="both"/>
              <w:rPr>
                <w:rFonts w:asciiTheme="minorHAnsi" w:eastAsia="Calibri" w:hAnsiTheme="minorHAnsi" w:cstheme="minorHAnsi"/>
                <w:sz w:val="20"/>
                <w:szCs w:val="20"/>
                <w:lang w:val="en-GB"/>
              </w:rPr>
            </w:pPr>
            <w:r w:rsidRPr="0018162A">
              <w:rPr>
                <w:rFonts w:asciiTheme="minorHAnsi" w:eastAsia="Calibri" w:hAnsiTheme="minorHAnsi" w:cstheme="minorHAnsi"/>
                <w:sz w:val="20"/>
                <w:szCs w:val="20"/>
                <w:lang w:val="en-GB"/>
              </w:rPr>
              <w:t xml:space="preserve">It </w:t>
            </w:r>
            <w:proofErr w:type="gramStart"/>
            <w:r w:rsidRPr="0018162A">
              <w:rPr>
                <w:rFonts w:asciiTheme="minorHAnsi" w:eastAsia="Calibri" w:hAnsiTheme="minorHAnsi" w:cstheme="minorHAnsi"/>
                <w:sz w:val="20"/>
                <w:szCs w:val="20"/>
                <w:lang w:val="en-GB"/>
              </w:rPr>
              <w:t>is proposed</w:t>
            </w:r>
            <w:proofErr w:type="gramEnd"/>
            <w:r w:rsidRPr="0018162A">
              <w:rPr>
                <w:rFonts w:asciiTheme="minorHAnsi" w:eastAsia="Calibri" w:hAnsiTheme="minorHAnsi" w:cstheme="minorHAnsi"/>
                <w:sz w:val="20"/>
                <w:szCs w:val="20"/>
                <w:lang w:val="en-GB"/>
              </w:rPr>
              <w:t xml:space="preserve"> to make the first hostel/dormitory services with temporary accommodation accessible to patients released from the penitentiary system and those in difficult life situations. </w:t>
            </w:r>
            <w:proofErr w:type="gramStart"/>
            <w:r w:rsidRPr="0018162A">
              <w:rPr>
                <w:rFonts w:asciiTheme="minorHAnsi" w:eastAsia="Calibri" w:hAnsiTheme="minorHAnsi" w:cstheme="minorHAnsi"/>
                <w:sz w:val="20"/>
                <w:szCs w:val="20"/>
                <w:lang w:val="en-GB"/>
              </w:rPr>
              <w:t xml:space="preserve">This hostel will be </w:t>
            </w:r>
            <w:r w:rsidR="001C60E7" w:rsidRPr="0018162A">
              <w:rPr>
                <w:rFonts w:asciiTheme="minorHAnsi" w:eastAsia="Calibri" w:hAnsiTheme="minorHAnsi" w:cstheme="minorHAnsi"/>
                <w:sz w:val="20"/>
                <w:szCs w:val="20"/>
                <w:lang w:val="en-GB"/>
              </w:rPr>
              <w:t>managed by</w:t>
            </w:r>
            <w:r w:rsidRPr="0018162A">
              <w:rPr>
                <w:rFonts w:asciiTheme="minorHAnsi" w:eastAsia="Calibri" w:hAnsiTheme="minorHAnsi" w:cstheme="minorHAnsi"/>
                <w:sz w:val="20"/>
                <w:szCs w:val="20"/>
                <w:lang w:val="en-GB"/>
              </w:rPr>
              <w:t xml:space="preserve"> the NGO</w:t>
            </w:r>
            <w:proofErr w:type="gramEnd"/>
            <w:r w:rsidRPr="0018162A">
              <w:rPr>
                <w:rFonts w:asciiTheme="minorHAnsi" w:eastAsia="Calibri" w:hAnsiTheme="minorHAnsi" w:cstheme="minorHAnsi"/>
                <w:sz w:val="20"/>
                <w:szCs w:val="20"/>
                <w:lang w:val="en-GB"/>
              </w:rPr>
              <w:t>.</w:t>
            </w:r>
          </w:p>
          <w:p w14:paraId="2B451499" w14:textId="4502F6F1" w:rsidR="00557A8A" w:rsidRPr="001C60E7" w:rsidRDefault="00557A8A" w:rsidP="00557A8A">
            <w:pPr>
              <w:jc w:val="both"/>
              <w:rPr>
                <w:rFonts w:asciiTheme="minorHAnsi" w:eastAsia="Times New Roman" w:hAnsiTheme="minorHAnsi" w:cstheme="minorHAnsi"/>
                <w:sz w:val="20"/>
                <w:szCs w:val="20"/>
                <w:lang w:val="en-GB" w:eastAsia="ru-RU"/>
              </w:rPr>
            </w:pPr>
            <w:proofErr w:type="gramStart"/>
            <w:r w:rsidRPr="001C60E7">
              <w:rPr>
                <w:rFonts w:asciiTheme="minorHAnsi" w:eastAsia="Times New Roman" w:hAnsiTheme="minorHAnsi" w:cstheme="minorHAnsi"/>
                <w:sz w:val="20"/>
                <w:szCs w:val="20"/>
                <w:lang w:val="en-GB" w:eastAsia="ru-RU"/>
              </w:rPr>
              <w:t>In order to</w:t>
            </w:r>
            <w:proofErr w:type="gramEnd"/>
            <w:r w:rsidRPr="001C60E7">
              <w:rPr>
                <w:rFonts w:asciiTheme="minorHAnsi" w:eastAsia="Times New Roman" w:hAnsiTheme="minorHAnsi" w:cstheme="minorHAnsi"/>
                <w:sz w:val="20"/>
                <w:szCs w:val="20"/>
                <w:lang w:val="en-GB" w:eastAsia="ru-RU"/>
              </w:rPr>
              <w:t xml:space="preserve"> prevent </w:t>
            </w:r>
            <w:r w:rsidR="001C60E7">
              <w:rPr>
                <w:rFonts w:asciiTheme="minorHAnsi" w:eastAsia="Times New Roman" w:hAnsiTheme="minorHAnsi" w:cstheme="minorHAnsi"/>
                <w:sz w:val="20"/>
                <w:szCs w:val="20"/>
                <w:lang w:val="en-GB" w:eastAsia="ru-RU"/>
              </w:rPr>
              <w:t>treatment failure</w:t>
            </w:r>
            <w:r w:rsidRPr="001C60E7">
              <w:rPr>
                <w:rFonts w:asciiTheme="minorHAnsi" w:eastAsia="Times New Roman" w:hAnsiTheme="minorHAnsi" w:cstheme="minorHAnsi"/>
                <w:sz w:val="20"/>
                <w:szCs w:val="20"/>
                <w:lang w:val="en-GB" w:eastAsia="ru-RU"/>
              </w:rPr>
              <w:t xml:space="preserve"> and to decrease the number of dropouts, all patients with DR-TB during the out-patient phase of their treatment, will continue to receive motivational support in the form of food packages and reimbursement of transportation costs. The </w:t>
            </w:r>
            <w:r w:rsidR="001C60E7">
              <w:rPr>
                <w:rFonts w:asciiTheme="minorHAnsi" w:eastAsia="Times New Roman" w:hAnsiTheme="minorHAnsi" w:cstheme="minorHAnsi"/>
                <w:sz w:val="20"/>
                <w:szCs w:val="20"/>
                <w:lang w:val="en-GB" w:eastAsia="ru-RU"/>
              </w:rPr>
              <w:t>NTP</w:t>
            </w:r>
            <w:r w:rsidRPr="001C60E7">
              <w:rPr>
                <w:rFonts w:asciiTheme="minorHAnsi" w:eastAsia="Times New Roman" w:hAnsiTheme="minorHAnsi" w:cstheme="minorHAnsi"/>
                <w:sz w:val="20"/>
                <w:szCs w:val="20"/>
                <w:lang w:val="en-GB" w:eastAsia="ru-RU"/>
              </w:rPr>
              <w:t xml:space="preserve"> has developed a system of State Social Contracting (SSC), which </w:t>
            </w:r>
            <w:proofErr w:type="gramStart"/>
            <w:r w:rsidRPr="001C60E7">
              <w:rPr>
                <w:rFonts w:asciiTheme="minorHAnsi" w:eastAsia="Times New Roman" w:hAnsiTheme="minorHAnsi" w:cstheme="minorHAnsi"/>
                <w:sz w:val="20"/>
                <w:szCs w:val="20"/>
                <w:lang w:val="en-GB" w:eastAsia="ru-RU"/>
              </w:rPr>
              <w:t>is intended</w:t>
            </w:r>
            <w:proofErr w:type="gramEnd"/>
            <w:r w:rsidRPr="001C60E7">
              <w:rPr>
                <w:rFonts w:asciiTheme="minorHAnsi" w:eastAsia="Times New Roman" w:hAnsiTheme="minorHAnsi" w:cstheme="minorHAnsi"/>
                <w:sz w:val="20"/>
                <w:szCs w:val="20"/>
                <w:lang w:val="en-GB" w:eastAsia="ru-RU"/>
              </w:rPr>
              <w:t xml:space="preserve"> to ensure, through NGOs, adherence support with motivational payments. This model of SSC in the TB sector will </w:t>
            </w:r>
            <w:proofErr w:type="gramStart"/>
            <w:r w:rsidRPr="001C60E7">
              <w:rPr>
                <w:rFonts w:asciiTheme="minorHAnsi" w:eastAsia="Times New Roman" w:hAnsiTheme="minorHAnsi" w:cstheme="minorHAnsi"/>
                <w:sz w:val="20"/>
                <w:szCs w:val="20"/>
                <w:lang w:val="en-GB" w:eastAsia="ru-RU"/>
              </w:rPr>
              <w:t>be launched</w:t>
            </w:r>
            <w:proofErr w:type="gramEnd"/>
            <w:r w:rsidRPr="001C60E7">
              <w:rPr>
                <w:rFonts w:asciiTheme="minorHAnsi" w:eastAsia="Times New Roman" w:hAnsiTheme="minorHAnsi" w:cstheme="minorHAnsi"/>
                <w:sz w:val="20"/>
                <w:szCs w:val="20"/>
                <w:lang w:val="en-GB" w:eastAsia="ru-RU"/>
              </w:rPr>
              <w:t xml:space="preserve"> in pilot sites as part of the government budget funding in 2021, with subsequent rollout.  </w:t>
            </w:r>
          </w:p>
          <w:p w14:paraId="1434080D" w14:textId="71C1D268" w:rsidR="00557A8A" w:rsidRPr="001C60E7" w:rsidRDefault="00557A8A" w:rsidP="009679A8">
            <w:pPr>
              <w:jc w:val="both"/>
              <w:rPr>
                <w:rFonts w:asciiTheme="minorHAnsi" w:eastAsia="Times New Roman" w:hAnsiTheme="minorHAnsi" w:cstheme="minorHAnsi"/>
                <w:sz w:val="20"/>
                <w:szCs w:val="20"/>
                <w:lang w:val="en-GB" w:eastAsia="ru-RU"/>
              </w:rPr>
            </w:pPr>
            <w:r w:rsidRPr="001C60E7">
              <w:rPr>
                <w:rFonts w:asciiTheme="minorHAnsi" w:eastAsia="Times New Roman" w:hAnsiTheme="minorHAnsi" w:cstheme="minorHAnsi"/>
                <w:sz w:val="20"/>
                <w:szCs w:val="20"/>
                <w:lang w:val="en-GB" w:eastAsia="ru-RU"/>
              </w:rPr>
              <w:t xml:space="preserve">In Kyrgyzstan, the projects to introduce video observed treatment at home </w:t>
            </w:r>
            <w:proofErr w:type="gramStart"/>
            <w:r w:rsidRPr="001C60E7">
              <w:rPr>
                <w:rFonts w:asciiTheme="minorHAnsi" w:eastAsia="Times New Roman" w:hAnsiTheme="minorHAnsi" w:cstheme="minorHAnsi"/>
                <w:sz w:val="20"/>
                <w:szCs w:val="20"/>
                <w:lang w:val="en-GB" w:eastAsia="ru-RU"/>
              </w:rPr>
              <w:t>was piloted</w:t>
            </w:r>
            <w:proofErr w:type="gramEnd"/>
            <w:r w:rsidRPr="001C60E7">
              <w:rPr>
                <w:rFonts w:asciiTheme="minorHAnsi" w:eastAsia="Times New Roman" w:hAnsiTheme="minorHAnsi" w:cstheme="minorHAnsi"/>
                <w:sz w:val="20"/>
                <w:szCs w:val="20"/>
                <w:lang w:val="en-GB" w:eastAsia="ru-RU"/>
              </w:rPr>
              <w:t xml:space="preserve"> and demonstrated good outcomes. Several innovative approaches using mobile applications have </w:t>
            </w:r>
            <w:proofErr w:type="gramStart"/>
            <w:r w:rsidRPr="001C60E7">
              <w:rPr>
                <w:rFonts w:asciiTheme="minorHAnsi" w:eastAsia="Times New Roman" w:hAnsiTheme="minorHAnsi" w:cstheme="minorHAnsi"/>
                <w:sz w:val="20"/>
                <w:szCs w:val="20"/>
                <w:lang w:val="en-GB" w:eastAsia="ru-RU"/>
              </w:rPr>
              <w:t>been tested</w:t>
            </w:r>
            <w:proofErr w:type="gramEnd"/>
            <w:r w:rsidRPr="001C60E7">
              <w:rPr>
                <w:rFonts w:asciiTheme="minorHAnsi" w:eastAsia="Times New Roman" w:hAnsiTheme="minorHAnsi" w:cstheme="minorHAnsi"/>
                <w:sz w:val="20"/>
                <w:szCs w:val="20"/>
                <w:lang w:val="en-GB" w:eastAsia="ru-RU"/>
              </w:rPr>
              <w:t xml:space="preserve">: WhatsApp, </w:t>
            </w:r>
            <w:proofErr w:type="spellStart"/>
            <w:r w:rsidRPr="001C60E7">
              <w:rPr>
                <w:rFonts w:asciiTheme="minorHAnsi" w:eastAsia="Times New Roman" w:hAnsiTheme="minorHAnsi" w:cstheme="minorHAnsi"/>
                <w:sz w:val="20"/>
                <w:szCs w:val="20"/>
                <w:lang w:val="en-GB" w:eastAsia="ru-RU"/>
              </w:rPr>
              <w:t>OneImpact</w:t>
            </w:r>
            <w:proofErr w:type="spellEnd"/>
            <w:r w:rsidRPr="001C60E7">
              <w:rPr>
                <w:rFonts w:asciiTheme="minorHAnsi" w:eastAsia="Times New Roman" w:hAnsiTheme="minorHAnsi" w:cstheme="minorHAnsi"/>
                <w:sz w:val="20"/>
                <w:szCs w:val="20"/>
                <w:lang w:val="en-GB" w:eastAsia="ru-RU"/>
              </w:rPr>
              <w:t xml:space="preserve"> and Accent.</w:t>
            </w:r>
          </w:p>
          <w:p w14:paraId="21F3B1D0" w14:textId="634AAD49" w:rsidR="00CB63FE" w:rsidRDefault="00557A8A" w:rsidP="00385E67">
            <w:pPr>
              <w:jc w:val="both"/>
              <w:rPr>
                <w:rFonts w:asciiTheme="minorHAnsi" w:eastAsia="Times New Roman" w:hAnsiTheme="minorHAnsi" w:cstheme="minorHAnsi"/>
                <w:sz w:val="20"/>
                <w:szCs w:val="20"/>
                <w:lang w:val="en-GB" w:eastAsia="ru-RU"/>
              </w:rPr>
            </w:pPr>
            <w:r w:rsidRPr="001C60E7">
              <w:rPr>
                <w:rFonts w:asciiTheme="minorHAnsi" w:eastAsia="Times New Roman" w:hAnsiTheme="minorHAnsi" w:cstheme="minorHAnsi"/>
                <w:sz w:val="20"/>
                <w:szCs w:val="20"/>
                <w:lang w:val="en-GB" w:eastAsia="ru-RU"/>
              </w:rPr>
              <w:t xml:space="preserve">One of the challenges in managing TB patients is the lack of good data systems to identify missing cases and understand the reasons behind the pattern for not seeking care. Mainstreaming and scaling up the implementation of the </w:t>
            </w:r>
            <w:proofErr w:type="spellStart"/>
            <w:r w:rsidRPr="001C60E7">
              <w:rPr>
                <w:rFonts w:asciiTheme="minorHAnsi" w:eastAsia="Times New Roman" w:hAnsiTheme="minorHAnsi" w:cstheme="minorHAnsi"/>
                <w:sz w:val="20"/>
                <w:szCs w:val="20"/>
                <w:lang w:val="en-GB" w:eastAsia="ru-RU"/>
              </w:rPr>
              <w:t>Onelmpact</w:t>
            </w:r>
            <w:proofErr w:type="spellEnd"/>
            <w:r w:rsidRPr="001C60E7">
              <w:rPr>
                <w:rFonts w:asciiTheme="minorHAnsi" w:eastAsia="Times New Roman" w:hAnsiTheme="minorHAnsi" w:cstheme="minorHAnsi"/>
                <w:sz w:val="20"/>
                <w:szCs w:val="20"/>
                <w:lang w:val="en-GB" w:eastAsia="ru-RU"/>
              </w:rPr>
              <w:t xml:space="preserve"> E-Application</w:t>
            </w:r>
            <w:r w:rsidRPr="00385E67">
              <w:rPr>
                <w:vertAlign w:val="superscript"/>
              </w:rPr>
              <w:footnoteReference w:id="37"/>
            </w:r>
            <w:r w:rsidRPr="001C60E7">
              <w:rPr>
                <w:rFonts w:asciiTheme="minorHAnsi" w:eastAsia="Times New Roman" w:hAnsiTheme="minorHAnsi" w:cstheme="minorHAnsi"/>
                <w:sz w:val="20"/>
                <w:szCs w:val="20"/>
                <w:lang w:val="en-GB" w:eastAsia="ru-RU"/>
              </w:rPr>
              <w:t xml:space="preserve"> for TB patients undergoing treatment will contribute to increase adherence to treatment, strengthen monitoring at community level and improve the response provided by TB services. The network will ensure support to TB patient rights, monitoring the quality of services, including procurement of drugs, and advocacy activities for the review of legislation and the expansion of domestic funding for TB programmes.</w:t>
            </w:r>
          </w:p>
          <w:p w14:paraId="264B8155" w14:textId="664EFCED" w:rsidR="00980BCA" w:rsidRPr="00912C27" w:rsidRDefault="00980BCA" w:rsidP="00980BCA">
            <w:pPr>
              <w:jc w:val="both"/>
              <w:rPr>
                <w:rFonts w:asciiTheme="minorHAnsi" w:hAnsiTheme="minorHAnsi"/>
                <w:b/>
                <w:sz w:val="20"/>
                <w:lang w:val="en-GB"/>
              </w:rPr>
            </w:pPr>
            <w:r w:rsidRPr="00912C27">
              <w:rPr>
                <w:rFonts w:asciiTheme="minorHAnsi" w:hAnsiTheme="minorHAnsi"/>
                <w:b/>
                <w:sz w:val="20"/>
                <w:lang w:val="en-GB"/>
              </w:rPr>
              <w:t>Strengthening the health system</w:t>
            </w:r>
          </w:p>
          <w:p w14:paraId="39AD5380" w14:textId="77777777" w:rsidR="00980BCA" w:rsidRPr="00912C27" w:rsidRDefault="00980BCA" w:rsidP="00385E67">
            <w:pPr>
              <w:jc w:val="both"/>
              <w:rPr>
                <w:rFonts w:asciiTheme="minorHAnsi" w:hAnsiTheme="minorHAnsi"/>
                <w:b/>
                <w:sz w:val="20"/>
                <w:lang w:val="en-GB"/>
              </w:rPr>
            </w:pPr>
            <w:r w:rsidRPr="00912C27">
              <w:rPr>
                <w:rFonts w:asciiTheme="minorHAnsi" w:hAnsiTheme="minorHAnsi"/>
                <w:b/>
                <w:sz w:val="20"/>
                <w:lang w:val="en-GB"/>
              </w:rPr>
              <w:t>Human resources</w:t>
            </w:r>
          </w:p>
          <w:p w14:paraId="49692320" w14:textId="79AD7ACC" w:rsidR="00980BCA" w:rsidRPr="00385E67" w:rsidRDefault="00980BCA" w:rsidP="00385E67">
            <w:pPr>
              <w:jc w:val="both"/>
              <w:rPr>
                <w:rFonts w:asciiTheme="minorHAnsi" w:eastAsia="Times New Roman" w:hAnsiTheme="minorHAnsi" w:cstheme="minorHAnsi"/>
                <w:sz w:val="20"/>
                <w:szCs w:val="20"/>
                <w:lang w:val="en-GB" w:eastAsia="ru-RU"/>
              </w:rPr>
            </w:pPr>
            <w:r w:rsidRPr="00385E67">
              <w:rPr>
                <w:rFonts w:asciiTheme="minorHAnsi" w:eastAsia="Times New Roman" w:hAnsiTheme="minorHAnsi" w:cstheme="minorHAnsi"/>
                <w:sz w:val="20"/>
                <w:szCs w:val="20"/>
                <w:lang w:val="en-GB" w:eastAsia="ru-RU"/>
              </w:rPr>
              <w:t xml:space="preserve">As for HIV, most regions have decentralised the services to </w:t>
            </w:r>
            <w:proofErr w:type="spellStart"/>
            <w:r w:rsidRPr="00385E67">
              <w:rPr>
                <w:rFonts w:asciiTheme="minorHAnsi" w:eastAsia="Times New Roman" w:hAnsiTheme="minorHAnsi" w:cstheme="minorHAnsi"/>
                <w:sz w:val="20"/>
                <w:szCs w:val="20"/>
                <w:lang w:val="en-GB" w:eastAsia="ru-RU"/>
              </w:rPr>
              <w:t>thePHC</w:t>
            </w:r>
            <w:proofErr w:type="spellEnd"/>
            <w:r w:rsidRPr="00385E67">
              <w:rPr>
                <w:rFonts w:asciiTheme="minorHAnsi" w:eastAsia="Times New Roman" w:hAnsiTheme="minorHAnsi" w:cstheme="minorHAnsi"/>
                <w:sz w:val="20"/>
                <w:szCs w:val="20"/>
                <w:lang w:val="en-GB" w:eastAsia="ru-RU"/>
              </w:rPr>
              <w:t xml:space="preserve"> level pursuant to the </w:t>
            </w:r>
            <w:proofErr w:type="spellStart"/>
            <w:r w:rsidRPr="00385E67">
              <w:rPr>
                <w:rFonts w:asciiTheme="minorHAnsi" w:eastAsia="Times New Roman" w:hAnsiTheme="minorHAnsi" w:cstheme="minorHAnsi"/>
                <w:sz w:val="20"/>
                <w:szCs w:val="20"/>
                <w:lang w:val="en-GB" w:eastAsia="ru-RU"/>
              </w:rPr>
              <w:t>MoH</w:t>
            </w:r>
            <w:proofErr w:type="spellEnd"/>
            <w:r w:rsidRPr="00385E67">
              <w:rPr>
                <w:rFonts w:asciiTheme="minorHAnsi" w:eastAsia="Times New Roman" w:hAnsiTheme="minorHAnsi" w:cstheme="minorHAnsi"/>
                <w:sz w:val="20"/>
                <w:szCs w:val="20"/>
                <w:lang w:val="en-GB" w:eastAsia="ru-RU"/>
              </w:rPr>
              <w:t xml:space="preserve"> Decrees No. 717 dated December 31, 2012</w:t>
            </w:r>
            <w:r w:rsidRPr="00AB1AA2">
              <w:rPr>
                <w:rFonts w:asciiTheme="minorHAnsi" w:eastAsia="Times New Roman" w:hAnsiTheme="minorHAnsi" w:cstheme="minorHAnsi"/>
                <w:sz w:val="20"/>
                <w:szCs w:val="20"/>
                <w:vertAlign w:val="superscript"/>
                <w:lang w:val="en-GB" w:eastAsia="ru-RU"/>
              </w:rPr>
              <w:footnoteReference w:id="38"/>
            </w:r>
            <w:r w:rsidRPr="00385E67">
              <w:rPr>
                <w:rFonts w:asciiTheme="minorHAnsi" w:eastAsia="Times New Roman" w:hAnsiTheme="minorHAnsi" w:cstheme="minorHAnsi"/>
                <w:sz w:val="20"/>
                <w:szCs w:val="20"/>
                <w:lang w:val="en-GB" w:eastAsia="ru-RU"/>
              </w:rPr>
              <w:t xml:space="preserve">. HIV services </w:t>
            </w:r>
            <w:proofErr w:type="gramStart"/>
            <w:r w:rsidRPr="00385E67">
              <w:rPr>
                <w:rFonts w:asciiTheme="minorHAnsi" w:eastAsia="Times New Roman" w:hAnsiTheme="minorHAnsi" w:cstheme="minorHAnsi"/>
                <w:sz w:val="20"/>
                <w:szCs w:val="20"/>
                <w:lang w:val="en-GB" w:eastAsia="ru-RU"/>
              </w:rPr>
              <w:t>are currently provided</w:t>
            </w:r>
            <w:proofErr w:type="gramEnd"/>
            <w:r w:rsidRPr="00385E67">
              <w:rPr>
                <w:rFonts w:asciiTheme="minorHAnsi" w:eastAsia="Times New Roman" w:hAnsiTheme="minorHAnsi" w:cstheme="minorHAnsi"/>
                <w:sz w:val="20"/>
                <w:szCs w:val="20"/>
                <w:lang w:val="en-GB" w:eastAsia="ru-RU"/>
              </w:rPr>
              <w:t xml:space="preserve"> by 53 PHC facilities. Most PHC organisations have ample resources to provide services to PLHIV, laboratory facilities, specialists and a well-functioning system of interaction both at the PHC level and at in-patient facilities. However, according to the </w:t>
            </w:r>
            <w:proofErr w:type="spellStart"/>
            <w:r w:rsidRPr="00385E67">
              <w:rPr>
                <w:rFonts w:asciiTheme="minorHAnsi" w:eastAsia="Times New Roman" w:hAnsiTheme="minorHAnsi" w:cstheme="minorHAnsi"/>
                <w:sz w:val="20"/>
                <w:szCs w:val="20"/>
                <w:lang w:val="en-GB" w:eastAsia="ru-RU"/>
              </w:rPr>
              <w:t>MoH</w:t>
            </w:r>
            <w:proofErr w:type="spellEnd"/>
            <w:r w:rsidRPr="00385E67">
              <w:rPr>
                <w:rFonts w:asciiTheme="minorHAnsi" w:eastAsia="Times New Roman" w:hAnsiTheme="minorHAnsi" w:cstheme="minorHAnsi"/>
                <w:sz w:val="20"/>
                <w:szCs w:val="20"/>
                <w:lang w:val="en-GB" w:eastAsia="ru-RU"/>
              </w:rPr>
              <w:t xml:space="preserve"> Republican Medical Information </w:t>
            </w:r>
            <w:r w:rsidR="00AB1AA2" w:rsidRPr="00385E67">
              <w:rPr>
                <w:rFonts w:asciiTheme="minorHAnsi" w:eastAsia="Times New Roman" w:hAnsiTheme="minorHAnsi" w:cstheme="minorHAnsi"/>
                <w:sz w:val="20"/>
                <w:szCs w:val="20"/>
                <w:lang w:val="en-GB" w:eastAsia="ru-RU"/>
              </w:rPr>
              <w:t>Centre</w:t>
            </w:r>
            <w:r w:rsidRPr="00385E67">
              <w:rPr>
                <w:rFonts w:asciiTheme="minorHAnsi" w:eastAsia="Times New Roman" w:hAnsiTheme="minorHAnsi" w:cstheme="minorHAnsi"/>
                <w:sz w:val="20"/>
                <w:szCs w:val="20"/>
                <w:lang w:val="en-GB" w:eastAsia="ru-RU"/>
              </w:rPr>
              <w:t xml:space="preserve">, PHC organisations </w:t>
            </w:r>
            <w:proofErr w:type="gramStart"/>
            <w:r w:rsidRPr="00385E67">
              <w:rPr>
                <w:rFonts w:asciiTheme="minorHAnsi" w:eastAsia="Times New Roman" w:hAnsiTheme="minorHAnsi" w:cstheme="minorHAnsi"/>
                <w:sz w:val="20"/>
                <w:szCs w:val="20"/>
                <w:lang w:val="en-GB" w:eastAsia="ru-RU"/>
              </w:rPr>
              <w:t>are still faced</w:t>
            </w:r>
            <w:proofErr w:type="gramEnd"/>
            <w:r w:rsidRPr="00385E67">
              <w:rPr>
                <w:rFonts w:asciiTheme="minorHAnsi" w:eastAsia="Times New Roman" w:hAnsiTheme="minorHAnsi" w:cstheme="minorHAnsi"/>
                <w:sz w:val="20"/>
                <w:szCs w:val="20"/>
                <w:lang w:val="en-GB" w:eastAsia="ru-RU"/>
              </w:rPr>
              <w:t xml:space="preserve"> with a shortage of trained personnel to provide services to PLHIV. The lack of quality services is one of the reasons for PLHIV to stop taking ART, low adherence and loss for supervision, care and support.</w:t>
            </w:r>
          </w:p>
          <w:p w14:paraId="6175635B" w14:textId="3BD9496A" w:rsidR="00980BCA" w:rsidRPr="00385E67" w:rsidRDefault="00980BCA" w:rsidP="00385E67">
            <w:pPr>
              <w:jc w:val="both"/>
              <w:rPr>
                <w:rFonts w:asciiTheme="minorHAnsi" w:eastAsia="Times New Roman" w:hAnsiTheme="minorHAnsi" w:cstheme="minorHAnsi"/>
                <w:sz w:val="20"/>
                <w:szCs w:val="20"/>
                <w:lang w:val="en-GB" w:eastAsia="ru-RU"/>
              </w:rPr>
            </w:pPr>
            <w:r w:rsidRPr="00385E67">
              <w:rPr>
                <w:rFonts w:asciiTheme="minorHAnsi" w:eastAsia="Times New Roman" w:hAnsiTheme="minorHAnsi" w:cstheme="minorHAnsi"/>
                <w:sz w:val="20"/>
                <w:szCs w:val="20"/>
                <w:lang w:val="en-GB" w:eastAsia="ru-RU"/>
              </w:rPr>
              <w:t xml:space="preserve">The National TB Service is a network of tertiary, </w:t>
            </w:r>
            <w:r w:rsidR="00B14C14" w:rsidRPr="00385E67">
              <w:rPr>
                <w:rFonts w:asciiTheme="minorHAnsi" w:eastAsia="Times New Roman" w:hAnsiTheme="minorHAnsi" w:cstheme="minorHAnsi"/>
                <w:sz w:val="20"/>
                <w:szCs w:val="20"/>
                <w:lang w:val="en-GB" w:eastAsia="ru-RU"/>
              </w:rPr>
              <w:t xml:space="preserve">specialized </w:t>
            </w:r>
            <w:r w:rsidRPr="00385E67">
              <w:rPr>
                <w:rFonts w:asciiTheme="minorHAnsi" w:eastAsia="Times New Roman" w:hAnsiTheme="minorHAnsi" w:cstheme="minorHAnsi"/>
                <w:sz w:val="20"/>
                <w:szCs w:val="20"/>
                <w:lang w:val="en-GB" w:eastAsia="ru-RU"/>
              </w:rPr>
              <w:t xml:space="preserve">hospitals in the country to provide in-patient care for TB patients. At the PHC level, services </w:t>
            </w:r>
            <w:proofErr w:type="gramStart"/>
            <w:r w:rsidRPr="00385E67">
              <w:rPr>
                <w:rFonts w:asciiTheme="minorHAnsi" w:eastAsia="Times New Roman" w:hAnsiTheme="minorHAnsi" w:cstheme="minorHAnsi"/>
                <w:sz w:val="20"/>
                <w:szCs w:val="20"/>
                <w:lang w:val="en-GB" w:eastAsia="ru-RU"/>
              </w:rPr>
              <w:t>are provided</w:t>
            </w:r>
            <w:proofErr w:type="gramEnd"/>
            <w:r w:rsidRPr="00385E67">
              <w:rPr>
                <w:rFonts w:asciiTheme="minorHAnsi" w:eastAsia="Times New Roman" w:hAnsiTheme="minorHAnsi" w:cstheme="minorHAnsi"/>
                <w:sz w:val="20"/>
                <w:szCs w:val="20"/>
                <w:lang w:val="en-GB" w:eastAsia="ru-RU"/>
              </w:rPr>
              <w:t xml:space="preserve"> by 65 TB offices for out-patient care. At out-patient level, TB </w:t>
            </w:r>
            <w:proofErr w:type="gramStart"/>
            <w:r w:rsidRPr="00385E67">
              <w:rPr>
                <w:rFonts w:asciiTheme="minorHAnsi" w:eastAsia="Times New Roman" w:hAnsiTheme="minorHAnsi" w:cstheme="minorHAnsi"/>
                <w:sz w:val="20"/>
                <w:szCs w:val="20"/>
                <w:lang w:val="en-GB" w:eastAsia="ru-RU"/>
              </w:rPr>
              <w:t>is treated</w:t>
            </w:r>
            <w:proofErr w:type="gramEnd"/>
            <w:r w:rsidRPr="00385E67">
              <w:rPr>
                <w:rFonts w:asciiTheme="minorHAnsi" w:eastAsia="Times New Roman" w:hAnsiTheme="minorHAnsi" w:cstheme="minorHAnsi"/>
                <w:sz w:val="20"/>
                <w:szCs w:val="20"/>
                <w:lang w:val="en-GB" w:eastAsia="ru-RU"/>
              </w:rPr>
              <w:t xml:space="preserve"> by PHC providers, who provide directly observed treatment and the </w:t>
            </w:r>
            <w:r w:rsidR="00B14C14" w:rsidRPr="00385E67">
              <w:rPr>
                <w:rFonts w:asciiTheme="minorHAnsi" w:eastAsia="Times New Roman" w:hAnsiTheme="minorHAnsi" w:cstheme="minorHAnsi"/>
                <w:sz w:val="20"/>
                <w:szCs w:val="20"/>
                <w:lang w:val="en-GB" w:eastAsia="ru-RU"/>
              </w:rPr>
              <w:t>recording of supplies</w:t>
            </w:r>
            <w:r w:rsidRPr="00385E67">
              <w:rPr>
                <w:rFonts w:asciiTheme="minorHAnsi" w:eastAsia="Times New Roman" w:hAnsiTheme="minorHAnsi" w:cstheme="minorHAnsi"/>
                <w:sz w:val="20"/>
                <w:szCs w:val="20"/>
                <w:lang w:val="en-GB" w:eastAsia="ru-RU"/>
              </w:rPr>
              <w:t xml:space="preserve"> of anti-TB drugs.</w:t>
            </w:r>
          </w:p>
          <w:p w14:paraId="6F718700" w14:textId="77777777" w:rsidR="00980BCA" w:rsidRPr="00AB1AA2" w:rsidRDefault="00980BCA" w:rsidP="00AB1AA2">
            <w:pPr>
              <w:jc w:val="both"/>
              <w:rPr>
                <w:rFonts w:asciiTheme="minorHAnsi" w:eastAsia="Times New Roman" w:hAnsiTheme="minorHAnsi" w:cstheme="minorHAnsi"/>
                <w:sz w:val="20"/>
                <w:szCs w:val="20"/>
                <w:lang w:val="en-GB" w:eastAsia="ru-RU"/>
              </w:rPr>
            </w:pPr>
            <w:r w:rsidRPr="00AB1AA2">
              <w:rPr>
                <w:rFonts w:asciiTheme="minorHAnsi" w:eastAsia="Times New Roman" w:hAnsiTheme="minorHAnsi" w:cstheme="minorHAnsi"/>
                <w:sz w:val="20"/>
                <w:szCs w:val="20"/>
                <w:lang w:val="en-GB" w:eastAsia="ru-RU"/>
              </w:rPr>
              <w:t xml:space="preserve">According to the National Statistical Committee, the TB service of the Kyrgyz Republic employs 256 TB doctors, most of which are based in PHC organisations and provide TB detection and out-patient treatment services at the PHC level. In most cases, TB specialists are of retirement and pre-retirement age and/or experts from other fields who have undergone training in PHC. For them, mastering new approaches in the diagnosis, patient management and </w:t>
            </w:r>
            <w:r w:rsidRPr="00AB1AA2">
              <w:rPr>
                <w:rFonts w:asciiTheme="minorHAnsi" w:eastAsia="Times New Roman" w:hAnsiTheme="minorHAnsi" w:cstheme="minorHAnsi"/>
                <w:sz w:val="20"/>
                <w:szCs w:val="20"/>
                <w:lang w:val="en-GB" w:eastAsia="ru-RU"/>
              </w:rPr>
              <w:lastRenderedPageBreak/>
              <w:t xml:space="preserve">active monitoring of side effects may be challenging. Due to the insufficient alertness and interest of PHC physicians, the country fails to detect all TB patients in the early stages and demonstrates inadequate examination of TB-exposed people and management of TB patients in the out-patient phase of treatment. The above </w:t>
            </w:r>
            <w:proofErr w:type="gramStart"/>
            <w:r w:rsidRPr="00AB1AA2">
              <w:rPr>
                <w:rFonts w:asciiTheme="minorHAnsi" w:eastAsia="Times New Roman" w:hAnsiTheme="minorHAnsi" w:cstheme="minorHAnsi"/>
                <w:sz w:val="20"/>
                <w:szCs w:val="20"/>
                <w:lang w:val="en-GB" w:eastAsia="ru-RU"/>
              </w:rPr>
              <w:t>is also evidenced</w:t>
            </w:r>
            <w:proofErr w:type="gramEnd"/>
            <w:r w:rsidRPr="00AB1AA2">
              <w:rPr>
                <w:rFonts w:asciiTheme="minorHAnsi" w:eastAsia="Times New Roman" w:hAnsiTheme="minorHAnsi" w:cstheme="minorHAnsi"/>
                <w:sz w:val="20"/>
                <w:szCs w:val="20"/>
                <w:lang w:val="en-GB" w:eastAsia="ru-RU"/>
              </w:rPr>
              <w:t xml:space="preserve"> by the large number of unobserved treatment cases, as well as the largest number of treatment interruptions at the out-patient stage. In this regard, partners should focus their efforts on building the capacity at the PHC level, conducting regular trainings, performance monitoring and providing additional incentives.</w:t>
            </w:r>
          </w:p>
          <w:p w14:paraId="6736D4A7" w14:textId="77777777" w:rsidR="00980BCA" w:rsidRPr="00912C27" w:rsidRDefault="00980BCA" w:rsidP="00096E14">
            <w:pPr>
              <w:jc w:val="both"/>
              <w:rPr>
                <w:rFonts w:asciiTheme="minorHAnsi" w:hAnsiTheme="minorHAnsi"/>
                <w:b/>
                <w:sz w:val="20"/>
                <w:lang w:val="en-GB"/>
              </w:rPr>
            </w:pPr>
            <w:r w:rsidRPr="00912C27">
              <w:rPr>
                <w:rFonts w:asciiTheme="minorHAnsi" w:hAnsiTheme="minorHAnsi"/>
                <w:b/>
                <w:sz w:val="20"/>
                <w:lang w:val="en-GB"/>
              </w:rPr>
              <w:t>Data collection system</w:t>
            </w:r>
          </w:p>
          <w:p w14:paraId="3D88F2BE" w14:textId="018F0E47" w:rsidR="00980BCA" w:rsidRPr="00096E14" w:rsidRDefault="00980BCA" w:rsidP="00096E14">
            <w:pPr>
              <w:jc w:val="both"/>
              <w:rPr>
                <w:rFonts w:asciiTheme="minorHAnsi" w:eastAsia="Times New Roman" w:hAnsiTheme="minorHAnsi" w:cstheme="minorHAnsi"/>
                <w:sz w:val="20"/>
                <w:szCs w:val="20"/>
                <w:lang w:val="en-GB" w:eastAsia="ru-RU"/>
              </w:rPr>
            </w:pPr>
            <w:r w:rsidRPr="00096E14">
              <w:rPr>
                <w:rFonts w:asciiTheme="minorHAnsi" w:eastAsia="Times New Roman" w:hAnsiTheme="minorHAnsi" w:cstheme="minorHAnsi"/>
                <w:sz w:val="20"/>
                <w:szCs w:val="20"/>
                <w:lang w:val="en-GB" w:eastAsia="ru-RU"/>
              </w:rPr>
              <w:t xml:space="preserve">Data on the HIV situation </w:t>
            </w:r>
            <w:proofErr w:type="gramStart"/>
            <w:r w:rsidRPr="00096E14">
              <w:rPr>
                <w:rFonts w:asciiTheme="minorHAnsi" w:eastAsia="Times New Roman" w:hAnsiTheme="minorHAnsi" w:cstheme="minorHAnsi"/>
                <w:sz w:val="20"/>
                <w:szCs w:val="20"/>
                <w:lang w:val="en-GB" w:eastAsia="ru-RU"/>
              </w:rPr>
              <w:t>is regularly updated</w:t>
            </w:r>
            <w:proofErr w:type="gramEnd"/>
            <w:r w:rsidRPr="00096E14">
              <w:rPr>
                <w:rFonts w:asciiTheme="minorHAnsi" w:eastAsia="Times New Roman" w:hAnsiTheme="minorHAnsi" w:cstheme="minorHAnsi"/>
                <w:sz w:val="20"/>
                <w:szCs w:val="20"/>
                <w:lang w:val="en-GB" w:eastAsia="ru-RU"/>
              </w:rPr>
              <w:t xml:space="preserve"> on the website of the Republican Aids </w:t>
            </w:r>
            <w:r w:rsidR="00096E14" w:rsidRPr="00096E14">
              <w:rPr>
                <w:rFonts w:asciiTheme="minorHAnsi" w:eastAsia="Times New Roman" w:hAnsiTheme="minorHAnsi" w:cstheme="minorHAnsi"/>
                <w:sz w:val="20"/>
                <w:szCs w:val="20"/>
                <w:lang w:val="en-GB" w:eastAsia="ru-RU"/>
              </w:rPr>
              <w:t>Centre</w:t>
            </w:r>
            <w:r w:rsidRPr="00096E14">
              <w:rPr>
                <w:rFonts w:asciiTheme="minorHAnsi" w:eastAsia="Times New Roman" w:hAnsiTheme="minorHAnsi" w:cstheme="minorHAnsi"/>
                <w:sz w:val="20"/>
                <w:szCs w:val="20"/>
                <w:lang w:val="en-GB" w:eastAsia="ru-RU"/>
              </w:rPr>
              <w:t xml:space="preserve"> (RAC) and provided upon request of parties concerned. At the same time, the implementation of national programmes </w:t>
            </w:r>
            <w:proofErr w:type="gramStart"/>
            <w:r w:rsidRPr="00096E14">
              <w:rPr>
                <w:rFonts w:asciiTheme="minorHAnsi" w:eastAsia="Times New Roman" w:hAnsiTheme="minorHAnsi" w:cstheme="minorHAnsi"/>
                <w:sz w:val="20"/>
                <w:szCs w:val="20"/>
                <w:lang w:val="en-GB" w:eastAsia="ru-RU"/>
              </w:rPr>
              <w:t>is monitored</w:t>
            </w:r>
            <w:proofErr w:type="gramEnd"/>
            <w:r w:rsidRPr="00096E14">
              <w:rPr>
                <w:rFonts w:asciiTheme="minorHAnsi" w:eastAsia="Times New Roman" w:hAnsiTheme="minorHAnsi" w:cstheme="minorHAnsi"/>
                <w:sz w:val="20"/>
                <w:szCs w:val="20"/>
                <w:lang w:val="en-GB" w:eastAsia="ru-RU"/>
              </w:rPr>
              <w:t xml:space="preserve"> with the support of international organisations. In 2019, an assessment of investments in HIV </w:t>
            </w:r>
            <w:proofErr w:type="gramStart"/>
            <w:r w:rsidRPr="00096E14">
              <w:rPr>
                <w:rFonts w:asciiTheme="minorHAnsi" w:eastAsia="Times New Roman" w:hAnsiTheme="minorHAnsi" w:cstheme="minorHAnsi"/>
                <w:sz w:val="20"/>
                <w:szCs w:val="20"/>
                <w:lang w:val="en-GB" w:eastAsia="ru-RU"/>
              </w:rPr>
              <w:t>was carried</w:t>
            </w:r>
            <w:proofErr w:type="gramEnd"/>
            <w:r w:rsidRPr="00096E14">
              <w:rPr>
                <w:rFonts w:asciiTheme="minorHAnsi" w:eastAsia="Times New Roman" w:hAnsiTheme="minorHAnsi" w:cstheme="minorHAnsi"/>
                <w:sz w:val="20"/>
                <w:szCs w:val="20"/>
                <w:lang w:val="en-GB" w:eastAsia="ru-RU"/>
              </w:rPr>
              <w:t xml:space="preserve"> out. HIV spending data </w:t>
            </w:r>
            <w:proofErr w:type="gramStart"/>
            <w:r w:rsidRPr="00096E14">
              <w:rPr>
                <w:rFonts w:asciiTheme="minorHAnsi" w:eastAsia="Times New Roman" w:hAnsiTheme="minorHAnsi" w:cstheme="minorHAnsi"/>
                <w:sz w:val="20"/>
                <w:szCs w:val="20"/>
                <w:lang w:val="en-GB" w:eastAsia="ru-RU"/>
              </w:rPr>
              <w:t>is provided</w:t>
            </w:r>
            <w:proofErr w:type="gramEnd"/>
            <w:r w:rsidRPr="00096E14">
              <w:rPr>
                <w:rFonts w:asciiTheme="minorHAnsi" w:eastAsia="Times New Roman" w:hAnsiTheme="minorHAnsi" w:cstheme="minorHAnsi"/>
                <w:sz w:val="20"/>
                <w:szCs w:val="20"/>
                <w:lang w:val="en-GB" w:eastAsia="ru-RU"/>
              </w:rPr>
              <w:t xml:space="preserve"> in the national GARP report and national HIV accounts.</w:t>
            </w:r>
          </w:p>
          <w:p w14:paraId="49D54854" w14:textId="355E6B12" w:rsidR="00980BCA" w:rsidRPr="00096E14" w:rsidRDefault="00980BCA" w:rsidP="00096E14">
            <w:pPr>
              <w:jc w:val="both"/>
              <w:rPr>
                <w:rFonts w:asciiTheme="minorHAnsi" w:eastAsia="Times New Roman" w:hAnsiTheme="minorHAnsi" w:cstheme="minorHAnsi"/>
                <w:sz w:val="20"/>
                <w:szCs w:val="20"/>
                <w:lang w:val="en-GB" w:eastAsia="ru-RU"/>
              </w:rPr>
            </w:pPr>
            <w:proofErr w:type="gramStart"/>
            <w:r w:rsidRPr="00096E14">
              <w:rPr>
                <w:rFonts w:asciiTheme="minorHAnsi" w:eastAsia="Times New Roman" w:hAnsiTheme="minorHAnsi" w:cstheme="minorHAnsi"/>
                <w:sz w:val="20"/>
                <w:szCs w:val="20"/>
                <w:lang w:val="en-GB" w:eastAsia="ru-RU"/>
              </w:rPr>
              <w:t>For the purpose of</w:t>
            </w:r>
            <w:proofErr w:type="gramEnd"/>
            <w:r w:rsidRPr="00096E14">
              <w:rPr>
                <w:rFonts w:asciiTheme="minorHAnsi" w:eastAsia="Times New Roman" w:hAnsiTheme="minorHAnsi" w:cstheme="minorHAnsi"/>
                <w:sz w:val="20"/>
                <w:szCs w:val="20"/>
                <w:lang w:val="en-GB" w:eastAsia="ru-RU"/>
              </w:rPr>
              <w:t xml:space="preserve"> collecting, storing, processing and reporting epidemiological, laboratory and clinical data on all registered HIV cases, the country uses the Electronic Surveillance system for HIV cases (ESS) in order to make informed prevention and treatment decisions. ESS has </w:t>
            </w:r>
            <w:proofErr w:type="gramStart"/>
            <w:r w:rsidRPr="00096E14">
              <w:rPr>
                <w:rFonts w:asciiTheme="minorHAnsi" w:eastAsia="Times New Roman" w:hAnsiTheme="minorHAnsi" w:cstheme="minorHAnsi"/>
                <w:sz w:val="20"/>
                <w:szCs w:val="20"/>
                <w:lang w:val="en-GB" w:eastAsia="ru-RU"/>
              </w:rPr>
              <w:t>been installed</w:t>
            </w:r>
            <w:proofErr w:type="gramEnd"/>
            <w:r w:rsidRPr="00096E14">
              <w:rPr>
                <w:rFonts w:asciiTheme="minorHAnsi" w:eastAsia="Times New Roman" w:hAnsiTheme="minorHAnsi" w:cstheme="minorHAnsi"/>
                <w:sz w:val="20"/>
                <w:szCs w:val="20"/>
                <w:lang w:val="en-GB" w:eastAsia="ru-RU"/>
              </w:rPr>
              <w:t xml:space="preserve"> and is used in 31 institutions (9 AIDS </w:t>
            </w:r>
            <w:r w:rsidR="00096E14" w:rsidRPr="00096E14">
              <w:rPr>
                <w:rFonts w:asciiTheme="minorHAnsi" w:eastAsia="Times New Roman" w:hAnsiTheme="minorHAnsi" w:cstheme="minorHAnsi"/>
                <w:sz w:val="20"/>
                <w:szCs w:val="20"/>
                <w:lang w:val="en-GB" w:eastAsia="ru-RU"/>
              </w:rPr>
              <w:t>centres</w:t>
            </w:r>
            <w:r w:rsidRPr="00096E14">
              <w:rPr>
                <w:rFonts w:asciiTheme="minorHAnsi" w:eastAsia="Times New Roman" w:hAnsiTheme="minorHAnsi" w:cstheme="minorHAnsi"/>
                <w:sz w:val="20"/>
                <w:szCs w:val="20"/>
                <w:lang w:val="en-GB" w:eastAsia="ru-RU"/>
              </w:rPr>
              <w:t xml:space="preserve">, 21 FMCs and facilities within the State Penitentiary Service). As part of decentralisation of services, the GF grant will support the ESS scale-up to cover all sites providing services for PLHIV. ESS should </w:t>
            </w:r>
            <w:proofErr w:type="gramStart"/>
            <w:r w:rsidRPr="00096E14">
              <w:rPr>
                <w:rFonts w:asciiTheme="minorHAnsi" w:eastAsia="Times New Roman" w:hAnsiTheme="minorHAnsi" w:cstheme="minorHAnsi"/>
                <w:sz w:val="20"/>
                <w:szCs w:val="20"/>
                <w:lang w:val="en-GB" w:eastAsia="ru-RU"/>
              </w:rPr>
              <w:t>be integrated</w:t>
            </w:r>
            <w:proofErr w:type="gramEnd"/>
            <w:r w:rsidRPr="00096E14">
              <w:rPr>
                <w:rFonts w:asciiTheme="minorHAnsi" w:eastAsia="Times New Roman" w:hAnsiTheme="minorHAnsi" w:cstheme="minorHAnsi"/>
                <w:sz w:val="20"/>
                <w:szCs w:val="20"/>
                <w:lang w:val="en-GB" w:eastAsia="ru-RU"/>
              </w:rPr>
              <w:t xml:space="preserve"> into the general e-health system, and an ARV drug accounting and forecasting module should be implemented throughout the country.</w:t>
            </w:r>
          </w:p>
          <w:p w14:paraId="42E6BC16" w14:textId="2F1E3831" w:rsidR="009679A8" w:rsidRPr="00096E14" w:rsidRDefault="00980BCA" w:rsidP="00096E14">
            <w:pPr>
              <w:jc w:val="both"/>
              <w:rPr>
                <w:rFonts w:asciiTheme="minorHAnsi" w:eastAsia="Times New Roman" w:hAnsiTheme="minorHAnsi" w:cstheme="minorHAnsi"/>
                <w:sz w:val="20"/>
                <w:szCs w:val="20"/>
                <w:lang w:val="en-GB" w:eastAsia="ru-RU"/>
              </w:rPr>
            </w:pPr>
            <w:r w:rsidRPr="00096E14">
              <w:rPr>
                <w:rFonts w:asciiTheme="minorHAnsi" w:eastAsia="Times New Roman" w:hAnsiTheme="minorHAnsi" w:cstheme="minorHAnsi"/>
                <w:sz w:val="20"/>
                <w:szCs w:val="20"/>
                <w:lang w:val="en-GB" w:eastAsia="ru-RU"/>
              </w:rPr>
              <w:t xml:space="preserve">The NTP developed an M&amp;E manual, moved to electronic recording and reporting, designed checklists for monitoring visits, collects and verifies data on a quarterly basis and implements regular monitoring through the oblast TB </w:t>
            </w:r>
            <w:r w:rsidR="00096E14" w:rsidRPr="00096E14">
              <w:rPr>
                <w:rFonts w:asciiTheme="minorHAnsi" w:eastAsia="Times New Roman" w:hAnsiTheme="minorHAnsi" w:cstheme="minorHAnsi"/>
                <w:sz w:val="20"/>
                <w:szCs w:val="20"/>
                <w:lang w:val="en-GB" w:eastAsia="ru-RU"/>
              </w:rPr>
              <w:t>Centre</w:t>
            </w:r>
            <w:r w:rsidRPr="00096E14">
              <w:rPr>
                <w:rFonts w:asciiTheme="minorHAnsi" w:eastAsia="Times New Roman" w:hAnsiTheme="minorHAnsi" w:cstheme="minorHAnsi"/>
                <w:sz w:val="20"/>
                <w:szCs w:val="20"/>
                <w:lang w:val="en-GB" w:eastAsia="ru-RU"/>
              </w:rPr>
              <w:t xml:space="preserve">. The WHO TB profile has not yet revealed significant discrepancies. However, data on TB expenditures is not available open source, but only upon request. </w:t>
            </w:r>
            <w:proofErr w:type="gramStart"/>
            <w:r w:rsidRPr="00096E14">
              <w:rPr>
                <w:rFonts w:asciiTheme="minorHAnsi" w:eastAsia="Times New Roman" w:hAnsiTheme="minorHAnsi" w:cstheme="minorHAnsi"/>
                <w:sz w:val="20"/>
                <w:szCs w:val="20"/>
                <w:lang w:val="en-GB" w:eastAsia="ru-RU"/>
              </w:rPr>
              <w:t>Similar to</w:t>
            </w:r>
            <w:proofErr w:type="gramEnd"/>
            <w:r w:rsidRPr="00096E14">
              <w:rPr>
                <w:rFonts w:asciiTheme="minorHAnsi" w:eastAsia="Times New Roman" w:hAnsiTheme="minorHAnsi" w:cstheme="minorHAnsi"/>
                <w:sz w:val="20"/>
                <w:szCs w:val="20"/>
                <w:lang w:val="en-GB" w:eastAsia="ru-RU"/>
              </w:rPr>
              <w:t xml:space="preserve"> the HIV ESS, an electronic database has been developed within the TB service system but has not yet been widely deployed.</w:t>
            </w:r>
          </w:p>
          <w:p w14:paraId="1F1EAA12" w14:textId="77777777" w:rsidR="009E2A4F" w:rsidRPr="00912C27" w:rsidRDefault="009E2A4F" w:rsidP="00096E14">
            <w:pPr>
              <w:jc w:val="both"/>
              <w:rPr>
                <w:rFonts w:asciiTheme="minorHAnsi" w:hAnsiTheme="minorHAnsi"/>
                <w:b/>
                <w:sz w:val="20"/>
                <w:lang w:val="en-GB"/>
              </w:rPr>
            </w:pPr>
            <w:r w:rsidRPr="00912C27">
              <w:rPr>
                <w:rFonts w:asciiTheme="minorHAnsi" w:hAnsiTheme="minorHAnsi"/>
                <w:b/>
                <w:sz w:val="20"/>
                <w:lang w:val="en-GB"/>
              </w:rPr>
              <w:t>Providing medicines and health commodities</w:t>
            </w:r>
          </w:p>
          <w:p w14:paraId="766F2550" w14:textId="77777777" w:rsidR="009E2A4F" w:rsidRPr="00A430BB" w:rsidRDefault="009E2A4F" w:rsidP="00A430BB">
            <w:pPr>
              <w:jc w:val="both"/>
              <w:rPr>
                <w:rFonts w:asciiTheme="minorHAnsi" w:eastAsia="Times New Roman" w:hAnsiTheme="minorHAnsi" w:cstheme="minorHAnsi"/>
                <w:sz w:val="20"/>
                <w:szCs w:val="20"/>
                <w:lang w:val="en-GB" w:eastAsia="ru-RU"/>
              </w:rPr>
            </w:pPr>
            <w:r w:rsidRPr="00A430BB">
              <w:rPr>
                <w:rFonts w:asciiTheme="minorHAnsi" w:eastAsia="Times New Roman" w:hAnsiTheme="minorHAnsi" w:cstheme="minorHAnsi"/>
                <w:sz w:val="20"/>
                <w:szCs w:val="20"/>
                <w:lang w:val="en-GB" w:eastAsia="ru-RU"/>
              </w:rPr>
              <w:t xml:space="preserve">The decrease in donor funding caused the </w:t>
            </w:r>
            <w:proofErr w:type="spellStart"/>
            <w:r w:rsidRPr="00A430BB">
              <w:rPr>
                <w:rFonts w:asciiTheme="minorHAnsi" w:eastAsia="Times New Roman" w:hAnsiTheme="minorHAnsi" w:cstheme="minorHAnsi"/>
                <w:sz w:val="20"/>
                <w:szCs w:val="20"/>
                <w:lang w:val="en-GB" w:eastAsia="ru-RU"/>
              </w:rPr>
              <w:t>MoH</w:t>
            </w:r>
            <w:proofErr w:type="spellEnd"/>
            <w:r w:rsidRPr="00A430BB">
              <w:rPr>
                <w:rFonts w:asciiTheme="minorHAnsi" w:eastAsia="Times New Roman" w:hAnsiTheme="minorHAnsi" w:cstheme="minorHAnsi"/>
                <w:sz w:val="20"/>
                <w:szCs w:val="20"/>
                <w:lang w:val="en-GB" w:eastAsia="ru-RU"/>
              </w:rPr>
              <w:t xml:space="preserve"> to allocate additional funds to the RAC, which </w:t>
            </w:r>
            <w:proofErr w:type="gramStart"/>
            <w:r w:rsidRPr="00A430BB">
              <w:rPr>
                <w:rFonts w:asciiTheme="minorHAnsi" w:eastAsia="Times New Roman" w:hAnsiTheme="minorHAnsi" w:cstheme="minorHAnsi"/>
                <w:sz w:val="20"/>
                <w:szCs w:val="20"/>
                <w:lang w:val="en-GB" w:eastAsia="ru-RU"/>
              </w:rPr>
              <w:t>were used</w:t>
            </w:r>
            <w:proofErr w:type="gramEnd"/>
            <w:r w:rsidRPr="00A430BB">
              <w:rPr>
                <w:rFonts w:asciiTheme="minorHAnsi" w:eastAsia="Times New Roman" w:hAnsiTheme="minorHAnsi" w:cstheme="minorHAnsi"/>
                <w:sz w:val="20"/>
                <w:szCs w:val="20"/>
                <w:lang w:val="en-GB" w:eastAsia="ru-RU"/>
              </w:rPr>
              <w:t xml:space="preserve"> to purchase ARV drugs, tests and reagents. By the end of 2019, the RAC purchased ARVs (TLDs) for 2,000 PLHIV from the state budget. Since 2016, the TB service has been procuring first-line TB drugs. Only small quantities of second-line TB drugs </w:t>
            </w:r>
            <w:proofErr w:type="gramStart"/>
            <w:r w:rsidRPr="00A430BB">
              <w:rPr>
                <w:rFonts w:asciiTheme="minorHAnsi" w:eastAsia="Times New Roman" w:hAnsiTheme="minorHAnsi" w:cstheme="minorHAnsi"/>
                <w:sz w:val="20"/>
                <w:szCs w:val="20"/>
                <w:lang w:val="en-GB" w:eastAsia="ru-RU"/>
              </w:rPr>
              <w:t>were purchased</w:t>
            </w:r>
            <w:proofErr w:type="gramEnd"/>
            <w:r w:rsidRPr="00A430BB">
              <w:rPr>
                <w:rFonts w:asciiTheme="minorHAnsi" w:eastAsia="Times New Roman" w:hAnsiTheme="minorHAnsi" w:cstheme="minorHAnsi"/>
                <w:sz w:val="20"/>
                <w:szCs w:val="20"/>
                <w:lang w:val="en-GB" w:eastAsia="ru-RU"/>
              </w:rPr>
              <w:t xml:space="preserve"> by domestic funds in 2019.</w:t>
            </w:r>
          </w:p>
          <w:p w14:paraId="20F777C8" w14:textId="77777777" w:rsidR="009E2A4F" w:rsidRPr="00A430BB" w:rsidRDefault="009E2A4F" w:rsidP="00A430BB">
            <w:pPr>
              <w:jc w:val="both"/>
              <w:rPr>
                <w:rFonts w:asciiTheme="minorHAnsi" w:eastAsia="Times New Roman" w:hAnsiTheme="minorHAnsi" w:cstheme="minorHAnsi"/>
                <w:sz w:val="20"/>
                <w:szCs w:val="20"/>
                <w:lang w:val="en-GB" w:eastAsia="ru-RU"/>
              </w:rPr>
            </w:pPr>
            <w:r w:rsidRPr="00A430BB">
              <w:rPr>
                <w:rFonts w:asciiTheme="minorHAnsi" w:eastAsia="Times New Roman" w:hAnsiTheme="minorHAnsi" w:cstheme="minorHAnsi"/>
                <w:sz w:val="20"/>
                <w:szCs w:val="20"/>
                <w:lang w:val="en-GB" w:eastAsia="ru-RU"/>
              </w:rPr>
              <w:t xml:space="preserve">Given the expansion of public procurement, the need for affordable and high-quality drugs and the possibility of transferring the GF grant management function to the </w:t>
            </w:r>
            <w:proofErr w:type="spellStart"/>
            <w:r w:rsidRPr="00A430BB">
              <w:rPr>
                <w:rFonts w:asciiTheme="minorHAnsi" w:eastAsia="Times New Roman" w:hAnsiTheme="minorHAnsi" w:cstheme="minorHAnsi"/>
                <w:sz w:val="20"/>
                <w:szCs w:val="20"/>
                <w:lang w:val="en-GB" w:eastAsia="ru-RU"/>
              </w:rPr>
              <w:t>MoH</w:t>
            </w:r>
            <w:proofErr w:type="spellEnd"/>
            <w:r w:rsidRPr="00A430BB">
              <w:rPr>
                <w:rFonts w:asciiTheme="minorHAnsi" w:eastAsia="Times New Roman" w:hAnsiTheme="minorHAnsi" w:cstheme="minorHAnsi"/>
                <w:sz w:val="20"/>
                <w:szCs w:val="20"/>
                <w:lang w:val="en-GB" w:eastAsia="ru-RU"/>
              </w:rPr>
              <w:t xml:space="preserve">, it was revealed that </w:t>
            </w:r>
            <w:proofErr w:type="gramStart"/>
            <w:r w:rsidRPr="00A430BB">
              <w:rPr>
                <w:rFonts w:asciiTheme="minorHAnsi" w:eastAsia="Times New Roman" w:hAnsiTheme="minorHAnsi" w:cstheme="minorHAnsi"/>
                <w:sz w:val="20"/>
                <w:szCs w:val="20"/>
                <w:lang w:val="en-GB" w:eastAsia="ru-RU"/>
              </w:rPr>
              <w:t>a number of</w:t>
            </w:r>
            <w:proofErr w:type="gramEnd"/>
            <w:r w:rsidRPr="00A430BB">
              <w:rPr>
                <w:rFonts w:asciiTheme="minorHAnsi" w:eastAsia="Times New Roman" w:hAnsiTheme="minorHAnsi" w:cstheme="minorHAnsi"/>
                <w:sz w:val="20"/>
                <w:szCs w:val="20"/>
                <w:lang w:val="en-GB" w:eastAsia="ru-RU"/>
              </w:rPr>
              <w:t xml:space="preserve"> key medicines were missing on the local market, and if available, they were sold by single source at a high cost. Moreover, the country’s legislation does not allow access to international markets and procurement through international platforms, which could ensure the procurement at lowest price and high quality. In this regard, amendments to the “Law on public procurement” have </w:t>
            </w:r>
            <w:proofErr w:type="gramStart"/>
            <w:r w:rsidRPr="00A430BB">
              <w:rPr>
                <w:rFonts w:asciiTheme="minorHAnsi" w:eastAsia="Times New Roman" w:hAnsiTheme="minorHAnsi" w:cstheme="minorHAnsi"/>
                <w:sz w:val="20"/>
                <w:szCs w:val="20"/>
                <w:lang w:val="en-GB" w:eastAsia="ru-RU"/>
              </w:rPr>
              <w:t>been initiated</w:t>
            </w:r>
            <w:proofErr w:type="gramEnd"/>
            <w:r w:rsidRPr="00A430BB">
              <w:rPr>
                <w:rFonts w:asciiTheme="minorHAnsi" w:eastAsia="Times New Roman" w:hAnsiTheme="minorHAnsi" w:cstheme="minorHAnsi"/>
                <w:sz w:val="20"/>
                <w:szCs w:val="20"/>
                <w:lang w:val="en-GB" w:eastAsia="ru-RU"/>
              </w:rPr>
              <w:t xml:space="preserve">, aiming to provide possibility of procurement of essential medicines through international platforms. The respective bill </w:t>
            </w:r>
            <w:proofErr w:type="gramStart"/>
            <w:r w:rsidRPr="00A430BB">
              <w:rPr>
                <w:rFonts w:asciiTheme="minorHAnsi" w:eastAsia="Times New Roman" w:hAnsiTheme="minorHAnsi" w:cstheme="minorHAnsi"/>
                <w:sz w:val="20"/>
                <w:szCs w:val="20"/>
                <w:lang w:val="en-GB" w:eastAsia="ru-RU"/>
              </w:rPr>
              <w:t>was registered</w:t>
            </w:r>
            <w:proofErr w:type="gramEnd"/>
            <w:r w:rsidRPr="00A430BB">
              <w:rPr>
                <w:rFonts w:asciiTheme="minorHAnsi" w:eastAsia="Times New Roman" w:hAnsiTheme="minorHAnsi" w:cstheme="minorHAnsi"/>
                <w:sz w:val="20"/>
                <w:szCs w:val="20"/>
                <w:lang w:val="en-GB" w:eastAsia="ru-RU"/>
              </w:rPr>
              <w:t xml:space="preserve"> with the country's parliament in 2019, but its approval has been faced with active resistance. Broad advocacy efforts </w:t>
            </w:r>
            <w:proofErr w:type="gramStart"/>
            <w:r w:rsidRPr="00A430BB">
              <w:rPr>
                <w:rFonts w:asciiTheme="minorHAnsi" w:eastAsia="Times New Roman" w:hAnsiTheme="minorHAnsi" w:cstheme="minorHAnsi"/>
                <w:sz w:val="20"/>
                <w:szCs w:val="20"/>
                <w:lang w:val="en-GB" w:eastAsia="ru-RU"/>
              </w:rPr>
              <w:t>are needed</w:t>
            </w:r>
            <w:proofErr w:type="gramEnd"/>
            <w:r w:rsidRPr="00A430BB">
              <w:rPr>
                <w:rFonts w:asciiTheme="minorHAnsi" w:eastAsia="Times New Roman" w:hAnsiTheme="minorHAnsi" w:cstheme="minorHAnsi"/>
                <w:sz w:val="20"/>
                <w:szCs w:val="20"/>
                <w:lang w:val="en-GB" w:eastAsia="ru-RU"/>
              </w:rPr>
              <w:t xml:space="preserve"> to create such opportunities.</w:t>
            </w:r>
          </w:p>
          <w:p w14:paraId="4D22587C" w14:textId="77777777" w:rsidR="009E2A4F" w:rsidRPr="00912C27" w:rsidRDefault="009E2A4F" w:rsidP="00A430BB">
            <w:pPr>
              <w:jc w:val="both"/>
              <w:rPr>
                <w:rFonts w:asciiTheme="minorHAnsi" w:hAnsiTheme="minorHAnsi"/>
                <w:b/>
                <w:sz w:val="20"/>
                <w:lang w:val="en-GB"/>
              </w:rPr>
            </w:pPr>
            <w:r w:rsidRPr="00912C27">
              <w:rPr>
                <w:rFonts w:asciiTheme="minorHAnsi" w:hAnsiTheme="minorHAnsi"/>
                <w:b/>
                <w:sz w:val="20"/>
                <w:lang w:val="en-GB"/>
              </w:rPr>
              <w:t>Laboratory systems</w:t>
            </w:r>
          </w:p>
          <w:p w14:paraId="39A964DD" w14:textId="77777777" w:rsidR="009E2A4F" w:rsidRPr="00A430BB" w:rsidRDefault="009E2A4F" w:rsidP="009E2A4F">
            <w:pPr>
              <w:jc w:val="both"/>
              <w:rPr>
                <w:rFonts w:asciiTheme="minorHAnsi" w:eastAsia="Times New Roman" w:hAnsiTheme="minorHAnsi" w:cstheme="minorHAnsi"/>
                <w:sz w:val="20"/>
                <w:szCs w:val="20"/>
                <w:lang w:val="en-GB" w:eastAsia="ru-RU"/>
              </w:rPr>
            </w:pPr>
            <w:r w:rsidRPr="00A430BB">
              <w:rPr>
                <w:rFonts w:asciiTheme="minorHAnsi" w:eastAsia="Times New Roman" w:hAnsiTheme="minorHAnsi" w:cstheme="minorHAnsi"/>
                <w:sz w:val="20"/>
                <w:szCs w:val="20"/>
                <w:lang w:val="en-GB" w:eastAsia="ru-RU"/>
              </w:rPr>
              <w:t xml:space="preserve">The Kyrgyz Republic has rolled out GeneXpert platforms for the diagnosis of HIV and TB as part of the decentralisation of services to the PHC level with the transition of the running costs to state funding by the end of 2023. Drug resistance and HIV tropism </w:t>
            </w:r>
            <w:proofErr w:type="gramStart"/>
            <w:r w:rsidRPr="00A430BB">
              <w:rPr>
                <w:rFonts w:asciiTheme="minorHAnsi" w:eastAsia="Times New Roman" w:hAnsiTheme="minorHAnsi" w:cstheme="minorHAnsi"/>
                <w:sz w:val="20"/>
                <w:szCs w:val="20"/>
                <w:lang w:val="en-GB" w:eastAsia="ru-RU"/>
              </w:rPr>
              <w:t>are detected</w:t>
            </w:r>
            <w:proofErr w:type="gramEnd"/>
            <w:r w:rsidRPr="00A430BB">
              <w:rPr>
                <w:rFonts w:asciiTheme="minorHAnsi" w:eastAsia="Times New Roman" w:hAnsiTheme="minorHAnsi" w:cstheme="minorHAnsi"/>
                <w:sz w:val="20"/>
                <w:szCs w:val="20"/>
                <w:lang w:val="en-GB" w:eastAsia="ru-RU"/>
              </w:rPr>
              <w:t xml:space="preserve"> through genotyping. As part of the monitoring and quality assurance of HIV diagnosis in the country, </w:t>
            </w:r>
            <w:proofErr w:type="gramStart"/>
            <w:r w:rsidRPr="00A430BB">
              <w:rPr>
                <w:rFonts w:asciiTheme="minorHAnsi" w:eastAsia="Times New Roman" w:hAnsiTheme="minorHAnsi" w:cstheme="minorHAnsi"/>
                <w:sz w:val="20"/>
                <w:szCs w:val="20"/>
                <w:lang w:val="en-GB" w:eastAsia="ru-RU"/>
              </w:rPr>
              <w:t>a number of</w:t>
            </w:r>
            <w:proofErr w:type="gramEnd"/>
            <w:r w:rsidRPr="00A430BB">
              <w:rPr>
                <w:rFonts w:asciiTheme="minorHAnsi" w:eastAsia="Times New Roman" w:hAnsiTheme="minorHAnsi" w:cstheme="minorHAnsi"/>
                <w:sz w:val="20"/>
                <w:szCs w:val="20"/>
                <w:lang w:val="en-GB" w:eastAsia="ru-RU"/>
              </w:rPr>
              <w:t xml:space="preserve"> regulatory documents were developed and approved: the </w:t>
            </w:r>
            <w:proofErr w:type="spellStart"/>
            <w:r w:rsidRPr="00A430BB">
              <w:rPr>
                <w:rFonts w:asciiTheme="minorHAnsi" w:eastAsia="Times New Roman" w:hAnsiTheme="minorHAnsi" w:cstheme="minorHAnsi"/>
                <w:sz w:val="20"/>
                <w:szCs w:val="20"/>
                <w:lang w:val="en-GB" w:eastAsia="ru-RU"/>
              </w:rPr>
              <w:t>MoH</w:t>
            </w:r>
            <w:proofErr w:type="spellEnd"/>
            <w:r w:rsidRPr="00A430BB">
              <w:rPr>
                <w:rFonts w:asciiTheme="minorHAnsi" w:eastAsia="Times New Roman" w:hAnsiTheme="minorHAnsi" w:cstheme="minorHAnsi"/>
                <w:sz w:val="20"/>
                <w:szCs w:val="20"/>
                <w:lang w:val="en-GB" w:eastAsia="ru-RU"/>
              </w:rPr>
              <w:t xml:space="preserve"> Decree dated April 17, 2019 No. 530 “On approval of the Rapid HIV Testing Program in the Kyrgyz Republic”, the </w:t>
            </w:r>
            <w:proofErr w:type="spellStart"/>
            <w:r w:rsidRPr="00A430BB">
              <w:rPr>
                <w:rFonts w:asciiTheme="minorHAnsi" w:eastAsia="Times New Roman" w:hAnsiTheme="minorHAnsi" w:cstheme="minorHAnsi"/>
                <w:sz w:val="20"/>
                <w:szCs w:val="20"/>
                <w:lang w:val="en-GB" w:eastAsia="ru-RU"/>
              </w:rPr>
              <w:t>MoH</w:t>
            </w:r>
            <w:proofErr w:type="spellEnd"/>
            <w:r w:rsidRPr="00A430BB">
              <w:rPr>
                <w:rFonts w:asciiTheme="minorHAnsi" w:eastAsia="Times New Roman" w:hAnsiTheme="minorHAnsi" w:cstheme="minorHAnsi"/>
                <w:sz w:val="20"/>
                <w:szCs w:val="20"/>
                <w:lang w:val="en-GB" w:eastAsia="ru-RU"/>
              </w:rPr>
              <w:t xml:space="preserve"> Decree dated June 28, 2019 No.728 “On approval of the Methodological Guide for Rapid HIV Testing in the Kyrgyz Republic”. The training of specialists in ESS </w:t>
            </w:r>
            <w:proofErr w:type="gramStart"/>
            <w:r w:rsidRPr="00A430BB">
              <w:rPr>
                <w:rFonts w:asciiTheme="minorHAnsi" w:eastAsia="Times New Roman" w:hAnsiTheme="minorHAnsi" w:cstheme="minorHAnsi"/>
                <w:sz w:val="20"/>
                <w:szCs w:val="20"/>
                <w:lang w:val="en-GB" w:eastAsia="ru-RU"/>
              </w:rPr>
              <w:t>was carried</w:t>
            </w:r>
            <w:proofErr w:type="gramEnd"/>
            <w:r w:rsidRPr="00A430BB">
              <w:rPr>
                <w:rFonts w:asciiTheme="minorHAnsi" w:eastAsia="Times New Roman" w:hAnsiTheme="minorHAnsi" w:cstheme="minorHAnsi"/>
                <w:sz w:val="20"/>
                <w:szCs w:val="20"/>
                <w:lang w:val="en-GB" w:eastAsia="ru-RU"/>
              </w:rPr>
              <w:t xml:space="preserve"> out including research using the electronic surveillance (ES) method. At the same time, there is a lack of certified professionals to train laboratory specialists, medical and non-medical personnel involved in ES. Due to staff turnover and lack of ongoing training, the number of specialists trained in ES and their qualification are quite low. Due to financial constraints in organizations conducting ES, the External Quality Assessment (EQA) programme </w:t>
            </w:r>
            <w:proofErr w:type="gramStart"/>
            <w:r w:rsidRPr="00A430BB">
              <w:rPr>
                <w:rFonts w:asciiTheme="minorHAnsi" w:eastAsia="Times New Roman" w:hAnsiTheme="minorHAnsi" w:cstheme="minorHAnsi"/>
                <w:sz w:val="20"/>
                <w:szCs w:val="20"/>
                <w:lang w:val="en-GB" w:eastAsia="ru-RU"/>
              </w:rPr>
              <w:t>is not carried</w:t>
            </w:r>
            <w:proofErr w:type="gramEnd"/>
            <w:r w:rsidRPr="00A430BB">
              <w:rPr>
                <w:rFonts w:asciiTheme="minorHAnsi" w:eastAsia="Times New Roman" w:hAnsiTheme="minorHAnsi" w:cstheme="minorHAnsi"/>
                <w:sz w:val="20"/>
                <w:szCs w:val="20"/>
                <w:lang w:val="en-GB" w:eastAsia="ru-RU"/>
              </w:rPr>
              <w:t xml:space="preserve"> out in full. The existing national EQA programme for 2018-2019 </w:t>
            </w:r>
            <w:proofErr w:type="gramStart"/>
            <w:r w:rsidRPr="00A430BB">
              <w:rPr>
                <w:rFonts w:asciiTheme="minorHAnsi" w:eastAsia="Times New Roman" w:hAnsiTheme="minorHAnsi" w:cstheme="minorHAnsi"/>
                <w:sz w:val="20"/>
                <w:szCs w:val="20"/>
                <w:lang w:val="en-GB" w:eastAsia="ru-RU"/>
              </w:rPr>
              <w:t>is implemented</w:t>
            </w:r>
            <w:proofErr w:type="gramEnd"/>
            <w:r w:rsidRPr="00A430BB">
              <w:rPr>
                <w:rFonts w:asciiTheme="minorHAnsi" w:eastAsia="Times New Roman" w:hAnsiTheme="minorHAnsi" w:cstheme="minorHAnsi"/>
                <w:sz w:val="20"/>
                <w:szCs w:val="20"/>
                <w:lang w:val="en-GB" w:eastAsia="ru-RU"/>
              </w:rPr>
              <w:t xml:space="preserve"> under the co-operation agreement between the </w:t>
            </w:r>
            <w:proofErr w:type="spellStart"/>
            <w:r w:rsidRPr="00A430BB">
              <w:rPr>
                <w:rFonts w:asciiTheme="minorHAnsi" w:eastAsia="Times New Roman" w:hAnsiTheme="minorHAnsi" w:cstheme="minorHAnsi"/>
                <w:sz w:val="20"/>
                <w:szCs w:val="20"/>
                <w:lang w:val="en-GB" w:eastAsia="ru-RU"/>
              </w:rPr>
              <w:t>MoH</w:t>
            </w:r>
            <w:proofErr w:type="spellEnd"/>
            <w:r w:rsidRPr="00A430BB">
              <w:rPr>
                <w:rFonts w:asciiTheme="minorHAnsi" w:eastAsia="Times New Roman" w:hAnsiTheme="minorHAnsi" w:cstheme="minorHAnsi"/>
                <w:sz w:val="20"/>
                <w:szCs w:val="20"/>
                <w:lang w:val="en-GB" w:eastAsia="ru-RU"/>
              </w:rPr>
              <w:t xml:space="preserve"> RAC and CDC (USA) and covers 25% of all existing sites/ES stations. The full implementation of ES programmes requires additional funding under the GF grant.</w:t>
            </w:r>
          </w:p>
          <w:p w14:paraId="58D8FD22" w14:textId="130E17C3" w:rsidR="009E2A4F" w:rsidRPr="00A430BB" w:rsidRDefault="009E2A4F" w:rsidP="00A430BB">
            <w:pPr>
              <w:jc w:val="both"/>
              <w:rPr>
                <w:rFonts w:asciiTheme="minorHAnsi" w:eastAsia="Times New Roman" w:hAnsiTheme="minorHAnsi" w:cstheme="minorHAnsi"/>
                <w:sz w:val="20"/>
                <w:szCs w:val="20"/>
                <w:lang w:val="en-GB" w:eastAsia="ru-RU"/>
              </w:rPr>
            </w:pPr>
            <w:r w:rsidRPr="00A430BB">
              <w:rPr>
                <w:rFonts w:asciiTheme="minorHAnsi" w:eastAsia="Times New Roman" w:hAnsiTheme="minorHAnsi" w:cstheme="minorHAnsi"/>
                <w:sz w:val="20"/>
                <w:szCs w:val="20"/>
                <w:lang w:val="en-GB" w:eastAsia="ru-RU"/>
              </w:rPr>
              <w:t xml:space="preserve">Standard biological samples are </w:t>
            </w:r>
            <w:proofErr w:type="gramStart"/>
            <w:r w:rsidRPr="00A430BB">
              <w:rPr>
                <w:rFonts w:asciiTheme="minorHAnsi" w:eastAsia="Times New Roman" w:hAnsiTheme="minorHAnsi" w:cstheme="minorHAnsi"/>
                <w:sz w:val="20"/>
                <w:szCs w:val="20"/>
                <w:lang w:val="en-GB" w:eastAsia="ru-RU"/>
              </w:rPr>
              <w:t>being developed</w:t>
            </w:r>
            <w:proofErr w:type="gramEnd"/>
            <w:r w:rsidRPr="00A430BB">
              <w:rPr>
                <w:rFonts w:asciiTheme="minorHAnsi" w:eastAsia="Times New Roman" w:hAnsiTheme="minorHAnsi" w:cstheme="minorHAnsi"/>
                <w:sz w:val="20"/>
                <w:szCs w:val="20"/>
                <w:lang w:val="en-GB" w:eastAsia="ru-RU"/>
              </w:rPr>
              <w:t xml:space="preserve"> for a professional testing program at the LDV and ET HIV sites, and the production of interlaboratory standard samples for the needs of the LDV. Work is underway to prepare the HIV Diagnostics Reference Laboratory of the Republican AIDS Centre for accreditation according to the international standard ISO 15 189.</w:t>
            </w:r>
          </w:p>
          <w:p w14:paraId="3DBBC10F" w14:textId="1F53470A" w:rsidR="009E2A4F" w:rsidRPr="00A430BB" w:rsidRDefault="009E2A4F" w:rsidP="00A430BB">
            <w:pPr>
              <w:jc w:val="both"/>
              <w:rPr>
                <w:rFonts w:asciiTheme="minorHAnsi" w:eastAsia="Times New Roman" w:hAnsiTheme="minorHAnsi" w:cstheme="minorHAnsi"/>
                <w:sz w:val="20"/>
                <w:szCs w:val="20"/>
                <w:lang w:val="en-GB" w:eastAsia="ru-RU"/>
              </w:rPr>
            </w:pPr>
            <w:r w:rsidRPr="00A430BB">
              <w:rPr>
                <w:rFonts w:asciiTheme="minorHAnsi" w:eastAsia="Times New Roman" w:hAnsiTheme="minorHAnsi" w:cstheme="minorHAnsi"/>
                <w:sz w:val="20"/>
                <w:szCs w:val="20"/>
                <w:lang w:val="en-GB" w:eastAsia="ru-RU"/>
              </w:rPr>
              <w:lastRenderedPageBreak/>
              <w:t xml:space="preserve">Laboratory equipment </w:t>
            </w:r>
            <w:proofErr w:type="gramStart"/>
            <w:r w:rsidRPr="00A430BB">
              <w:rPr>
                <w:rFonts w:asciiTheme="minorHAnsi" w:eastAsia="Times New Roman" w:hAnsiTheme="minorHAnsi" w:cstheme="minorHAnsi"/>
                <w:sz w:val="20"/>
                <w:szCs w:val="20"/>
                <w:lang w:val="en-GB" w:eastAsia="ru-RU"/>
              </w:rPr>
              <w:t>was provided</w:t>
            </w:r>
            <w:proofErr w:type="gramEnd"/>
            <w:r w:rsidRPr="00A430BB">
              <w:rPr>
                <w:rFonts w:asciiTheme="minorHAnsi" w:eastAsia="Times New Roman" w:hAnsiTheme="minorHAnsi" w:cstheme="minorHAnsi"/>
                <w:sz w:val="20"/>
                <w:szCs w:val="20"/>
                <w:lang w:val="en-GB" w:eastAsia="ru-RU"/>
              </w:rPr>
              <w:t xml:space="preserve"> in 2009-2011 as part of the </w:t>
            </w:r>
            <w:proofErr w:type="spellStart"/>
            <w:r w:rsidRPr="00A430BB">
              <w:rPr>
                <w:rFonts w:asciiTheme="minorHAnsi" w:eastAsia="Times New Roman" w:hAnsiTheme="minorHAnsi" w:cstheme="minorHAnsi"/>
                <w:sz w:val="20"/>
                <w:szCs w:val="20"/>
                <w:lang w:val="en-GB" w:eastAsia="ru-RU"/>
              </w:rPr>
              <w:t>KfW</w:t>
            </w:r>
            <w:proofErr w:type="spellEnd"/>
            <w:r w:rsidRPr="00A430BB">
              <w:rPr>
                <w:rFonts w:asciiTheme="minorHAnsi" w:eastAsia="Times New Roman" w:hAnsiTheme="minorHAnsi" w:cstheme="minorHAnsi"/>
                <w:sz w:val="20"/>
                <w:szCs w:val="20"/>
                <w:lang w:val="en-GB" w:eastAsia="ru-RU"/>
              </w:rPr>
              <w:t xml:space="preserve"> project. The wear and tear of equipment in all HIV diagnostic laboratories caused the need to upgrade and maintain the equipment. The number of laboratory equipment maintenance engineers in the country </w:t>
            </w:r>
            <w:proofErr w:type="gramStart"/>
            <w:r w:rsidRPr="00A430BB">
              <w:rPr>
                <w:rFonts w:asciiTheme="minorHAnsi" w:eastAsia="Times New Roman" w:hAnsiTheme="minorHAnsi" w:cstheme="minorHAnsi"/>
                <w:sz w:val="20"/>
                <w:szCs w:val="20"/>
                <w:lang w:val="en-GB" w:eastAsia="ru-RU"/>
              </w:rPr>
              <w:t>is limited</w:t>
            </w:r>
            <w:proofErr w:type="gramEnd"/>
            <w:r w:rsidRPr="00A430BB">
              <w:rPr>
                <w:rFonts w:asciiTheme="minorHAnsi" w:eastAsia="Times New Roman" w:hAnsiTheme="minorHAnsi" w:cstheme="minorHAnsi"/>
                <w:sz w:val="20"/>
                <w:szCs w:val="20"/>
                <w:lang w:val="en-GB" w:eastAsia="ru-RU"/>
              </w:rPr>
              <w:t xml:space="preserve">. In this regard, support </w:t>
            </w:r>
            <w:proofErr w:type="gramStart"/>
            <w:r w:rsidRPr="00A430BB">
              <w:rPr>
                <w:rFonts w:asciiTheme="minorHAnsi" w:eastAsia="Times New Roman" w:hAnsiTheme="minorHAnsi" w:cstheme="minorHAnsi"/>
                <w:sz w:val="20"/>
                <w:szCs w:val="20"/>
                <w:lang w:val="en-GB" w:eastAsia="ru-RU"/>
              </w:rPr>
              <w:t>is required</w:t>
            </w:r>
            <w:proofErr w:type="gramEnd"/>
            <w:r w:rsidRPr="00A430BB">
              <w:rPr>
                <w:rFonts w:asciiTheme="minorHAnsi" w:eastAsia="Times New Roman" w:hAnsiTheme="minorHAnsi" w:cstheme="minorHAnsi"/>
                <w:sz w:val="20"/>
                <w:szCs w:val="20"/>
                <w:lang w:val="en-GB" w:eastAsia="ru-RU"/>
              </w:rPr>
              <w:t xml:space="preserve"> for the maintenance of laboratory equipment and training of a pool of laboratory equipment maintenance engineers.</w:t>
            </w:r>
          </w:p>
          <w:p w14:paraId="77EE3C06" w14:textId="66EA208F" w:rsidR="009679A8" w:rsidRPr="00A430BB" w:rsidRDefault="009E2A4F" w:rsidP="00A430BB">
            <w:pPr>
              <w:jc w:val="both"/>
              <w:rPr>
                <w:rFonts w:asciiTheme="minorHAnsi" w:eastAsia="Times New Roman" w:hAnsiTheme="minorHAnsi" w:cstheme="minorHAnsi"/>
                <w:sz w:val="20"/>
                <w:szCs w:val="20"/>
                <w:lang w:val="en-GB" w:eastAsia="ru-RU"/>
              </w:rPr>
            </w:pPr>
            <w:r w:rsidRPr="00A430BB">
              <w:rPr>
                <w:rFonts w:asciiTheme="minorHAnsi" w:eastAsia="Times New Roman" w:hAnsiTheme="minorHAnsi" w:cstheme="minorHAnsi"/>
                <w:sz w:val="20"/>
                <w:szCs w:val="20"/>
                <w:lang w:val="en-GB" w:eastAsia="ru-RU"/>
              </w:rPr>
              <w:t xml:space="preserve">With the increase in the number of GeneXpert diagnostic platforms and the strengthening of the sputum transportation system, a gradual reduction of microscopic examination points across the country is underway. Specifically, in recent years 12 microscopy points have </w:t>
            </w:r>
            <w:proofErr w:type="gramStart"/>
            <w:r w:rsidRPr="00A430BB">
              <w:rPr>
                <w:rFonts w:asciiTheme="minorHAnsi" w:eastAsia="Times New Roman" w:hAnsiTheme="minorHAnsi" w:cstheme="minorHAnsi"/>
                <w:sz w:val="20"/>
                <w:szCs w:val="20"/>
                <w:lang w:val="en-GB" w:eastAsia="ru-RU"/>
              </w:rPr>
              <w:t>been closed</w:t>
            </w:r>
            <w:proofErr w:type="gramEnd"/>
            <w:r w:rsidRPr="00A430BB">
              <w:rPr>
                <w:rFonts w:asciiTheme="minorHAnsi" w:eastAsia="Times New Roman" w:hAnsiTheme="minorHAnsi" w:cstheme="minorHAnsi"/>
                <w:sz w:val="20"/>
                <w:szCs w:val="20"/>
                <w:lang w:val="en-GB" w:eastAsia="ru-RU"/>
              </w:rPr>
              <w:t xml:space="preserve"> bringing their total number to 119 in 2020. It </w:t>
            </w:r>
            <w:proofErr w:type="gramStart"/>
            <w:r w:rsidRPr="00A430BB">
              <w:rPr>
                <w:rFonts w:asciiTheme="minorHAnsi" w:eastAsia="Times New Roman" w:hAnsiTheme="minorHAnsi" w:cstheme="minorHAnsi"/>
                <w:sz w:val="20"/>
                <w:szCs w:val="20"/>
                <w:lang w:val="en-GB" w:eastAsia="ru-RU"/>
              </w:rPr>
              <w:t>is expected</w:t>
            </w:r>
            <w:proofErr w:type="gramEnd"/>
            <w:r w:rsidRPr="00A430BB">
              <w:rPr>
                <w:rFonts w:asciiTheme="minorHAnsi" w:eastAsia="Times New Roman" w:hAnsiTheme="minorHAnsi" w:cstheme="minorHAnsi"/>
                <w:sz w:val="20"/>
                <w:szCs w:val="20"/>
                <w:lang w:val="en-GB" w:eastAsia="ru-RU"/>
              </w:rPr>
              <w:t xml:space="preserve"> that microscopy points be further optimised and reprofiled for other types of examination.</w:t>
            </w:r>
          </w:p>
          <w:p w14:paraId="17E5448B" w14:textId="4FA6DA4D" w:rsidR="00F47114" w:rsidRPr="00912C27" w:rsidRDefault="00F47114" w:rsidP="00F47114">
            <w:pPr>
              <w:jc w:val="both"/>
              <w:rPr>
                <w:rFonts w:asciiTheme="minorHAnsi" w:hAnsiTheme="minorHAnsi"/>
                <w:b/>
                <w:sz w:val="20"/>
                <w:lang w:val="en-GB"/>
              </w:rPr>
            </w:pPr>
            <w:r w:rsidRPr="00912C27">
              <w:rPr>
                <w:rFonts w:asciiTheme="minorHAnsi" w:hAnsiTheme="minorHAnsi"/>
                <w:b/>
                <w:sz w:val="20"/>
                <w:lang w:val="en-GB"/>
              </w:rPr>
              <w:t xml:space="preserve">Human rights and gender </w:t>
            </w:r>
          </w:p>
          <w:p w14:paraId="518351ED" w14:textId="77777777" w:rsidR="00F47114" w:rsidRPr="00A430BB" w:rsidRDefault="00F47114" w:rsidP="00F47114">
            <w:pPr>
              <w:jc w:val="both"/>
              <w:rPr>
                <w:rFonts w:asciiTheme="minorHAnsi" w:eastAsia="Times New Roman" w:hAnsiTheme="minorHAnsi" w:cstheme="minorHAnsi"/>
                <w:sz w:val="20"/>
                <w:szCs w:val="20"/>
                <w:lang w:val="en-GB" w:eastAsia="ru-RU"/>
              </w:rPr>
            </w:pPr>
            <w:r w:rsidRPr="00A430BB">
              <w:rPr>
                <w:rFonts w:asciiTheme="minorHAnsi" w:eastAsia="Times New Roman" w:hAnsiTheme="minorHAnsi" w:cstheme="minorHAnsi"/>
                <w:sz w:val="20"/>
                <w:szCs w:val="20"/>
                <w:lang w:val="en-GB" w:eastAsia="ru-RU"/>
              </w:rPr>
              <w:t xml:space="preserve">This component includes activities under all the strategic directions recommended by the GF, considering the needs of key populations identified during the focus group discussions and the current situation in the country. To ensure a consistent algorithm of actions, three modules </w:t>
            </w:r>
            <w:proofErr w:type="gramStart"/>
            <w:r w:rsidRPr="00A430BB">
              <w:rPr>
                <w:rFonts w:asciiTheme="minorHAnsi" w:eastAsia="Times New Roman" w:hAnsiTheme="minorHAnsi" w:cstheme="minorHAnsi"/>
                <w:sz w:val="20"/>
                <w:szCs w:val="20"/>
                <w:lang w:val="en-GB" w:eastAsia="ru-RU"/>
              </w:rPr>
              <w:t>are proposed</w:t>
            </w:r>
            <w:proofErr w:type="gramEnd"/>
            <w:r w:rsidRPr="00A430BB">
              <w:rPr>
                <w:rFonts w:asciiTheme="minorHAnsi" w:eastAsia="Times New Roman" w:hAnsiTheme="minorHAnsi" w:cstheme="minorHAnsi"/>
                <w:sz w:val="20"/>
                <w:szCs w:val="20"/>
                <w:lang w:val="en-GB" w:eastAsia="ru-RU"/>
              </w:rPr>
              <w:t xml:space="preserve"> of which two are combined (TB/HIV): (1) Monitoring and reforming laws, regulations and policies on HIV and TB to sensitise lawmakers and law enforcement agencies; (2) Providing legal services, including communities’ training; and (3) Training health providers on the rights-based approach and medical ethics. Interventions to ensure gender equality, reduction of stigma and discrimination, as well as community mobilisation will be cross-cutting both within the catalytic funding and as part of the HIV and TB funding request.</w:t>
            </w:r>
          </w:p>
          <w:p w14:paraId="35EACB3D" w14:textId="77777777" w:rsidR="00F47114" w:rsidRPr="00A430BB" w:rsidRDefault="00F47114" w:rsidP="00F47114">
            <w:pPr>
              <w:jc w:val="both"/>
              <w:rPr>
                <w:rFonts w:asciiTheme="minorHAnsi" w:eastAsia="Times New Roman" w:hAnsiTheme="minorHAnsi" w:cstheme="minorHAnsi"/>
                <w:sz w:val="20"/>
                <w:szCs w:val="20"/>
                <w:lang w:val="en-GB" w:eastAsia="ru-RU"/>
              </w:rPr>
            </w:pPr>
            <w:r w:rsidRPr="00A430BB">
              <w:rPr>
                <w:rFonts w:asciiTheme="minorHAnsi" w:eastAsia="Times New Roman" w:hAnsiTheme="minorHAnsi" w:cstheme="minorHAnsi"/>
                <w:sz w:val="20"/>
                <w:szCs w:val="20"/>
                <w:lang w:val="en-GB" w:eastAsia="ru-RU"/>
              </w:rPr>
              <w:t xml:space="preserve">Efforts to remove legal barriers will be comprehensive, including the work with communities and legal literacy and training of medical personnel to ensure that the prevention and treatment services are based on human rights principles. When documenting violations of the rights of target groups, emphasis will </w:t>
            </w:r>
            <w:proofErr w:type="gramStart"/>
            <w:r w:rsidRPr="00A430BB">
              <w:rPr>
                <w:rFonts w:asciiTheme="minorHAnsi" w:eastAsia="Times New Roman" w:hAnsiTheme="minorHAnsi" w:cstheme="minorHAnsi"/>
                <w:sz w:val="20"/>
                <w:szCs w:val="20"/>
                <w:lang w:val="en-GB" w:eastAsia="ru-RU"/>
              </w:rPr>
              <w:t>be placed</w:t>
            </w:r>
            <w:proofErr w:type="gramEnd"/>
            <w:r w:rsidRPr="00A430BB">
              <w:rPr>
                <w:rFonts w:asciiTheme="minorHAnsi" w:eastAsia="Times New Roman" w:hAnsiTheme="minorHAnsi" w:cstheme="minorHAnsi"/>
                <w:sz w:val="20"/>
                <w:szCs w:val="20"/>
                <w:lang w:val="en-GB" w:eastAsia="ru-RU"/>
              </w:rPr>
              <w:t xml:space="preserve"> on domestic violence and its impact on access to services. The elaboration of this focus area within the application takes into consideration the actions of other partners (UN organisations, PEPFAR, etc.).</w:t>
            </w:r>
          </w:p>
          <w:p w14:paraId="0B83AA58" w14:textId="77777777" w:rsidR="00F47114" w:rsidRPr="00A430BB" w:rsidRDefault="00F47114" w:rsidP="00F47114">
            <w:pPr>
              <w:jc w:val="both"/>
              <w:rPr>
                <w:rFonts w:asciiTheme="minorHAnsi" w:eastAsia="Times New Roman" w:hAnsiTheme="minorHAnsi" w:cstheme="minorHAnsi"/>
                <w:sz w:val="20"/>
                <w:szCs w:val="20"/>
                <w:lang w:val="en-GB" w:eastAsia="ru-RU"/>
              </w:rPr>
            </w:pPr>
            <w:r w:rsidRPr="00A430BB">
              <w:rPr>
                <w:rFonts w:asciiTheme="minorHAnsi" w:eastAsia="Times New Roman" w:hAnsiTheme="minorHAnsi" w:cstheme="minorHAnsi"/>
                <w:sz w:val="20"/>
                <w:szCs w:val="20"/>
                <w:lang w:val="en-GB" w:eastAsia="ru-RU"/>
              </w:rPr>
              <w:t xml:space="preserve">The main activities and outputs under this component </w:t>
            </w:r>
            <w:proofErr w:type="gramStart"/>
            <w:r w:rsidRPr="00A430BB">
              <w:rPr>
                <w:rFonts w:asciiTheme="minorHAnsi" w:eastAsia="Times New Roman" w:hAnsiTheme="minorHAnsi" w:cstheme="minorHAnsi"/>
                <w:sz w:val="20"/>
                <w:szCs w:val="20"/>
                <w:lang w:val="en-GB" w:eastAsia="ru-RU"/>
              </w:rPr>
              <w:t>are aimed</w:t>
            </w:r>
            <w:proofErr w:type="gramEnd"/>
            <w:r w:rsidRPr="00A430BB">
              <w:rPr>
                <w:rFonts w:asciiTheme="minorHAnsi" w:eastAsia="Times New Roman" w:hAnsiTheme="minorHAnsi" w:cstheme="minorHAnsi"/>
                <w:sz w:val="20"/>
                <w:szCs w:val="20"/>
                <w:lang w:val="en-GB" w:eastAsia="ru-RU"/>
              </w:rPr>
              <w:t xml:space="preserve"> at changing the current situation and removing legal barriers. Work on this component will follow the legislation of the Kyrgyz Republic, including national strategic documents on health, HIV, TB and human rights.</w:t>
            </w:r>
          </w:p>
          <w:p w14:paraId="417985BA" w14:textId="77777777" w:rsidR="00AD0F9F" w:rsidRPr="00AD0F9F" w:rsidRDefault="00AD0F9F" w:rsidP="00204941">
            <w:pPr>
              <w:pStyle w:val="affff3"/>
              <w:numPr>
                <w:ilvl w:val="0"/>
                <w:numId w:val="25"/>
              </w:numPr>
              <w:spacing w:after="0" w:line="240" w:lineRule="auto"/>
              <w:ind w:left="313"/>
              <w:jc w:val="both"/>
              <w:rPr>
                <w:rFonts w:asciiTheme="minorHAnsi" w:hAnsiTheme="minorHAnsi"/>
                <w:sz w:val="20"/>
                <w:lang w:val="en-GB"/>
              </w:rPr>
            </w:pPr>
            <w:r w:rsidRPr="00AD0F9F">
              <w:rPr>
                <w:rFonts w:asciiTheme="minorHAnsi" w:hAnsiTheme="minorHAnsi"/>
                <w:sz w:val="20"/>
                <w:lang w:val="en-GB"/>
              </w:rPr>
              <w:t xml:space="preserve">In accordance with the interdepartmental plan to overcome legal barriers, steps will </w:t>
            </w:r>
            <w:proofErr w:type="gramStart"/>
            <w:r w:rsidRPr="00AD0F9F">
              <w:rPr>
                <w:rFonts w:asciiTheme="minorHAnsi" w:hAnsiTheme="minorHAnsi"/>
                <w:sz w:val="20"/>
                <w:lang w:val="en-GB"/>
              </w:rPr>
              <w:t>be made</w:t>
            </w:r>
            <w:proofErr w:type="gramEnd"/>
            <w:r w:rsidRPr="00AD0F9F">
              <w:rPr>
                <w:rFonts w:asciiTheme="minorHAnsi" w:hAnsiTheme="minorHAnsi"/>
                <w:sz w:val="20"/>
                <w:lang w:val="en-GB"/>
              </w:rPr>
              <w:t xml:space="preserve"> to improve laws and regulations to bring the existing law enforcement practices in line with the legislation of the Kyrgyz Republic. This will result in the removal and the detection of illegitimate legal practices. The HIV and TB programmes, the national gender plan for 2022-2030 will include measures and indicators to ensure a supportive legal environment for PLHIV and TB and key populations. </w:t>
            </w:r>
          </w:p>
          <w:p w14:paraId="6E0BFEB8" w14:textId="77777777" w:rsidR="00AD0F9F" w:rsidRPr="00AD0F9F" w:rsidRDefault="00AD0F9F" w:rsidP="00204941">
            <w:pPr>
              <w:pStyle w:val="affff3"/>
              <w:numPr>
                <w:ilvl w:val="0"/>
                <w:numId w:val="25"/>
              </w:numPr>
              <w:spacing w:after="0" w:line="240" w:lineRule="auto"/>
              <w:ind w:left="313"/>
              <w:jc w:val="both"/>
              <w:rPr>
                <w:rFonts w:asciiTheme="minorHAnsi" w:hAnsiTheme="minorHAnsi"/>
                <w:sz w:val="20"/>
                <w:lang w:val="en-GB"/>
              </w:rPr>
            </w:pPr>
            <w:r w:rsidRPr="00AD0F9F">
              <w:rPr>
                <w:rFonts w:asciiTheme="minorHAnsi" w:hAnsiTheme="minorHAnsi"/>
                <w:sz w:val="20"/>
                <w:lang w:val="en-GB"/>
              </w:rPr>
              <w:t xml:space="preserve">Assistance in establishment and implementation of the law enforcement reform in the country will contribute to creating an enabling environment. The result will transform these institutions to supporting key population. This will </w:t>
            </w:r>
            <w:proofErr w:type="gramStart"/>
            <w:r w:rsidRPr="00AD0F9F">
              <w:rPr>
                <w:rFonts w:asciiTheme="minorHAnsi" w:hAnsiTheme="minorHAnsi"/>
                <w:sz w:val="20"/>
                <w:lang w:val="en-GB"/>
              </w:rPr>
              <w:t>be achieved</w:t>
            </w:r>
            <w:proofErr w:type="gramEnd"/>
            <w:r w:rsidRPr="00AD0F9F">
              <w:rPr>
                <w:rFonts w:asciiTheme="minorHAnsi" w:hAnsiTheme="minorHAnsi"/>
                <w:sz w:val="20"/>
                <w:lang w:val="en-GB"/>
              </w:rPr>
              <w:t xml:space="preserve"> through training, consultations, performance indicators, and collaboration with community organisations. </w:t>
            </w:r>
          </w:p>
          <w:p w14:paraId="5D37C3FD" w14:textId="77777777" w:rsidR="00AD0F9F" w:rsidRPr="00AD0F9F" w:rsidRDefault="00AD0F9F" w:rsidP="00204941">
            <w:pPr>
              <w:pStyle w:val="affff3"/>
              <w:numPr>
                <w:ilvl w:val="0"/>
                <w:numId w:val="25"/>
              </w:numPr>
              <w:spacing w:after="0" w:line="240" w:lineRule="auto"/>
              <w:ind w:left="313"/>
              <w:jc w:val="both"/>
              <w:rPr>
                <w:rFonts w:asciiTheme="minorHAnsi" w:hAnsiTheme="minorHAnsi"/>
                <w:sz w:val="20"/>
                <w:lang w:val="en-GB"/>
              </w:rPr>
            </w:pPr>
            <w:r w:rsidRPr="00AD0F9F">
              <w:rPr>
                <w:rFonts w:asciiTheme="minorHAnsi" w:hAnsiTheme="minorHAnsi"/>
                <w:sz w:val="20"/>
                <w:lang w:val="en-GB"/>
              </w:rPr>
              <w:t xml:space="preserve">Strengthening the monitoring of legal instruments and promoting accountability: support the monitoring function of the parliament and the prosecutor's office. Building the accountability of law enforcement agencies will be through strengthening the public councils at the relevant ministries, as well as by bringing legal issues to the Parliament, the Coordinating Council of Public Health and the Human Rights Committee under the Government. </w:t>
            </w:r>
          </w:p>
          <w:p w14:paraId="3F66B786" w14:textId="08DFA23A" w:rsidR="00AD0F9F" w:rsidRPr="00AD0F9F" w:rsidRDefault="00AD0F9F" w:rsidP="00204941">
            <w:pPr>
              <w:pStyle w:val="affff3"/>
              <w:numPr>
                <w:ilvl w:val="0"/>
                <w:numId w:val="25"/>
              </w:numPr>
              <w:spacing w:after="0" w:line="240" w:lineRule="auto"/>
              <w:ind w:left="313"/>
              <w:jc w:val="both"/>
              <w:rPr>
                <w:rFonts w:asciiTheme="minorHAnsi" w:hAnsiTheme="minorHAnsi"/>
                <w:sz w:val="20"/>
                <w:lang w:val="en-GB"/>
              </w:rPr>
            </w:pPr>
            <w:r w:rsidRPr="00AD0F9F">
              <w:rPr>
                <w:rFonts w:asciiTheme="minorHAnsi" w:hAnsiTheme="minorHAnsi"/>
                <w:sz w:val="20"/>
                <w:lang w:val="en-GB"/>
              </w:rPr>
              <w:t xml:space="preserve">A country accountability mechanism will </w:t>
            </w:r>
            <w:proofErr w:type="gramStart"/>
            <w:r w:rsidRPr="00AD0F9F">
              <w:rPr>
                <w:rFonts w:asciiTheme="minorHAnsi" w:hAnsiTheme="minorHAnsi"/>
                <w:sz w:val="20"/>
                <w:lang w:val="en-GB"/>
              </w:rPr>
              <w:t>be established</w:t>
            </w:r>
            <w:proofErr w:type="gramEnd"/>
            <w:r w:rsidRPr="00AD0F9F">
              <w:rPr>
                <w:rFonts w:asciiTheme="minorHAnsi" w:hAnsiTheme="minorHAnsi"/>
                <w:sz w:val="20"/>
                <w:lang w:val="en-GB"/>
              </w:rPr>
              <w:t xml:space="preserve"> to monitor the international human rights obligations by supporting the preparation of shadow reports. </w:t>
            </w:r>
          </w:p>
          <w:p w14:paraId="629B57C2" w14:textId="1747E6B0" w:rsidR="00AD0F9F" w:rsidRPr="00AD0F9F" w:rsidRDefault="00AD0F9F" w:rsidP="00204941">
            <w:pPr>
              <w:pStyle w:val="affff3"/>
              <w:numPr>
                <w:ilvl w:val="0"/>
                <w:numId w:val="25"/>
              </w:numPr>
              <w:spacing w:after="0" w:line="240" w:lineRule="auto"/>
              <w:ind w:left="313"/>
              <w:jc w:val="both"/>
              <w:rPr>
                <w:rFonts w:asciiTheme="minorHAnsi" w:hAnsiTheme="minorHAnsi"/>
                <w:sz w:val="20"/>
                <w:lang w:val="en-GB"/>
              </w:rPr>
            </w:pPr>
            <w:r w:rsidRPr="00AD0F9F">
              <w:rPr>
                <w:rFonts w:asciiTheme="minorHAnsi" w:hAnsiTheme="minorHAnsi"/>
                <w:sz w:val="20"/>
                <w:lang w:val="en-GB"/>
              </w:rPr>
              <w:t xml:space="preserve">Experience from implementing the current grant and focus group discussions indicate a need to expand legal assistance to cover all target groups. This will </w:t>
            </w:r>
            <w:proofErr w:type="gramStart"/>
            <w:r w:rsidRPr="00AD0F9F">
              <w:rPr>
                <w:rFonts w:asciiTheme="minorHAnsi" w:hAnsiTheme="minorHAnsi"/>
                <w:sz w:val="20"/>
                <w:lang w:val="en-GB"/>
              </w:rPr>
              <w:t>be achieved</w:t>
            </w:r>
            <w:proofErr w:type="gramEnd"/>
            <w:r w:rsidRPr="00AD0F9F">
              <w:rPr>
                <w:rFonts w:asciiTheme="minorHAnsi" w:hAnsiTheme="minorHAnsi"/>
                <w:sz w:val="20"/>
                <w:lang w:val="en-GB"/>
              </w:rPr>
              <w:t xml:space="preserve"> through state-guaranteed legal aid (SGLA), the involvement of legal clinics and work with the judges. 120 lawyers will </w:t>
            </w:r>
            <w:proofErr w:type="gramStart"/>
            <w:r w:rsidRPr="00AD0F9F">
              <w:rPr>
                <w:rFonts w:asciiTheme="minorHAnsi" w:hAnsiTheme="minorHAnsi"/>
                <w:sz w:val="20"/>
                <w:lang w:val="en-GB"/>
              </w:rPr>
              <w:t>be trained</w:t>
            </w:r>
            <w:proofErr w:type="gramEnd"/>
            <w:r w:rsidRPr="00AD0F9F">
              <w:rPr>
                <w:rFonts w:asciiTheme="minorHAnsi" w:hAnsiTheme="minorHAnsi"/>
                <w:sz w:val="20"/>
                <w:lang w:val="en-GB"/>
              </w:rPr>
              <w:t xml:space="preserve"> in HIV/TB and key populations rights and litigations. </w:t>
            </w:r>
          </w:p>
          <w:p w14:paraId="7C82A3A3" w14:textId="77777777" w:rsidR="00AD0F9F" w:rsidRPr="00AD0F9F" w:rsidRDefault="00AD0F9F" w:rsidP="00204941">
            <w:pPr>
              <w:pStyle w:val="affff3"/>
              <w:numPr>
                <w:ilvl w:val="0"/>
                <w:numId w:val="25"/>
              </w:numPr>
              <w:spacing w:after="0" w:line="240" w:lineRule="auto"/>
              <w:ind w:left="313"/>
              <w:jc w:val="both"/>
              <w:rPr>
                <w:rFonts w:asciiTheme="minorHAnsi" w:hAnsiTheme="minorHAnsi"/>
                <w:sz w:val="20"/>
                <w:lang w:val="en-GB"/>
              </w:rPr>
            </w:pPr>
            <w:r w:rsidRPr="00AD0F9F">
              <w:rPr>
                <w:rFonts w:asciiTheme="minorHAnsi" w:hAnsiTheme="minorHAnsi"/>
                <w:sz w:val="20"/>
                <w:lang w:val="en-GB"/>
              </w:rPr>
              <w:t xml:space="preserve">The Public Defenders (Paralegals) Institute has proven to be relevant and important. Paralegals will continue to train the community representatives in human rights, documenting violations of rights, </w:t>
            </w:r>
            <w:proofErr w:type="spellStart"/>
            <w:r w:rsidRPr="00AD0F9F">
              <w:rPr>
                <w:rFonts w:asciiTheme="minorHAnsi" w:hAnsiTheme="minorHAnsi"/>
                <w:sz w:val="20"/>
                <w:lang w:val="en-GB"/>
              </w:rPr>
              <w:t>counseling</w:t>
            </w:r>
            <w:proofErr w:type="spellEnd"/>
            <w:r w:rsidRPr="00AD0F9F">
              <w:rPr>
                <w:rFonts w:asciiTheme="minorHAnsi" w:hAnsiTheme="minorHAnsi"/>
                <w:sz w:val="20"/>
                <w:lang w:val="en-GB"/>
              </w:rPr>
              <w:t xml:space="preserve"> and providing social support, as well as documenting gender and domestic violence. Work will </w:t>
            </w:r>
            <w:proofErr w:type="gramStart"/>
            <w:r w:rsidRPr="00AD0F9F">
              <w:rPr>
                <w:rFonts w:asciiTheme="minorHAnsi" w:hAnsiTheme="minorHAnsi"/>
                <w:sz w:val="20"/>
                <w:lang w:val="en-GB"/>
              </w:rPr>
              <w:t>be done</w:t>
            </w:r>
            <w:proofErr w:type="gramEnd"/>
            <w:r w:rsidRPr="00AD0F9F">
              <w:rPr>
                <w:rFonts w:asciiTheme="minorHAnsi" w:hAnsiTheme="minorHAnsi"/>
                <w:sz w:val="20"/>
                <w:lang w:val="en-GB"/>
              </w:rPr>
              <w:t xml:space="preserve"> to provide official status to paralegals to expand their ability to provide legal support. Under this component, four additional paralegals will be involved in </w:t>
            </w:r>
            <w:proofErr w:type="gramStart"/>
            <w:r w:rsidRPr="00AD0F9F">
              <w:rPr>
                <w:rFonts w:asciiTheme="minorHAnsi" w:hAnsiTheme="minorHAnsi"/>
                <w:sz w:val="20"/>
                <w:lang w:val="en-GB"/>
              </w:rPr>
              <w:t>providing assistance to</w:t>
            </w:r>
            <w:proofErr w:type="gramEnd"/>
            <w:r w:rsidRPr="00AD0F9F">
              <w:rPr>
                <w:rFonts w:asciiTheme="minorHAnsi" w:hAnsiTheme="minorHAnsi"/>
                <w:sz w:val="20"/>
                <w:lang w:val="en-GB"/>
              </w:rPr>
              <w:t xml:space="preserve"> TB patients from key populations, as well as to TG. A total of 27 paralegals will provide services throughout the country’s regions. Newly hired paralegals will receive basic training, while all will participate in biannual consultative meetings. </w:t>
            </w:r>
          </w:p>
          <w:p w14:paraId="3ACC8F37" w14:textId="77777777" w:rsidR="00AD0F9F" w:rsidRPr="00AD0F9F" w:rsidRDefault="00AD0F9F" w:rsidP="00204941">
            <w:pPr>
              <w:pStyle w:val="affff3"/>
              <w:numPr>
                <w:ilvl w:val="0"/>
                <w:numId w:val="25"/>
              </w:numPr>
              <w:spacing w:after="0" w:line="240" w:lineRule="auto"/>
              <w:ind w:left="313"/>
              <w:jc w:val="both"/>
              <w:rPr>
                <w:rFonts w:asciiTheme="minorHAnsi" w:hAnsiTheme="minorHAnsi"/>
                <w:sz w:val="20"/>
                <w:lang w:val="en-GB"/>
              </w:rPr>
            </w:pPr>
            <w:r w:rsidRPr="00AD0F9F">
              <w:rPr>
                <w:rFonts w:asciiTheme="minorHAnsi" w:hAnsiTheme="minorHAnsi"/>
                <w:sz w:val="20"/>
                <w:lang w:val="en-GB"/>
              </w:rPr>
              <w:t xml:space="preserve">A key role in the protection against the illegal actions of law enforcement agencies </w:t>
            </w:r>
            <w:proofErr w:type="gramStart"/>
            <w:r w:rsidRPr="00AD0F9F">
              <w:rPr>
                <w:rFonts w:asciiTheme="minorHAnsi" w:hAnsiTheme="minorHAnsi"/>
                <w:sz w:val="20"/>
                <w:lang w:val="en-GB"/>
              </w:rPr>
              <w:t>is played</w:t>
            </w:r>
            <w:proofErr w:type="gramEnd"/>
            <w:r w:rsidRPr="00AD0F9F">
              <w:rPr>
                <w:rFonts w:asciiTheme="minorHAnsi" w:hAnsiTheme="minorHAnsi"/>
                <w:sz w:val="20"/>
                <w:lang w:val="en-GB"/>
              </w:rPr>
              <w:t xml:space="preserve"> by licensed lawyers. An increase in the number of licensed lawyers through two additional positions (4 in total) will support the provision of protection services to key populations including the representation in the courts, initiation of lawsuits and involvement of a lawyers’ task group. The licensed lawyers together with the civil sector level will contribute to the advocacy efforts. At least three high-profile court cases </w:t>
            </w:r>
            <w:proofErr w:type="gramStart"/>
            <w:r w:rsidRPr="00AD0F9F">
              <w:rPr>
                <w:rFonts w:asciiTheme="minorHAnsi" w:hAnsiTheme="minorHAnsi"/>
                <w:sz w:val="20"/>
                <w:lang w:val="en-GB"/>
              </w:rPr>
              <w:t>are expected</w:t>
            </w:r>
            <w:proofErr w:type="gramEnd"/>
            <w:r w:rsidRPr="00AD0F9F">
              <w:rPr>
                <w:rFonts w:asciiTheme="minorHAnsi" w:hAnsiTheme="minorHAnsi"/>
                <w:sz w:val="20"/>
                <w:lang w:val="en-GB"/>
              </w:rPr>
              <w:t>.</w:t>
            </w:r>
          </w:p>
          <w:p w14:paraId="565FF141" w14:textId="77777777" w:rsidR="006B27FA" w:rsidRPr="006B27FA" w:rsidRDefault="006B27FA" w:rsidP="00204941">
            <w:pPr>
              <w:pStyle w:val="affff3"/>
              <w:numPr>
                <w:ilvl w:val="0"/>
                <w:numId w:val="25"/>
              </w:numPr>
              <w:spacing w:after="0" w:line="240" w:lineRule="auto"/>
              <w:ind w:left="313"/>
              <w:jc w:val="both"/>
              <w:rPr>
                <w:rFonts w:asciiTheme="minorHAnsi" w:hAnsiTheme="minorHAnsi"/>
                <w:sz w:val="20"/>
                <w:lang w:val="en-GB"/>
              </w:rPr>
            </w:pPr>
            <w:r w:rsidRPr="006B27FA">
              <w:rPr>
                <w:rFonts w:asciiTheme="minorHAnsi" w:hAnsiTheme="minorHAnsi"/>
                <w:sz w:val="20"/>
                <w:lang w:val="en-GB"/>
              </w:rPr>
              <w:t xml:space="preserve">Documenting rights violations including electronic systems (for example, REACT) for court cases; implementing the stigma index will inform the advocacy/information campaigns and lead to better tolerance and increased </w:t>
            </w:r>
            <w:r w:rsidRPr="006B27FA">
              <w:rPr>
                <w:rFonts w:asciiTheme="minorHAnsi" w:hAnsiTheme="minorHAnsi"/>
                <w:sz w:val="20"/>
                <w:lang w:val="en-GB"/>
              </w:rPr>
              <w:lastRenderedPageBreak/>
              <w:t>sensitivity to HIV and TB on the part of decision-makers. This will serve as the basis for promoting anti-discrimination legislation and increasing budgetary funding for tackling the HIV and TB epidemics.</w:t>
            </w:r>
          </w:p>
          <w:p w14:paraId="39B73DA1" w14:textId="77777777" w:rsidR="006B27FA" w:rsidRPr="006B27FA" w:rsidRDefault="006B27FA" w:rsidP="00204941">
            <w:pPr>
              <w:pStyle w:val="affff3"/>
              <w:numPr>
                <w:ilvl w:val="0"/>
                <w:numId w:val="25"/>
              </w:numPr>
              <w:spacing w:after="0" w:line="240" w:lineRule="auto"/>
              <w:ind w:left="313"/>
              <w:jc w:val="both"/>
              <w:rPr>
                <w:rFonts w:asciiTheme="minorHAnsi" w:hAnsiTheme="minorHAnsi"/>
                <w:sz w:val="20"/>
                <w:lang w:val="en-GB"/>
              </w:rPr>
            </w:pPr>
            <w:r w:rsidRPr="006B27FA">
              <w:rPr>
                <w:rFonts w:asciiTheme="minorHAnsi" w:hAnsiTheme="minorHAnsi"/>
                <w:sz w:val="20"/>
                <w:lang w:val="en-GB"/>
              </w:rPr>
              <w:t xml:space="preserve">Enhancing the knowledge and skills of key populations to protect their rights and introducing tools to protect witnesses will also be prioritised. A system will </w:t>
            </w:r>
            <w:proofErr w:type="gramStart"/>
            <w:r w:rsidRPr="006B27FA">
              <w:rPr>
                <w:rFonts w:asciiTheme="minorHAnsi" w:hAnsiTheme="minorHAnsi"/>
                <w:sz w:val="20"/>
                <w:lang w:val="en-GB"/>
              </w:rPr>
              <w:t>be created</w:t>
            </w:r>
            <w:proofErr w:type="gramEnd"/>
            <w:r w:rsidRPr="006B27FA">
              <w:rPr>
                <w:rFonts w:asciiTheme="minorHAnsi" w:hAnsiTheme="minorHAnsi"/>
                <w:sz w:val="20"/>
                <w:lang w:val="en-GB"/>
              </w:rPr>
              <w:t xml:space="preserve"> to provide legal support to TB patients, as well as to ensure access to legal services and court protection for TG. A total of 360 representatives of all six groups of communities will receive human rights training.</w:t>
            </w:r>
          </w:p>
          <w:p w14:paraId="45C41C5C" w14:textId="77777777" w:rsidR="006B27FA" w:rsidRPr="006B27FA" w:rsidRDefault="006B27FA" w:rsidP="00204941">
            <w:pPr>
              <w:pStyle w:val="affff3"/>
              <w:numPr>
                <w:ilvl w:val="0"/>
                <w:numId w:val="25"/>
              </w:numPr>
              <w:spacing w:after="0" w:line="240" w:lineRule="auto"/>
              <w:ind w:left="313"/>
              <w:jc w:val="both"/>
              <w:rPr>
                <w:rFonts w:asciiTheme="minorHAnsi" w:hAnsiTheme="minorHAnsi"/>
                <w:sz w:val="20"/>
                <w:lang w:val="en-GB"/>
              </w:rPr>
            </w:pPr>
            <w:r w:rsidRPr="006B27FA">
              <w:rPr>
                <w:rFonts w:asciiTheme="minorHAnsi" w:hAnsiTheme="minorHAnsi"/>
                <w:sz w:val="20"/>
                <w:lang w:val="en-GB"/>
              </w:rPr>
              <w:t xml:space="preserve">An indispensable component is the creation of the community advisory groups and their involvement at all levels of implementation. Two NGO forums and one NGO network </w:t>
            </w:r>
            <w:proofErr w:type="gramStart"/>
            <w:r w:rsidRPr="006B27FA">
              <w:rPr>
                <w:rFonts w:asciiTheme="minorHAnsi" w:hAnsiTheme="minorHAnsi"/>
                <w:sz w:val="20"/>
                <w:lang w:val="en-GB"/>
              </w:rPr>
              <w:t>are included</w:t>
            </w:r>
            <w:proofErr w:type="gramEnd"/>
            <w:r w:rsidRPr="006B27FA">
              <w:rPr>
                <w:rFonts w:asciiTheme="minorHAnsi" w:hAnsiTheme="minorHAnsi"/>
                <w:sz w:val="20"/>
                <w:lang w:val="en-GB"/>
              </w:rPr>
              <w:t xml:space="preserve"> in this request which will also contribute to an open dialogue and stronger leadership among community representatives. </w:t>
            </w:r>
          </w:p>
          <w:p w14:paraId="0F80CB38" w14:textId="128EE080" w:rsidR="006B27FA" w:rsidRPr="006B27FA" w:rsidRDefault="006B27FA" w:rsidP="00204941">
            <w:pPr>
              <w:pStyle w:val="affff3"/>
              <w:numPr>
                <w:ilvl w:val="0"/>
                <w:numId w:val="25"/>
              </w:numPr>
              <w:spacing w:after="0" w:line="240" w:lineRule="auto"/>
              <w:ind w:left="313"/>
              <w:jc w:val="both"/>
              <w:rPr>
                <w:rFonts w:asciiTheme="minorHAnsi" w:hAnsiTheme="minorHAnsi"/>
                <w:sz w:val="20"/>
                <w:lang w:val="en-GB"/>
              </w:rPr>
            </w:pPr>
            <w:r w:rsidRPr="006B27FA">
              <w:rPr>
                <w:rFonts w:asciiTheme="minorHAnsi" w:hAnsiTheme="minorHAnsi"/>
                <w:sz w:val="20"/>
                <w:lang w:val="en-GB"/>
              </w:rPr>
              <w:t xml:space="preserve">An important area of assistance to victims of gender-based violence remains the support of two </w:t>
            </w:r>
            <w:r w:rsidR="002A632F" w:rsidRPr="006B27FA">
              <w:rPr>
                <w:rFonts w:asciiTheme="minorHAnsi" w:hAnsiTheme="minorHAnsi"/>
                <w:sz w:val="20"/>
                <w:lang w:val="en-GB"/>
              </w:rPr>
              <w:t>centres</w:t>
            </w:r>
            <w:r w:rsidRPr="006B27FA">
              <w:rPr>
                <w:rFonts w:asciiTheme="minorHAnsi" w:hAnsiTheme="minorHAnsi"/>
                <w:sz w:val="20"/>
                <w:lang w:val="en-GB"/>
              </w:rPr>
              <w:t xml:space="preserve"> for women victims from key populations. </w:t>
            </w:r>
          </w:p>
          <w:p w14:paraId="1CF92B5E" w14:textId="481CA2B3" w:rsidR="00CB63FE" w:rsidRPr="00193E2B" w:rsidRDefault="006B27FA" w:rsidP="00204941">
            <w:pPr>
              <w:pStyle w:val="affff3"/>
              <w:numPr>
                <w:ilvl w:val="0"/>
                <w:numId w:val="25"/>
              </w:numPr>
              <w:spacing w:after="0" w:line="240" w:lineRule="auto"/>
              <w:ind w:left="313"/>
              <w:jc w:val="both"/>
              <w:rPr>
                <w:rFonts w:asciiTheme="minorHAnsi" w:hAnsiTheme="minorHAnsi"/>
                <w:sz w:val="20"/>
                <w:lang w:val="en-GB"/>
              </w:rPr>
            </w:pPr>
            <w:r w:rsidRPr="006B27FA">
              <w:rPr>
                <w:rFonts w:asciiTheme="minorHAnsi" w:hAnsiTheme="minorHAnsi"/>
                <w:sz w:val="20"/>
                <w:lang w:val="en-GB"/>
              </w:rPr>
              <w:t xml:space="preserve">Legal competency of the health care providers will help eliminate the stigma towards PLHIV, TB patients, and key populations including TG. This will include ensuring confidentiality of the diagnosis, provision of state-guaranteed medical care, improve access to services and prevent treatment interruption. Medical workers received this training as part of the current grant and through this funding request the Programme will include monitor the implementation. The main outcome will be a decrease in the providers stigma against people living with HIV and TB. The assessment will also be based on the documentation of violations of patient’s rights, including using the </w:t>
            </w:r>
            <w:proofErr w:type="spellStart"/>
            <w:r w:rsidRPr="006B27FA">
              <w:rPr>
                <w:rFonts w:asciiTheme="minorHAnsi" w:hAnsiTheme="minorHAnsi"/>
                <w:sz w:val="20"/>
                <w:lang w:val="en-GB"/>
              </w:rPr>
              <w:t>OneImpact</w:t>
            </w:r>
            <w:proofErr w:type="spellEnd"/>
            <w:r w:rsidRPr="006B27FA">
              <w:rPr>
                <w:rFonts w:asciiTheme="minorHAnsi" w:hAnsiTheme="minorHAnsi"/>
                <w:sz w:val="20"/>
                <w:lang w:val="en-GB"/>
              </w:rPr>
              <w:t xml:space="preserve"> electronic TB services system and the pereboi.kg platform, where all PLHIV and TB patients will be able to report refusals to </w:t>
            </w:r>
            <w:proofErr w:type="gramStart"/>
            <w:r w:rsidRPr="006B27FA">
              <w:rPr>
                <w:rFonts w:asciiTheme="minorHAnsi" w:hAnsiTheme="minorHAnsi"/>
                <w:sz w:val="20"/>
                <w:lang w:val="en-GB"/>
              </w:rPr>
              <w:t>be diagnosed</w:t>
            </w:r>
            <w:proofErr w:type="gramEnd"/>
            <w:r w:rsidRPr="006B27FA">
              <w:rPr>
                <w:rFonts w:asciiTheme="minorHAnsi" w:hAnsiTheme="minorHAnsi"/>
                <w:sz w:val="20"/>
                <w:lang w:val="en-GB"/>
              </w:rPr>
              <w:t xml:space="preserve"> and treated. Responding to violations of patients’ rights will be through filing complaints, involving media, and reporting to the public councils under the </w:t>
            </w:r>
            <w:proofErr w:type="spellStart"/>
            <w:r w:rsidRPr="006B27FA">
              <w:rPr>
                <w:rFonts w:asciiTheme="minorHAnsi" w:hAnsiTheme="minorHAnsi"/>
                <w:sz w:val="20"/>
                <w:lang w:val="en-GB"/>
              </w:rPr>
              <w:t>MoH</w:t>
            </w:r>
            <w:proofErr w:type="spellEnd"/>
            <w:r w:rsidRPr="006B27FA">
              <w:rPr>
                <w:rFonts w:asciiTheme="minorHAnsi" w:hAnsiTheme="minorHAnsi"/>
                <w:sz w:val="20"/>
                <w:lang w:val="en-GB"/>
              </w:rPr>
              <w:t xml:space="preserve"> and to the MHIF). </w:t>
            </w:r>
          </w:p>
        </w:tc>
      </w:tr>
    </w:tbl>
    <w:p w14:paraId="28186397" w14:textId="77777777" w:rsidR="00CB63FE" w:rsidRPr="00B271DB" w:rsidRDefault="00CB63FE" w:rsidP="008C21CF">
      <w:pPr>
        <w:spacing w:after="0"/>
        <w:rPr>
          <w:rFonts w:cs="Arial"/>
        </w:rPr>
      </w:pPr>
    </w:p>
    <w:p w14:paraId="55305E18" w14:textId="62279E0C" w:rsidR="00810CCB" w:rsidRDefault="00071C82" w:rsidP="008B5FE3">
      <w:pPr>
        <w:pStyle w:val="affff3"/>
        <w:numPr>
          <w:ilvl w:val="0"/>
          <w:numId w:val="23"/>
        </w:numPr>
        <w:spacing w:after="0"/>
        <w:ind w:left="360" w:hanging="270"/>
        <w:jc w:val="both"/>
        <w:rPr>
          <w:rFonts w:cs="Arial"/>
        </w:rPr>
      </w:pPr>
      <w:r>
        <w:rPr>
          <w:rFonts w:cs="Arial"/>
        </w:rPr>
        <w:t xml:space="preserve">Fill in </w:t>
      </w:r>
      <w:r w:rsidRPr="0096146C">
        <w:rPr>
          <w:rFonts w:cs="Arial"/>
          <w:b/>
        </w:rPr>
        <w:t xml:space="preserve">one table for </w:t>
      </w:r>
      <w:r w:rsidR="00AA64EC" w:rsidRPr="0096146C">
        <w:rPr>
          <w:rFonts w:cs="Arial"/>
          <w:b/>
        </w:rPr>
        <w:t>eac</w:t>
      </w:r>
      <w:r w:rsidR="00416B90" w:rsidRPr="0096146C">
        <w:rPr>
          <w:rFonts w:cs="Arial"/>
          <w:b/>
        </w:rPr>
        <w:t>h disease component</w:t>
      </w:r>
      <w:r w:rsidR="00F112AD">
        <w:rPr>
          <w:rFonts w:cs="Arial"/>
        </w:rPr>
        <w:t>,</w:t>
      </w:r>
      <w:r w:rsidR="00416B90" w:rsidRPr="00071C82">
        <w:rPr>
          <w:rFonts w:cs="Arial"/>
        </w:rPr>
        <w:t xml:space="preserve"> and</w:t>
      </w:r>
      <w:r w:rsidR="001D32A9">
        <w:rPr>
          <w:rFonts w:cs="Arial"/>
        </w:rPr>
        <w:t xml:space="preserve"> an additional table for integrated or cross-cutting programming</w:t>
      </w:r>
      <w:r w:rsidR="00F112AD">
        <w:rPr>
          <w:rFonts w:cs="Arial"/>
        </w:rPr>
        <w:t xml:space="preserve">, such as </w:t>
      </w:r>
      <w:r w:rsidR="00CC14C5">
        <w:rPr>
          <w:rFonts w:cs="Arial"/>
        </w:rPr>
        <w:t>TB</w:t>
      </w:r>
      <w:r w:rsidR="00723D34">
        <w:rPr>
          <w:rFonts w:cs="Arial"/>
        </w:rPr>
        <w:t>/HIV</w:t>
      </w:r>
      <w:r w:rsidR="00CC14C5">
        <w:rPr>
          <w:rFonts w:cs="Arial"/>
        </w:rPr>
        <w:t xml:space="preserve"> or</w:t>
      </w:r>
      <w:r w:rsidR="00361089">
        <w:rPr>
          <w:rFonts w:cs="Arial"/>
        </w:rPr>
        <w:t xml:space="preserve"> </w:t>
      </w:r>
      <w:r w:rsidR="00AD189E">
        <w:rPr>
          <w:rFonts w:cs="Arial"/>
        </w:rPr>
        <w:t>Resilient and Sustainable Systems for Health (</w:t>
      </w:r>
      <w:r w:rsidR="00361089">
        <w:rPr>
          <w:rFonts w:cs="Arial"/>
        </w:rPr>
        <w:t>RSSH</w:t>
      </w:r>
      <w:r w:rsidR="00AD189E">
        <w:rPr>
          <w:rFonts w:cs="Arial"/>
        </w:rPr>
        <w:t>)</w:t>
      </w:r>
      <w:r w:rsidR="00361089">
        <w:rPr>
          <w:rFonts w:cs="Arial"/>
        </w:rPr>
        <w:t xml:space="preserve"> modules</w:t>
      </w:r>
      <w:r w:rsidR="00F112AD">
        <w:rPr>
          <w:rFonts w:cs="Arial"/>
        </w:rPr>
        <w:t xml:space="preserve">, </w:t>
      </w:r>
      <w:r w:rsidR="00AB6271">
        <w:rPr>
          <w:rFonts w:cs="Arial"/>
        </w:rPr>
        <w:t>to describe the areas prioritized for this funding request</w:t>
      </w:r>
      <w:r w:rsidR="001D32A9">
        <w:rPr>
          <w:rFonts w:cs="Arial"/>
        </w:rPr>
        <w:t>.</w:t>
      </w:r>
    </w:p>
    <w:p w14:paraId="21B36C43" w14:textId="77777777" w:rsidR="00071C82" w:rsidRPr="00071C82" w:rsidRDefault="00071C82" w:rsidP="00071C82">
      <w:pPr>
        <w:pStyle w:val="affff3"/>
        <w:spacing w:after="0"/>
        <w:ind w:left="360"/>
        <w:jc w:val="both"/>
        <w:rPr>
          <w:rFonts w:cs="Arial"/>
        </w:rPr>
      </w:pPr>
    </w:p>
    <w:tbl>
      <w:tblPr>
        <w:tblStyle w:val="TableGrid3"/>
        <w:tblW w:w="10350" w:type="dxa"/>
        <w:tblInd w:w="-5" w:type="dxa"/>
        <w:tblLayout w:type="fixed"/>
        <w:tblLook w:val="04A0" w:firstRow="1" w:lastRow="0" w:firstColumn="1" w:lastColumn="0" w:noHBand="0" w:noVBand="1"/>
      </w:tblPr>
      <w:tblGrid>
        <w:gridCol w:w="2268"/>
        <w:gridCol w:w="8082"/>
      </w:tblGrid>
      <w:tr w:rsidR="00C75ACA" w:rsidRPr="00BF4BEE" w14:paraId="68E2BF61" w14:textId="77777777" w:rsidTr="00204941">
        <w:trPr>
          <w:trHeight w:val="422"/>
        </w:trPr>
        <w:tc>
          <w:tcPr>
            <w:tcW w:w="2268" w:type="dxa"/>
            <w:shd w:val="clear" w:color="auto" w:fill="F2F2F2"/>
            <w:vAlign w:val="center"/>
          </w:tcPr>
          <w:p w14:paraId="1B4168EC" w14:textId="537C96AA" w:rsidR="00C75ACA" w:rsidRPr="00BF4BEE" w:rsidRDefault="00D26046" w:rsidP="008C21CF">
            <w:pPr>
              <w:spacing w:after="0"/>
            </w:pPr>
            <w:r>
              <w:t xml:space="preserve">Component </w:t>
            </w:r>
          </w:p>
        </w:tc>
        <w:tc>
          <w:tcPr>
            <w:tcW w:w="8082" w:type="dxa"/>
          </w:tcPr>
          <w:p w14:paraId="3762EB1E" w14:textId="72B4C68C" w:rsidR="00C75ACA" w:rsidRPr="00BF4BEE" w:rsidRDefault="00193E2B" w:rsidP="008C21CF">
            <w:pPr>
              <w:spacing w:after="0"/>
              <w:rPr>
                <w:rFonts w:ascii="Calibri" w:hAnsi="Calibri" w:cs="Times New Roman"/>
              </w:rPr>
            </w:pPr>
            <w:r w:rsidRPr="00912C27">
              <w:rPr>
                <w:sz w:val="20"/>
                <w:lang w:val="en-GB"/>
              </w:rPr>
              <w:t>HIV</w:t>
            </w:r>
          </w:p>
        </w:tc>
      </w:tr>
      <w:tr w:rsidR="00C75ACA" w:rsidRPr="00BF4BEE" w14:paraId="1F556EFA" w14:textId="77777777" w:rsidTr="00204941">
        <w:trPr>
          <w:trHeight w:val="440"/>
        </w:trPr>
        <w:tc>
          <w:tcPr>
            <w:tcW w:w="2268" w:type="dxa"/>
            <w:shd w:val="clear" w:color="auto" w:fill="F2F2F2"/>
            <w:vAlign w:val="center"/>
          </w:tcPr>
          <w:p w14:paraId="5DD4D224" w14:textId="291DA54A" w:rsidR="00C75ACA" w:rsidRPr="00BF4BEE" w:rsidRDefault="00D26046" w:rsidP="008C21CF">
            <w:pPr>
              <w:spacing w:after="0"/>
            </w:pPr>
            <w:r>
              <w:t>Module/i</w:t>
            </w:r>
            <w:r w:rsidR="00C75ACA" w:rsidRPr="00BF4BEE">
              <w:t>nterventions</w:t>
            </w:r>
          </w:p>
        </w:tc>
        <w:tc>
          <w:tcPr>
            <w:tcW w:w="8082" w:type="dxa"/>
          </w:tcPr>
          <w:p w14:paraId="52B3F96D" w14:textId="77777777" w:rsidR="0055174C" w:rsidRDefault="00193E2B" w:rsidP="0055174C">
            <w:pPr>
              <w:pStyle w:val="affff3"/>
              <w:numPr>
                <w:ilvl w:val="0"/>
                <w:numId w:val="28"/>
              </w:numPr>
              <w:spacing w:after="0" w:line="240" w:lineRule="auto"/>
              <w:jc w:val="both"/>
              <w:rPr>
                <w:rFonts w:cs="Calibri"/>
                <w:sz w:val="20"/>
                <w:lang w:val="en-GB"/>
              </w:rPr>
            </w:pPr>
            <w:r w:rsidRPr="0055174C">
              <w:rPr>
                <w:rFonts w:cs="Calibri"/>
                <w:sz w:val="20"/>
                <w:lang w:val="en-GB"/>
              </w:rPr>
              <w:t>Prevention (Harm reduction interventions for drug users, opioid substitution therapy and other medically assisted drug dependence treatment, behaviour change interventions for MSM, SW, prisoners, pre-exposure prophylaxis, addressing stigma, discrimination and violence);</w:t>
            </w:r>
          </w:p>
          <w:p w14:paraId="458B0F8F" w14:textId="77777777" w:rsidR="0055174C" w:rsidRDefault="0055174C" w:rsidP="0055174C">
            <w:pPr>
              <w:pStyle w:val="affff3"/>
              <w:numPr>
                <w:ilvl w:val="0"/>
                <w:numId w:val="28"/>
              </w:numPr>
              <w:spacing w:after="0" w:line="240" w:lineRule="auto"/>
              <w:jc w:val="both"/>
              <w:rPr>
                <w:rFonts w:cs="Calibri"/>
                <w:sz w:val="20"/>
                <w:lang w:val="en-GB"/>
              </w:rPr>
            </w:pPr>
            <w:r>
              <w:rPr>
                <w:rFonts w:cs="Calibri"/>
                <w:sz w:val="20"/>
                <w:lang w:val="en-GB"/>
              </w:rPr>
              <w:t>D</w:t>
            </w:r>
            <w:r w:rsidR="00193E2B" w:rsidRPr="0055174C">
              <w:rPr>
                <w:rFonts w:cs="Calibri"/>
                <w:sz w:val="20"/>
                <w:lang w:val="en-GB"/>
              </w:rPr>
              <w:t>ifferentiated HIV testing services (Community-based testing);</w:t>
            </w:r>
          </w:p>
          <w:p w14:paraId="2377413E" w14:textId="77777777" w:rsidR="0055174C" w:rsidRDefault="0055174C" w:rsidP="0055174C">
            <w:pPr>
              <w:pStyle w:val="affff3"/>
              <w:numPr>
                <w:ilvl w:val="0"/>
                <w:numId w:val="28"/>
              </w:numPr>
              <w:spacing w:after="0" w:line="240" w:lineRule="auto"/>
              <w:jc w:val="both"/>
              <w:rPr>
                <w:rFonts w:cs="Calibri"/>
                <w:sz w:val="20"/>
                <w:lang w:val="en-GB"/>
              </w:rPr>
            </w:pPr>
            <w:r>
              <w:rPr>
                <w:rFonts w:cs="Calibri"/>
                <w:sz w:val="20"/>
                <w:lang w:val="en-GB"/>
              </w:rPr>
              <w:t>T</w:t>
            </w:r>
            <w:r w:rsidR="00193E2B" w:rsidRPr="0055174C">
              <w:rPr>
                <w:rFonts w:cs="Calibri"/>
                <w:sz w:val="20"/>
                <w:lang w:val="en-GB"/>
              </w:rPr>
              <w:t>reatment, care and support (Differentiated ART service delivery and HIV care);</w:t>
            </w:r>
          </w:p>
          <w:p w14:paraId="488E8A1E" w14:textId="199392B5" w:rsidR="00C75ACA" w:rsidRPr="0055174C" w:rsidRDefault="0055174C" w:rsidP="0055174C">
            <w:pPr>
              <w:pStyle w:val="affff3"/>
              <w:numPr>
                <w:ilvl w:val="0"/>
                <w:numId w:val="28"/>
              </w:numPr>
              <w:spacing w:after="0" w:line="240" w:lineRule="auto"/>
              <w:jc w:val="both"/>
              <w:rPr>
                <w:rFonts w:cs="Calibri"/>
                <w:sz w:val="20"/>
                <w:lang w:val="en-GB"/>
              </w:rPr>
            </w:pPr>
            <w:r>
              <w:rPr>
                <w:rFonts w:cs="Calibri"/>
                <w:sz w:val="20"/>
                <w:lang w:val="en-GB"/>
              </w:rPr>
              <w:t>P</w:t>
            </w:r>
            <w:r w:rsidR="00193E2B" w:rsidRPr="0055174C">
              <w:rPr>
                <w:rFonts w:cs="Calibri"/>
                <w:sz w:val="20"/>
                <w:lang w:val="en-GB"/>
              </w:rPr>
              <w:t>rogramm</w:t>
            </w:r>
            <w:r w:rsidR="002A632F" w:rsidRPr="0055174C">
              <w:rPr>
                <w:rFonts w:cs="Calibri"/>
                <w:sz w:val="20"/>
                <w:lang w:val="en-GB"/>
              </w:rPr>
              <w:t>e</w:t>
            </w:r>
            <w:r w:rsidR="00193E2B" w:rsidRPr="0055174C">
              <w:rPr>
                <w:rFonts w:cs="Calibri"/>
                <w:sz w:val="20"/>
                <w:lang w:val="en-GB"/>
              </w:rPr>
              <w:t xml:space="preserve"> management</w:t>
            </w:r>
          </w:p>
        </w:tc>
      </w:tr>
      <w:tr w:rsidR="00C75ACA" w:rsidRPr="00BF4BEE" w14:paraId="3AB61975" w14:textId="77777777" w:rsidTr="00204941">
        <w:trPr>
          <w:trHeight w:val="440"/>
        </w:trPr>
        <w:tc>
          <w:tcPr>
            <w:tcW w:w="2268" w:type="dxa"/>
            <w:shd w:val="clear" w:color="auto" w:fill="F2F2F2"/>
            <w:vAlign w:val="center"/>
          </w:tcPr>
          <w:p w14:paraId="2B8F2AA3" w14:textId="7B559E56" w:rsidR="00C75ACA" w:rsidRPr="00BF4BEE" w:rsidRDefault="003C4B9E" w:rsidP="008C21CF">
            <w:pPr>
              <w:spacing w:after="0"/>
            </w:pPr>
            <w:r w:rsidRPr="00BF4BEE">
              <w:t>Priority populations</w:t>
            </w:r>
          </w:p>
        </w:tc>
        <w:tc>
          <w:tcPr>
            <w:tcW w:w="8082" w:type="dxa"/>
          </w:tcPr>
          <w:p w14:paraId="2E638370" w14:textId="11C49407" w:rsidR="00C75ACA" w:rsidRPr="00BF4BEE" w:rsidRDefault="00193E2B" w:rsidP="008C21CF">
            <w:pPr>
              <w:spacing w:after="0"/>
              <w:rPr>
                <w:rFonts w:ascii="Calibri" w:hAnsi="Calibri" w:cs="Times New Roman"/>
              </w:rPr>
            </w:pPr>
            <w:r w:rsidRPr="00912C27">
              <w:rPr>
                <w:sz w:val="20"/>
                <w:lang w:val="en-GB"/>
              </w:rPr>
              <w:t>PLHIV, PWID, MSM,</w:t>
            </w:r>
            <w:r>
              <w:rPr>
                <w:sz w:val="20"/>
                <w:lang w:val="en-GB"/>
              </w:rPr>
              <w:t xml:space="preserve"> </w:t>
            </w:r>
            <w:r w:rsidRPr="00912C27">
              <w:rPr>
                <w:sz w:val="20"/>
                <w:lang w:val="en-GB"/>
              </w:rPr>
              <w:t>TG, SW, prisoners</w:t>
            </w:r>
          </w:p>
        </w:tc>
      </w:tr>
      <w:tr w:rsidR="00F835B9" w:rsidRPr="00BF4BEE" w14:paraId="6EA2E10A" w14:textId="77777777" w:rsidTr="00204941">
        <w:trPr>
          <w:trHeight w:val="440"/>
        </w:trPr>
        <w:tc>
          <w:tcPr>
            <w:tcW w:w="2268" w:type="dxa"/>
            <w:shd w:val="clear" w:color="auto" w:fill="F2F2F2"/>
            <w:vAlign w:val="center"/>
          </w:tcPr>
          <w:p w14:paraId="238A5AF1" w14:textId="3786107B" w:rsidR="00F835B9" w:rsidRPr="00633BBC" w:rsidRDefault="00B33A61" w:rsidP="008C21CF">
            <w:pPr>
              <w:spacing w:after="0"/>
            </w:pPr>
            <w:r>
              <w:t>Barriers and i</w:t>
            </w:r>
            <w:r w:rsidR="00F835B9" w:rsidRPr="009A1DC8">
              <w:t>nequities</w:t>
            </w:r>
          </w:p>
        </w:tc>
        <w:tc>
          <w:tcPr>
            <w:tcW w:w="8082" w:type="dxa"/>
          </w:tcPr>
          <w:p w14:paraId="5BB7AC65" w14:textId="05ED5959" w:rsidR="00193E2B" w:rsidRPr="00204941" w:rsidRDefault="00193E2B" w:rsidP="002A632F">
            <w:pPr>
              <w:jc w:val="both"/>
              <w:rPr>
                <w:rFonts w:eastAsia="Times New Roman" w:cstheme="minorHAnsi"/>
                <w:sz w:val="20"/>
                <w:szCs w:val="20"/>
                <w:lang w:val="en-GB" w:eastAsia="ru-RU"/>
              </w:rPr>
            </w:pPr>
            <w:r w:rsidRPr="00204941">
              <w:rPr>
                <w:rFonts w:eastAsia="Times New Roman" w:cstheme="minorHAnsi"/>
                <w:sz w:val="20"/>
                <w:szCs w:val="20"/>
                <w:lang w:val="en-GB" w:eastAsia="ru-RU"/>
              </w:rPr>
              <w:t xml:space="preserve">51% PLHIV </w:t>
            </w:r>
            <w:proofErr w:type="gramStart"/>
            <w:r w:rsidRPr="00204941">
              <w:rPr>
                <w:rFonts w:eastAsia="Times New Roman" w:cstheme="minorHAnsi"/>
                <w:sz w:val="20"/>
                <w:szCs w:val="20"/>
                <w:lang w:val="en-GB" w:eastAsia="ru-RU"/>
              </w:rPr>
              <w:t>were detected</w:t>
            </w:r>
            <w:proofErr w:type="gramEnd"/>
            <w:r w:rsidRPr="00204941">
              <w:rPr>
                <w:rFonts w:eastAsia="Times New Roman" w:cstheme="minorHAnsi"/>
                <w:sz w:val="20"/>
                <w:szCs w:val="20"/>
                <w:lang w:val="en-GB" w:eastAsia="ru-RU"/>
              </w:rPr>
              <w:t xml:space="preserve"> in 2019 at advanced stage of HIV infection with CD-4 less than 350. Only 68% (4,385/6,458) out of detected PLHIV are under treatment follow-up and 4,058 PLHIV as of 31 December 2019 were receiving ART.</w:t>
            </w:r>
            <w:r w:rsidRPr="00204941">
              <w:rPr>
                <w:rFonts w:eastAsia="Times New Roman" w:cstheme="minorHAnsi"/>
                <w:szCs w:val="20"/>
                <w:vertAlign w:val="superscript"/>
                <w:lang w:eastAsia="ru-RU"/>
              </w:rPr>
              <w:footnoteReference w:id="39"/>
            </w:r>
            <w:r w:rsidRPr="00204941">
              <w:rPr>
                <w:rFonts w:eastAsia="Times New Roman" w:cstheme="minorHAnsi"/>
                <w:sz w:val="20"/>
                <w:szCs w:val="20"/>
                <w:lang w:val="en-GB" w:eastAsia="ru-RU"/>
              </w:rPr>
              <w:t xml:space="preserve"> </w:t>
            </w:r>
          </w:p>
          <w:p w14:paraId="773C0072" w14:textId="77777777" w:rsidR="00193E2B" w:rsidRPr="00204941" w:rsidRDefault="00193E2B" w:rsidP="00204941">
            <w:pPr>
              <w:jc w:val="both"/>
              <w:rPr>
                <w:rFonts w:eastAsia="Times New Roman" w:cstheme="minorHAnsi"/>
                <w:sz w:val="20"/>
                <w:szCs w:val="20"/>
                <w:lang w:val="en-GB" w:eastAsia="ru-RU"/>
              </w:rPr>
            </w:pPr>
            <w:r w:rsidRPr="00204941">
              <w:rPr>
                <w:rFonts w:eastAsia="Times New Roman" w:cstheme="minorHAnsi"/>
                <w:sz w:val="20"/>
                <w:szCs w:val="20"/>
                <w:lang w:val="en-GB" w:eastAsia="ru-RU"/>
              </w:rPr>
              <w:t>HIV detection among key populations decreased during testing.</w:t>
            </w:r>
          </w:p>
          <w:p w14:paraId="0DCF8EB8" w14:textId="18FE88C6" w:rsidR="00F835B9" w:rsidRPr="00BF4BEE" w:rsidRDefault="00193E2B" w:rsidP="002A632F">
            <w:pPr>
              <w:spacing w:after="0"/>
              <w:jc w:val="both"/>
              <w:rPr>
                <w:rFonts w:ascii="Calibri" w:hAnsi="Calibri" w:cs="Times New Roman"/>
              </w:rPr>
            </w:pPr>
            <w:r w:rsidRPr="00912C27">
              <w:rPr>
                <w:sz w:val="20"/>
                <w:lang w:val="en-GB"/>
              </w:rPr>
              <w:t>The OST coverage is low and makes 1,200-1</w:t>
            </w:r>
            <w:r w:rsidR="002A632F">
              <w:rPr>
                <w:sz w:val="20"/>
                <w:lang w:val="en-GB"/>
              </w:rPr>
              <w:t>,</w:t>
            </w:r>
            <w:r w:rsidRPr="00912C27">
              <w:rPr>
                <w:sz w:val="20"/>
                <w:lang w:val="en-GB"/>
              </w:rPr>
              <w:t xml:space="preserve">300 PWID out of estimated number of 25,000 with sub-optimal retention rates. The SWs coverage indicators </w:t>
            </w:r>
            <w:proofErr w:type="gramStart"/>
            <w:r w:rsidRPr="00912C27">
              <w:rPr>
                <w:sz w:val="20"/>
                <w:lang w:val="en-GB"/>
              </w:rPr>
              <w:t>were reduced</w:t>
            </w:r>
            <w:proofErr w:type="gramEnd"/>
            <w:r w:rsidRPr="00912C27">
              <w:rPr>
                <w:sz w:val="20"/>
                <w:lang w:val="en-GB"/>
              </w:rPr>
              <w:t xml:space="preserve"> by 40% due to police raids. There are no prevention program</w:t>
            </w:r>
            <w:r>
              <w:rPr>
                <w:sz w:val="20"/>
                <w:lang w:val="en-GB"/>
              </w:rPr>
              <w:t>me</w:t>
            </w:r>
            <w:r w:rsidRPr="00912C27">
              <w:rPr>
                <w:sz w:val="20"/>
                <w:lang w:val="en-GB"/>
              </w:rPr>
              <w:t xml:space="preserve">s tailored to </w:t>
            </w:r>
            <w:r>
              <w:rPr>
                <w:sz w:val="20"/>
                <w:lang w:val="en-GB"/>
              </w:rPr>
              <w:t>TG</w:t>
            </w:r>
            <w:r w:rsidRPr="00912C27">
              <w:rPr>
                <w:sz w:val="20"/>
                <w:lang w:val="en-GB"/>
              </w:rPr>
              <w:t>. The coverage of prisoners by prevention programmes remains insufficient and adherence to HIV treatment in PLHIV prisoners only</w:t>
            </w:r>
            <w:r>
              <w:rPr>
                <w:sz w:val="20"/>
                <w:lang w:val="en-GB"/>
              </w:rPr>
              <w:t xml:space="preserve"> accounts for</w:t>
            </w:r>
            <w:r w:rsidRPr="00912C27">
              <w:rPr>
                <w:sz w:val="20"/>
                <w:lang w:val="en-GB"/>
              </w:rPr>
              <w:t xml:space="preserve"> 50%.</w:t>
            </w:r>
          </w:p>
        </w:tc>
      </w:tr>
      <w:tr w:rsidR="00193E2B" w:rsidRPr="00BF4BEE" w14:paraId="135CBC88" w14:textId="77777777" w:rsidTr="00204941">
        <w:trPr>
          <w:trHeight w:val="440"/>
        </w:trPr>
        <w:tc>
          <w:tcPr>
            <w:tcW w:w="2268" w:type="dxa"/>
            <w:shd w:val="clear" w:color="auto" w:fill="F2F2F2"/>
            <w:vAlign w:val="center"/>
          </w:tcPr>
          <w:p w14:paraId="76FB7910" w14:textId="77777777" w:rsidR="00193E2B" w:rsidRPr="00BF4BEE" w:rsidRDefault="00193E2B" w:rsidP="00193E2B">
            <w:pPr>
              <w:spacing w:after="0"/>
            </w:pPr>
            <w:r w:rsidRPr="00BF4BEE">
              <w:t>Rationale</w:t>
            </w:r>
          </w:p>
        </w:tc>
        <w:tc>
          <w:tcPr>
            <w:tcW w:w="8082" w:type="dxa"/>
          </w:tcPr>
          <w:p w14:paraId="63E524C5" w14:textId="77777777" w:rsidR="00193E2B" w:rsidRPr="00193E2B" w:rsidRDefault="00193E2B" w:rsidP="002831B7">
            <w:pPr>
              <w:jc w:val="both"/>
              <w:rPr>
                <w:sz w:val="20"/>
                <w:lang w:val="en-GB"/>
              </w:rPr>
            </w:pPr>
            <w:r w:rsidRPr="00193E2B">
              <w:rPr>
                <w:b/>
                <w:sz w:val="20"/>
                <w:lang w:val="en-GB"/>
              </w:rPr>
              <w:t>PLHIV.</w:t>
            </w:r>
            <w:r w:rsidRPr="00193E2B">
              <w:rPr>
                <w:sz w:val="20"/>
                <w:lang w:val="en-GB"/>
              </w:rPr>
              <w:t xml:space="preserve"> Under this funding request the activities to increase adherence with a focus on PLHIV lost for follow-up and those PLHIV with continuously high viral load will continue. By 2023, 81 % of the estimated number of PLHIV will </w:t>
            </w:r>
            <w:proofErr w:type="gramStart"/>
            <w:r w:rsidRPr="00193E2B">
              <w:rPr>
                <w:sz w:val="20"/>
                <w:lang w:val="en-GB"/>
              </w:rPr>
              <w:t>be covered</w:t>
            </w:r>
            <w:proofErr w:type="gramEnd"/>
            <w:r w:rsidRPr="00193E2B">
              <w:rPr>
                <w:sz w:val="20"/>
                <w:lang w:val="en-GB"/>
              </w:rPr>
              <w:t xml:space="preserve"> by treatment which will make 90% out of the detected, whereas more than 80 % of them will get ARV drugs based on</w:t>
            </w:r>
            <w:r w:rsidRPr="00193E2B">
              <w:rPr>
                <w:lang w:val="en-GB"/>
              </w:rPr>
              <w:t xml:space="preserve"> </w:t>
            </w:r>
            <w:r w:rsidRPr="00193E2B">
              <w:rPr>
                <w:sz w:val="20"/>
                <w:lang w:val="en-GB"/>
              </w:rPr>
              <w:t>dolutegravir (DTG).</w:t>
            </w:r>
          </w:p>
          <w:p w14:paraId="68C0749A" w14:textId="36B9D6C1" w:rsidR="00193E2B" w:rsidRPr="00193E2B" w:rsidRDefault="00193E2B" w:rsidP="002831B7">
            <w:pPr>
              <w:jc w:val="both"/>
              <w:rPr>
                <w:sz w:val="20"/>
                <w:lang w:val="en-GB"/>
              </w:rPr>
            </w:pPr>
            <w:r w:rsidRPr="00193E2B">
              <w:rPr>
                <w:sz w:val="20"/>
                <w:lang w:val="en-GB"/>
              </w:rPr>
              <w:t>The procurement of ARV drugs, tests and health commodities, transportation of sa</w:t>
            </w:r>
            <w:r w:rsidR="002A632F">
              <w:rPr>
                <w:sz w:val="20"/>
                <w:lang w:val="en-GB"/>
              </w:rPr>
              <w:t>m</w:t>
            </w:r>
            <w:r w:rsidRPr="00193E2B">
              <w:rPr>
                <w:sz w:val="20"/>
                <w:lang w:val="en-GB"/>
              </w:rPr>
              <w:t xml:space="preserve">ples as well as diagnostics for PLHIV </w:t>
            </w:r>
            <w:r w:rsidR="002A632F">
              <w:rPr>
                <w:sz w:val="20"/>
                <w:lang w:val="en-GB"/>
              </w:rPr>
              <w:t>for</w:t>
            </w:r>
            <w:r w:rsidRPr="00193E2B">
              <w:rPr>
                <w:sz w:val="20"/>
                <w:lang w:val="en-GB"/>
              </w:rPr>
              <w:t xml:space="preserve"> HCV that </w:t>
            </w:r>
            <w:proofErr w:type="gramStart"/>
            <w:r w:rsidRPr="00193E2B">
              <w:rPr>
                <w:sz w:val="20"/>
                <w:lang w:val="en-GB"/>
              </w:rPr>
              <w:t>are not funded</w:t>
            </w:r>
            <w:proofErr w:type="gramEnd"/>
            <w:r w:rsidRPr="00193E2B">
              <w:rPr>
                <w:sz w:val="20"/>
                <w:lang w:val="en-GB"/>
              </w:rPr>
              <w:t xml:space="preserve"> through government will be prioritised. The mechanisms to oversee and track stocks of drugs and health commodities will </w:t>
            </w:r>
            <w:proofErr w:type="gramStart"/>
            <w:r w:rsidRPr="00193E2B">
              <w:rPr>
                <w:sz w:val="20"/>
                <w:lang w:val="en-GB"/>
              </w:rPr>
              <w:t>be improved</w:t>
            </w:r>
            <w:proofErr w:type="gramEnd"/>
            <w:r w:rsidRPr="00193E2B">
              <w:rPr>
                <w:sz w:val="20"/>
                <w:lang w:val="en-GB"/>
              </w:rPr>
              <w:t>.</w:t>
            </w:r>
          </w:p>
          <w:p w14:paraId="3A462C62" w14:textId="77777777" w:rsidR="00193E2B" w:rsidRPr="00193E2B" w:rsidRDefault="00193E2B" w:rsidP="002831B7">
            <w:pPr>
              <w:jc w:val="both"/>
              <w:rPr>
                <w:sz w:val="20"/>
                <w:lang w:val="en-GB"/>
              </w:rPr>
            </w:pPr>
            <w:r w:rsidRPr="00193E2B">
              <w:rPr>
                <w:sz w:val="20"/>
                <w:lang w:val="en-GB"/>
              </w:rPr>
              <w:t xml:space="preserve">Multidisciplinary teams under NGOs across all oblasts of the country will </w:t>
            </w:r>
            <w:proofErr w:type="gramStart"/>
            <w:r w:rsidRPr="00193E2B">
              <w:rPr>
                <w:sz w:val="20"/>
                <w:lang w:val="en-GB"/>
              </w:rPr>
              <w:t>be supported</w:t>
            </w:r>
            <w:proofErr w:type="gramEnd"/>
            <w:r w:rsidRPr="00193E2B">
              <w:rPr>
                <w:sz w:val="20"/>
                <w:lang w:val="en-GB"/>
              </w:rPr>
              <w:t xml:space="preserve">. The MDTs will </w:t>
            </w:r>
            <w:proofErr w:type="gramStart"/>
            <w:r w:rsidRPr="00193E2B">
              <w:rPr>
                <w:sz w:val="20"/>
                <w:lang w:val="en-GB"/>
              </w:rPr>
              <w:t>be paid</w:t>
            </w:r>
            <w:proofErr w:type="gramEnd"/>
            <w:r w:rsidRPr="00193E2B">
              <w:rPr>
                <w:sz w:val="20"/>
                <w:lang w:val="en-GB"/>
              </w:rPr>
              <w:t xml:space="preserve"> based on results achieved and will include components on index testing, administration of ARV drugs as part of MDT as well as pre-exposure prophylaxis.</w:t>
            </w:r>
          </w:p>
          <w:p w14:paraId="31218FC8" w14:textId="098355FC" w:rsidR="00193E2B" w:rsidRPr="00193E2B" w:rsidRDefault="00193E2B" w:rsidP="002831B7">
            <w:pPr>
              <w:jc w:val="both"/>
              <w:rPr>
                <w:sz w:val="20"/>
                <w:lang w:val="en-GB"/>
              </w:rPr>
            </w:pPr>
            <w:r w:rsidRPr="00193E2B">
              <w:rPr>
                <w:sz w:val="20"/>
                <w:lang w:val="en-GB"/>
              </w:rPr>
              <w:lastRenderedPageBreak/>
              <w:t xml:space="preserve">Supporting three integrated </w:t>
            </w:r>
            <w:r w:rsidR="002831B7" w:rsidRPr="00193E2B">
              <w:rPr>
                <w:sz w:val="20"/>
                <w:lang w:val="en-GB"/>
              </w:rPr>
              <w:t>centres</w:t>
            </w:r>
            <w:r w:rsidRPr="00193E2B">
              <w:rPr>
                <w:sz w:val="20"/>
                <w:lang w:val="en-GB"/>
              </w:rPr>
              <w:t xml:space="preserve"> for PLHIV under NGOs including one </w:t>
            </w:r>
            <w:r w:rsidR="002831B7" w:rsidRPr="00193E2B">
              <w:rPr>
                <w:sz w:val="20"/>
                <w:lang w:val="en-GB"/>
              </w:rPr>
              <w:t>centre</w:t>
            </w:r>
            <w:r w:rsidRPr="00193E2B">
              <w:rPr>
                <w:sz w:val="20"/>
                <w:lang w:val="en-GB"/>
              </w:rPr>
              <w:t xml:space="preserve"> for women and children in the city of Osh. </w:t>
            </w:r>
          </w:p>
          <w:p w14:paraId="6F95BFE0" w14:textId="48D6F9D7" w:rsidR="00193E2B" w:rsidRPr="00193E2B" w:rsidRDefault="00193E2B" w:rsidP="002831B7">
            <w:pPr>
              <w:jc w:val="both"/>
              <w:rPr>
                <w:sz w:val="20"/>
                <w:lang w:val="en-GB"/>
              </w:rPr>
            </w:pPr>
            <w:r w:rsidRPr="00193E2B">
              <w:rPr>
                <w:sz w:val="20"/>
                <w:lang w:val="en-GB"/>
              </w:rPr>
              <w:t xml:space="preserve">The activities aimed at promoting the involvement of communities and NGOs in the implementation of activities and services quality monitoring will </w:t>
            </w:r>
            <w:proofErr w:type="gramStart"/>
            <w:r w:rsidRPr="00193E2B">
              <w:rPr>
                <w:sz w:val="20"/>
                <w:lang w:val="en-GB"/>
              </w:rPr>
              <w:t>be supported</w:t>
            </w:r>
            <w:proofErr w:type="gramEnd"/>
            <w:r w:rsidRPr="00193E2B">
              <w:rPr>
                <w:sz w:val="20"/>
                <w:lang w:val="en-GB"/>
              </w:rPr>
              <w:t>.</w:t>
            </w:r>
          </w:p>
          <w:p w14:paraId="5EEED482" w14:textId="77777777" w:rsidR="00193E2B" w:rsidRPr="00193E2B" w:rsidRDefault="00193E2B" w:rsidP="002831B7">
            <w:pPr>
              <w:jc w:val="both"/>
              <w:rPr>
                <w:sz w:val="20"/>
                <w:lang w:val="en-GB"/>
              </w:rPr>
            </w:pPr>
            <w:r w:rsidRPr="00193E2B">
              <w:rPr>
                <w:b/>
                <w:sz w:val="20"/>
                <w:lang w:val="en-GB"/>
              </w:rPr>
              <w:t xml:space="preserve">Testing. </w:t>
            </w:r>
            <w:r w:rsidRPr="00193E2B">
              <w:rPr>
                <w:sz w:val="20"/>
                <w:lang w:val="en-GB"/>
              </w:rPr>
              <w:t xml:space="preserve">Index testing of sexual partners of key populations and PLHIV will reach 9,000 people per annum. Saliva based rapid testing under health facilities and NGOs outreach workers will reach up to 40,000 of key populations per annum. </w:t>
            </w:r>
          </w:p>
          <w:p w14:paraId="0B5B5ADE" w14:textId="017A3827" w:rsidR="00193E2B" w:rsidRPr="00193E2B" w:rsidRDefault="00193E2B" w:rsidP="002831B7">
            <w:pPr>
              <w:jc w:val="both"/>
              <w:rPr>
                <w:sz w:val="20"/>
                <w:lang w:val="en-GB"/>
              </w:rPr>
            </w:pPr>
            <w:r w:rsidRPr="00193E2B">
              <w:rPr>
                <w:sz w:val="20"/>
                <w:lang w:val="en-GB"/>
              </w:rPr>
              <w:t xml:space="preserve">In partnership with the USAID projects, the mechanisms for introduction and further scale-up of self-testing practices will </w:t>
            </w:r>
            <w:proofErr w:type="gramStart"/>
            <w:r w:rsidRPr="00193E2B">
              <w:rPr>
                <w:sz w:val="20"/>
                <w:lang w:val="en-GB"/>
              </w:rPr>
              <w:t>be supported</w:t>
            </w:r>
            <w:proofErr w:type="gramEnd"/>
            <w:r w:rsidRPr="00193E2B">
              <w:rPr>
                <w:sz w:val="20"/>
                <w:lang w:val="en-GB"/>
              </w:rPr>
              <w:t xml:space="preserve"> along with the development and approval of instructions to enable over the counter sales in pharmacies, information campaigns to mainstream self-testing, and online </w:t>
            </w:r>
            <w:r w:rsidR="002831B7" w:rsidRPr="00193E2B">
              <w:rPr>
                <w:sz w:val="20"/>
                <w:lang w:val="en-GB"/>
              </w:rPr>
              <w:t>counselling</w:t>
            </w:r>
            <w:r w:rsidRPr="00193E2B">
              <w:rPr>
                <w:sz w:val="20"/>
                <w:lang w:val="en-GB"/>
              </w:rPr>
              <w:t xml:space="preserve"> for SW, MSM, and novel drug users not covered by traditional outreach approaches.</w:t>
            </w:r>
          </w:p>
          <w:p w14:paraId="4AB9AFBE" w14:textId="77777777" w:rsidR="00193E2B" w:rsidRPr="00193E2B" w:rsidRDefault="00193E2B" w:rsidP="002831B7">
            <w:pPr>
              <w:jc w:val="both"/>
              <w:rPr>
                <w:sz w:val="20"/>
                <w:lang w:val="en-GB"/>
              </w:rPr>
            </w:pPr>
            <w:r w:rsidRPr="00193E2B">
              <w:rPr>
                <w:sz w:val="20"/>
                <w:lang w:val="en-GB"/>
              </w:rPr>
              <w:t>Scaling up prevention programs for KPs will continue.</w:t>
            </w:r>
          </w:p>
          <w:p w14:paraId="5097F599" w14:textId="77777777" w:rsidR="00193E2B" w:rsidRPr="00193E2B" w:rsidRDefault="00193E2B" w:rsidP="002831B7">
            <w:pPr>
              <w:jc w:val="both"/>
              <w:rPr>
                <w:sz w:val="20"/>
                <w:lang w:val="en-GB"/>
              </w:rPr>
            </w:pPr>
            <w:r w:rsidRPr="00193E2B">
              <w:rPr>
                <w:sz w:val="20"/>
                <w:lang w:val="en-GB"/>
              </w:rPr>
              <w:t>There are plans to support OST sites under health facilities, the penitentiary system and harm reduction programmes in prisons.</w:t>
            </w:r>
          </w:p>
          <w:p w14:paraId="70B5C5CC" w14:textId="77777777" w:rsidR="00193E2B" w:rsidRPr="00193E2B" w:rsidRDefault="00193E2B" w:rsidP="002831B7">
            <w:pPr>
              <w:jc w:val="both"/>
              <w:rPr>
                <w:sz w:val="20"/>
                <w:lang w:val="en-GB"/>
              </w:rPr>
            </w:pPr>
            <w:r w:rsidRPr="00193E2B">
              <w:rPr>
                <w:sz w:val="20"/>
                <w:lang w:val="en-GB"/>
              </w:rPr>
              <w:t xml:space="preserve">Prevention programmes for PWID, SR, MSM, TG will </w:t>
            </w:r>
            <w:proofErr w:type="gramStart"/>
            <w:r w:rsidRPr="00193E2B">
              <w:rPr>
                <w:sz w:val="20"/>
                <w:lang w:val="en-GB"/>
              </w:rPr>
              <w:t>be implemented</w:t>
            </w:r>
            <w:proofErr w:type="gramEnd"/>
            <w:r w:rsidRPr="00193E2B">
              <w:rPr>
                <w:sz w:val="20"/>
                <w:lang w:val="en-GB"/>
              </w:rPr>
              <w:t xml:space="preserve"> through NGOs with further expanded coverage.</w:t>
            </w:r>
          </w:p>
          <w:p w14:paraId="08720D70" w14:textId="77777777" w:rsidR="00193E2B" w:rsidRPr="00193E2B" w:rsidRDefault="00193E2B" w:rsidP="002831B7">
            <w:pPr>
              <w:jc w:val="both"/>
              <w:rPr>
                <w:sz w:val="20"/>
                <w:lang w:val="en-GB"/>
              </w:rPr>
            </w:pPr>
            <w:r w:rsidRPr="00193E2B">
              <w:rPr>
                <w:b/>
                <w:sz w:val="20"/>
                <w:lang w:val="en-GB"/>
              </w:rPr>
              <w:t>PWID/Prisoners.</w:t>
            </w:r>
            <w:r w:rsidRPr="00193E2B">
              <w:rPr>
                <w:sz w:val="20"/>
                <w:lang w:val="en-GB"/>
              </w:rPr>
              <w:t xml:space="preserve"> 15 OST sites under health facilities, 9 OST sites and 3 NEPs in the penitentiary system will </w:t>
            </w:r>
            <w:proofErr w:type="gramStart"/>
            <w:r w:rsidRPr="00193E2B">
              <w:rPr>
                <w:sz w:val="20"/>
                <w:lang w:val="en-GB"/>
              </w:rPr>
              <w:t>be supported</w:t>
            </w:r>
            <w:proofErr w:type="gramEnd"/>
            <w:r w:rsidRPr="00193E2B">
              <w:rPr>
                <w:sz w:val="20"/>
                <w:lang w:val="en-GB"/>
              </w:rPr>
              <w:t xml:space="preserve">. There will be 5 Service Delivery Points (SDP) under NGOs providing integrated service packages and 3 points under merged NGOs providing services for all key populations and PLHIV. Bonus payment mechanisms will </w:t>
            </w:r>
            <w:proofErr w:type="gramStart"/>
            <w:r w:rsidRPr="00193E2B">
              <w:rPr>
                <w:sz w:val="20"/>
                <w:lang w:val="en-GB"/>
              </w:rPr>
              <w:t>be introduced</w:t>
            </w:r>
            <w:proofErr w:type="gramEnd"/>
            <w:r w:rsidRPr="00193E2B">
              <w:rPr>
                <w:sz w:val="20"/>
                <w:lang w:val="en-GB"/>
              </w:rPr>
              <w:t xml:space="preserve"> in the system of SDPs for detected cases, initiation of HIV treatment and achieving viral suppression. Naloxone and overdose prevention education will </w:t>
            </w:r>
            <w:proofErr w:type="gramStart"/>
            <w:r w:rsidRPr="00193E2B">
              <w:rPr>
                <w:sz w:val="20"/>
                <w:lang w:val="en-GB"/>
              </w:rPr>
              <w:t>be provided</w:t>
            </w:r>
            <w:proofErr w:type="gramEnd"/>
            <w:r w:rsidRPr="00193E2B">
              <w:rPr>
                <w:sz w:val="20"/>
                <w:lang w:val="en-GB"/>
              </w:rPr>
              <w:t xml:space="preserve"> in all SDPs. Interventions to change risk behaviours will </w:t>
            </w:r>
            <w:proofErr w:type="gramStart"/>
            <w:r w:rsidRPr="00193E2B">
              <w:rPr>
                <w:sz w:val="20"/>
                <w:lang w:val="en-GB"/>
              </w:rPr>
              <w:t>be carried</w:t>
            </w:r>
            <w:proofErr w:type="gramEnd"/>
            <w:r w:rsidRPr="00193E2B">
              <w:rPr>
                <w:sz w:val="20"/>
                <w:lang w:val="en-GB"/>
              </w:rPr>
              <w:t xml:space="preserve"> out both through traditional outreach activities and online counselling. Each SDP will have staff to search for and counsel new drug users in terms of safe behaviour, HIV testing, diagnosis and treatment of other diseases. All outreach workers will </w:t>
            </w:r>
            <w:proofErr w:type="gramStart"/>
            <w:r w:rsidRPr="00193E2B">
              <w:rPr>
                <w:sz w:val="20"/>
                <w:lang w:val="en-GB"/>
              </w:rPr>
              <w:t>be equipped</w:t>
            </w:r>
            <w:proofErr w:type="gramEnd"/>
            <w:r w:rsidRPr="00193E2B">
              <w:rPr>
                <w:sz w:val="20"/>
                <w:lang w:val="en-GB"/>
              </w:rPr>
              <w:t xml:space="preserve"> with tablets with online counselling applications, information on HIV, HCV, STIs, online reporting on delivered services and «React» e-system for documenting rights violations of key populations.</w:t>
            </w:r>
          </w:p>
          <w:p w14:paraId="1A7A2B93" w14:textId="77777777" w:rsidR="00193E2B" w:rsidRPr="00193E2B" w:rsidRDefault="00193E2B" w:rsidP="002831B7">
            <w:pPr>
              <w:jc w:val="both"/>
              <w:rPr>
                <w:sz w:val="20"/>
                <w:lang w:val="en-GB"/>
              </w:rPr>
            </w:pPr>
            <w:r w:rsidRPr="00193E2B">
              <w:rPr>
                <w:b/>
                <w:sz w:val="20"/>
                <w:lang w:val="en-GB"/>
              </w:rPr>
              <w:t>MSM/TG.</w:t>
            </w:r>
            <w:r w:rsidRPr="00193E2B">
              <w:rPr>
                <w:sz w:val="20"/>
                <w:lang w:val="en-GB"/>
              </w:rPr>
              <w:t xml:space="preserve"> Three NGOs providing prevention services to MSM will continue their work and one pilot project for TG will </w:t>
            </w:r>
            <w:proofErr w:type="gramStart"/>
            <w:r w:rsidRPr="00193E2B">
              <w:rPr>
                <w:sz w:val="20"/>
                <w:lang w:val="en-GB"/>
              </w:rPr>
              <w:t>be launched</w:t>
            </w:r>
            <w:proofErr w:type="gramEnd"/>
            <w:r w:rsidRPr="00193E2B">
              <w:rPr>
                <w:sz w:val="20"/>
                <w:lang w:val="en-GB"/>
              </w:rPr>
              <w:t xml:space="preserve"> with, at least, 60% coverage by minimum service package consisting of condoms, lubricants, STI diagnosis and treatment, education under Sexual Reproductive Health Programme targeting, nearly 300 MSM/TG by PEP annually. The shelter for MSM/GBT will </w:t>
            </w:r>
            <w:proofErr w:type="gramStart"/>
            <w:r w:rsidRPr="00193E2B">
              <w:rPr>
                <w:sz w:val="20"/>
                <w:lang w:val="en-GB"/>
              </w:rPr>
              <w:t>be supported</w:t>
            </w:r>
            <w:proofErr w:type="gramEnd"/>
            <w:r w:rsidRPr="00193E2B">
              <w:rPr>
                <w:sz w:val="20"/>
                <w:lang w:val="en-GB"/>
              </w:rPr>
              <w:t xml:space="preserve">. Interventions to change risk behaviours will </w:t>
            </w:r>
            <w:proofErr w:type="gramStart"/>
            <w:r w:rsidRPr="00193E2B">
              <w:rPr>
                <w:sz w:val="20"/>
                <w:lang w:val="en-GB"/>
              </w:rPr>
              <w:t>be implemented</w:t>
            </w:r>
            <w:proofErr w:type="gramEnd"/>
            <w:r w:rsidRPr="00193E2B">
              <w:rPr>
                <w:sz w:val="20"/>
                <w:lang w:val="en-GB"/>
              </w:rPr>
              <w:t xml:space="preserve"> through both traditional outreach and online involvement of MSM/GBT in prevention activities. Online outreach will </w:t>
            </w:r>
            <w:proofErr w:type="gramStart"/>
            <w:r w:rsidRPr="00193E2B">
              <w:rPr>
                <w:sz w:val="20"/>
                <w:lang w:val="en-GB"/>
              </w:rPr>
              <w:t>be conducted</w:t>
            </w:r>
            <w:proofErr w:type="gramEnd"/>
            <w:r w:rsidRPr="00193E2B">
              <w:rPr>
                <w:sz w:val="20"/>
                <w:lang w:val="en-GB"/>
              </w:rPr>
              <w:t xml:space="preserve"> through tailored online counselling applications, distribution of video clips among groups and chat rooms for MSM/TG.</w:t>
            </w:r>
          </w:p>
          <w:p w14:paraId="5BE66E7B" w14:textId="77777777" w:rsidR="00193E2B" w:rsidRPr="00193E2B" w:rsidRDefault="00193E2B" w:rsidP="002831B7">
            <w:pPr>
              <w:jc w:val="both"/>
              <w:rPr>
                <w:b/>
                <w:sz w:val="20"/>
                <w:lang w:val="en-GB"/>
              </w:rPr>
            </w:pPr>
            <w:r w:rsidRPr="00193E2B">
              <w:rPr>
                <w:b/>
                <w:sz w:val="20"/>
                <w:lang w:val="en-GB"/>
              </w:rPr>
              <w:t>SW.</w:t>
            </w:r>
            <w:r w:rsidRPr="00193E2B">
              <w:rPr>
                <w:sz w:val="20"/>
                <w:lang w:val="en-GB"/>
              </w:rPr>
              <w:t xml:space="preserve"> 3 independent sites to deal with SW and two sites under NGO support will be in place to provide services to all key populations. Condoms, lubricants, STI diagnosis and treatment, education under sexual reproductive health programmes will </w:t>
            </w:r>
            <w:proofErr w:type="gramStart"/>
            <w:r w:rsidRPr="00193E2B">
              <w:rPr>
                <w:sz w:val="20"/>
                <w:lang w:val="en-GB"/>
              </w:rPr>
              <w:t>be provided</w:t>
            </w:r>
            <w:proofErr w:type="gramEnd"/>
            <w:r w:rsidRPr="00193E2B">
              <w:rPr>
                <w:sz w:val="20"/>
                <w:lang w:val="en-GB"/>
              </w:rPr>
              <w:t xml:space="preserve">. Prevention programmes will </w:t>
            </w:r>
            <w:proofErr w:type="gramStart"/>
            <w:r w:rsidRPr="00193E2B">
              <w:rPr>
                <w:sz w:val="20"/>
                <w:lang w:val="en-GB"/>
              </w:rPr>
              <w:t>be implemented</w:t>
            </w:r>
            <w:proofErr w:type="gramEnd"/>
            <w:r w:rsidRPr="00193E2B">
              <w:rPr>
                <w:sz w:val="20"/>
                <w:lang w:val="en-GB"/>
              </w:rPr>
              <w:t xml:space="preserve"> in two ways: through outreach work and online counselling as well as motivation for HIV testing.</w:t>
            </w:r>
          </w:p>
          <w:p w14:paraId="286059AB" w14:textId="778EFB77" w:rsidR="00193E2B" w:rsidRPr="00193E2B" w:rsidRDefault="00193E2B" w:rsidP="002831B7">
            <w:pPr>
              <w:spacing w:after="0"/>
              <w:jc w:val="both"/>
              <w:rPr>
                <w:rFonts w:ascii="Calibri" w:hAnsi="Calibri" w:cs="Times New Roman"/>
              </w:rPr>
            </w:pPr>
            <w:r w:rsidRPr="00193E2B">
              <w:rPr>
                <w:sz w:val="20"/>
                <w:lang w:val="en-GB"/>
              </w:rPr>
              <w:t xml:space="preserve">All outreach workers, peer consultants, social workers will </w:t>
            </w:r>
            <w:proofErr w:type="gramStart"/>
            <w:r w:rsidRPr="00193E2B">
              <w:rPr>
                <w:sz w:val="20"/>
                <w:lang w:val="en-GB"/>
              </w:rPr>
              <w:t>be equipped</w:t>
            </w:r>
            <w:proofErr w:type="gramEnd"/>
            <w:r w:rsidRPr="00193E2B">
              <w:rPr>
                <w:sz w:val="20"/>
                <w:lang w:val="en-GB"/>
              </w:rPr>
              <w:t xml:space="preserve"> with tablets for online reporting through e-case management system, data will be downloaded in the shared server to enable more reliable verification of the quality of delivered services. The bonus system will </w:t>
            </w:r>
            <w:proofErr w:type="gramStart"/>
            <w:r w:rsidRPr="00193E2B">
              <w:rPr>
                <w:sz w:val="20"/>
                <w:lang w:val="en-GB"/>
              </w:rPr>
              <w:t>be introduced</w:t>
            </w:r>
            <w:proofErr w:type="gramEnd"/>
            <w:r w:rsidRPr="00193E2B">
              <w:rPr>
                <w:sz w:val="20"/>
                <w:lang w:val="en-GB"/>
              </w:rPr>
              <w:t xml:space="preserve"> in the programme to pay for detected cases, initiation of treatment and achievement of viral suppression.</w:t>
            </w:r>
          </w:p>
        </w:tc>
      </w:tr>
      <w:tr w:rsidR="00193E2B" w:rsidRPr="00BF4BEE" w14:paraId="2A1A6487" w14:textId="77777777" w:rsidTr="00204941">
        <w:trPr>
          <w:trHeight w:val="431"/>
        </w:trPr>
        <w:tc>
          <w:tcPr>
            <w:tcW w:w="2268" w:type="dxa"/>
            <w:shd w:val="clear" w:color="auto" w:fill="F2F2F2"/>
            <w:vAlign w:val="center"/>
          </w:tcPr>
          <w:p w14:paraId="67B964DA" w14:textId="1EA8348B" w:rsidR="00193E2B" w:rsidRPr="00BF4BEE" w:rsidRDefault="00193E2B" w:rsidP="00193E2B">
            <w:pPr>
              <w:spacing w:after="0"/>
            </w:pPr>
            <w:r w:rsidRPr="00BF4BEE">
              <w:lastRenderedPageBreak/>
              <w:t>Expected Outcome</w:t>
            </w:r>
          </w:p>
        </w:tc>
        <w:tc>
          <w:tcPr>
            <w:tcW w:w="8082" w:type="dxa"/>
          </w:tcPr>
          <w:tbl>
            <w:tblPr>
              <w:tblW w:w="7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1418"/>
              <w:gridCol w:w="1843"/>
              <w:gridCol w:w="1772"/>
              <w:gridCol w:w="1630"/>
            </w:tblGrid>
            <w:tr w:rsidR="00193E2B" w:rsidRPr="00204941" w14:paraId="6741FA63" w14:textId="77777777" w:rsidTr="00204941">
              <w:trPr>
                <w:trHeight w:val="67"/>
              </w:trPr>
              <w:tc>
                <w:tcPr>
                  <w:tcW w:w="1018" w:type="dxa"/>
                  <w:shd w:val="clear" w:color="000000" w:fill="DDEBF7"/>
                  <w:noWrap/>
                  <w:tcMar>
                    <w:left w:w="57" w:type="dxa"/>
                    <w:right w:w="57" w:type="dxa"/>
                  </w:tcMar>
                  <w:vAlign w:val="bottom"/>
                  <w:hideMark/>
                </w:tcPr>
                <w:p w14:paraId="35E45FF4" w14:textId="77777777" w:rsidR="00193E2B" w:rsidRPr="00204941" w:rsidRDefault="00193E2B" w:rsidP="00193E2B">
                  <w:pPr>
                    <w:spacing w:after="0" w:line="240" w:lineRule="auto"/>
                    <w:rPr>
                      <w:rFonts w:eastAsia="Times New Roman" w:cs="Arial"/>
                      <w:color w:val="000000"/>
                      <w:sz w:val="18"/>
                      <w:szCs w:val="18"/>
                      <w:lang w:eastAsia="ru-RU"/>
                    </w:rPr>
                  </w:pPr>
                  <w:r w:rsidRPr="00204941">
                    <w:rPr>
                      <w:rFonts w:eastAsia="Times New Roman" w:cs="Arial"/>
                      <w:color w:val="000000"/>
                      <w:sz w:val="18"/>
                      <w:szCs w:val="18"/>
                      <w:lang w:eastAsia="ru-RU"/>
                    </w:rPr>
                    <w:t> </w:t>
                  </w:r>
                </w:p>
              </w:tc>
              <w:tc>
                <w:tcPr>
                  <w:tcW w:w="1418" w:type="dxa"/>
                  <w:shd w:val="clear" w:color="000000" w:fill="DDEBF7"/>
                  <w:noWrap/>
                  <w:tcMar>
                    <w:left w:w="57" w:type="dxa"/>
                    <w:right w:w="57" w:type="dxa"/>
                  </w:tcMar>
                  <w:vAlign w:val="bottom"/>
                  <w:hideMark/>
                </w:tcPr>
                <w:p w14:paraId="1541EEC2" w14:textId="77777777" w:rsidR="00193E2B" w:rsidRPr="00204941" w:rsidRDefault="00193E2B" w:rsidP="00193E2B">
                  <w:pPr>
                    <w:spacing w:after="0" w:line="240" w:lineRule="auto"/>
                    <w:jc w:val="center"/>
                    <w:rPr>
                      <w:rFonts w:eastAsia="Times New Roman" w:cs="Arial"/>
                      <w:b/>
                      <w:sz w:val="18"/>
                      <w:szCs w:val="18"/>
                      <w:lang w:eastAsia="ru-RU"/>
                    </w:rPr>
                  </w:pPr>
                  <w:r w:rsidRPr="00204941">
                    <w:rPr>
                      <w:rFonts w:eastAsia="Times New Roman" w:cs="Arial"/>
                      <w:b/>
                      <w:sz w:val="18"/>
                      <w:szCs w:val="18"/>
                      <w:lang w:eastAsia="ru-RU"/>
                    </w:rPr>
                    <w:t>Size estimate</w:t>
                  </w:r>
                </w:p>
              </w:tc>
              <w:tc>
                <w:tcPr>
                  <w:tcW w:w="1843" w:type="dxa"/>
                  <w:shd w:val="clear" w:color="000000" w:fill="DDEBF7"/>
                  <w:noWrap/>
                  <w:tcMar>
                    <w:left w:w="57" w:type="dxa"/>
                    <w:right w:w="57" w:type="dxa"/>
                  </w:tcMar>
                  <w:vAlign w:val="bottom"/>
                  <w:hideMark/>
                </w:tcPr>
                <w:p w14:paraId="1D713729" w14:textId="77777777" w:rsidR="00193E2B" w:rsidRPr="00204941" w:rsidRDefault="00193E2B" w:rsidP="00193E2B">
                  <w:pPr>
                    <w:spacing w:after="0" w:line="240" w:lineRule="auto"/>
                    <w:jc w:val="center"/>
                    <w:rPr>
                      <w:rFonts w:eastAsia="Times New Roman" w:cs="Arial"/>
                      <w:b/>
                      <w:bCs/>
                      <w:sz w:val="18"/>
                      <w:szCs w:val="18"/>
                      <w:lang w:eastAsia="ru-RU"/>
                    </w:rPr>
                  </w:pPr>
                  <w:r w:rsidRPr="00204941">
                    <w:rPr>
                      <w:rFonts w:eastAsia="Times New Roman" w:cs="Arial"/>
                      <w:b/>
                      <w:bCs/>
                      <w:sz w:val="18"/>
                      <w:szCs w:val="18"/>
                      <w:lang w:eastAsia="ru-RU"/>
                    </w:rPr>
                    <w:t>Coverage in 2021</w:t>
                  </w:r>
                </w:p>
              </w:tc>
              <w:tc>
                <w:tcPr>
                  <w:tcW w:w="1772" w:type="dxa"/>
                  <w:shd w:val="clear" w:color="000000" w:fill="DDEBF7"/>
                  <w:noWrap/>
                  <w:tcMar>
                    <w:left w:w="57" w:type="dxa"/>
                    <w:right w:w="57" w:type="dxa"/>
                  </w:tcMar>
                  <w:vAlign w:val="bottom"/>
                  <w:hideMark/>
                </w:tcPr>
                <w:p w14:paraId="1B5DD998" w14:textId="77777777" w:rsidR="00193E2B" w:rsidRPr="00204941" w:rsidRDefault="00193E2B" w:rsidP="00193E2B">
                  <w:pPr>
                    <w:spacing w:after="0" w:line="240" w:lineRule="auto"/>
                    <w:jc w:val="center"/>
                    <w:rPr>
                      <w:rFonts w:eastAsia="Times New Roman" w:cs="Arial"/>
                      <w:b/>
                      <w:bCs/>
                      <w:sz w:val="18"/>
                      <w:szCs w:val="18"/>
                      <w:lang w:eastAsia="ru-RU"/>
                    </w:rPr>
                  </w:pPr>
                  <w:r w:rsidRPr="00204941">
                    <w:rPr>
                      <w:rFonts w:eastAsia="Times New Roman" w:cs="Arial"/>
                      <w:b/>
                      <w:bCs/>
                      <w:sz w:val="18"/>
                      <w:szCs w:val="18"/>
                      <w:lang w:eastAsia="ru-RU"/>
                    </w:rPr>
                    <w:t>Coverage in 2022</w:t>
                  </w:r>
                </w:p>
              </w:tc>
              <w:tc>
                <w:tcPr>
                  <w:tcW w:w="1630" w:type="dxa"/>
                  <w:shd w:val="clear" w:color="000000" w:fill="DDEBF7"/>
                  <w:noWrap/>
                  <w:tcMar>
                    <w:left w:w="57" w:type="dxa"/>
                    <w:right w:w="57" w:type="dxa"/>
                  </w:tcMar>
                  <w:vAlign w:val="bottom"/>
                  <w:hideMark/>
                </w:tcPr>
                <w:p w14:paraId="7A714A72" w14:textId="77777777" w:rsidR="00193E2B" w:rsidRPr="00204941" w:rsidRDefault="00193E2B" w:rsidP="00193E2B">
                  <w:pPr>
                    <w:spacing w:after="0" w:line="240" w:lineRule="auto"/>
                    <w:jc w:val="center"/>
                    <w:rPr>
                      <w:rFonts w:eastAsia="Times New Roman" w:cs="Arial"/>
                      <w:b/>
                      <w:bCs/>
                      <w:sz w:val="18"/>
                      <w:szCs w:val="18"/>
                      <w:lang w:eastAsia="ru-RU"/>
                    </w:rPr>
                  </w:pPr>
                  <w:r w:rsidRPr="00204941">
                    <w:rPr>
                      <w:rFonts w:eastAsia="Times New Roman" w:cs="Arial"/>
                      <w:b/>
                      <w:bCs/>
                      <w:sz w:val="18"/>
                      <w:szCs w:val="18"/>
                      <w:lang w:eastAsia="ru-RU"/>
                    </w:rPr>
                    <w:t>Coverage in 2023</w:t>
                  </w:r>
                </w:p>
              </w:tc>
            </w:tr>
            <w:tr w:rsidR="00193E2B" w:rsidRPr="00204941" w14:paraId="318A5C77" w14:textId="77777777" w:rsidTr="00204941">
              <w:trPr>
                <w:trHeight w:val="281"/>
              </w:trPr>
              <w:tc>
                <w:tcPr>
                  <w:tcW w:w="1018" w:type="dxa"/>
                  <w:shd w:val="clear" w:color="auto" w:fill="auto"/>
                  <w:noWrap/>
                  <w:tcMar>
                    <w:left w:w="57" w:type="dxa"/>
                    <w:right w:w="57" w:type="dxa"/>
                  </w:tcMar>
                  <w:vAlign w:val="bottom"/>
                </w:tcPr>
                <w:p w14:paraId="692F9548" w14:textId="77777777" w:rsidR="00193E2B" w:rsidRPr="00204941" w:rsidRDefault="00193E2B" w:rsidP="00193E2B">
                  <w:pPr>
                    <w:spacing w:after="0" w:line="240" w:lineRule="auto"/>
                    <w:rPr>
                      <w:rFonts w:eastAsia="Times New Roman" w:cs="Arial"/>
                      <w:color w:val="000000"/>
                      <w:sz w:val="18"/>
                      <w:szCs w:val="18"/>
                      <w:lang w:eastAsia="ru-RU"/>
                    </w:rPr>
                  </w:pPr>
                  <w:r w:rsidRPr="00204941">
                    <w:rPr>
                      <w:rFonts w:eastAsia="Times New Roman" w:cs="Arial"/>
                      <w:color w:val="000000"/>
                      <w:sz w:val="18"/>
                      <w:szCs w:val="18"/>
                      <w:lang w:eastAsia="ru-RU"/>
                    </w:rPr>
                    <w:t>PLHIV</w:t>
                  </w:r>
                </w:p>
              </w:tc>
              <w:tc>
                <w:tcPr>
                  <w:tcW w:w="1418" w:type="dxa"/>
                  <w:shd w:val="clear" w:color="auto" w:fill="auto"/>
                  <w:noWrap/>
                  <w:tcMar>
                    <w:left w:w="57" w:type="dxa"/>
                    <w:right w:w="57" w:type="dxa"/>
                  </w:tcMar>
                  <w:vAlign w:val="bottom"/>
                </w:tcPr>
                <w:p w14:paraId="617EEBE2" w14:textId="48C8F181" w:rsidR="00193E2B" w:rsidRPr="00204941" w:rsidRDefault="00193E2B" w:rsidP="00193E2B">
                  <w:pPr>
                    <w:spacing w:after="0" w:line="240" w:lineRule="auto"/>
                    <w:jc w:val="center"/>
                    <w:rPr>
                      <w:rFonts w:eastAsia="Times New Roman" w:cs="Arial"/>
                      <w:sz w:val="18"/>
                      <w:szCs w:val="18"/>
                      <w:lang w:eastAsia="ru-RU"/>
                    </w:rPr>
                  </w:pPr>
                  <w:r w:rsidRPr="00204941">
                    <w:rPr>
                      <w:rFonts w:eastAsia="Times New Roman" w:cs="Arial"/>
                      <w:sz w:val="18"/>
                      <w:szCs w:val="18"/>
                      <w:lang w:eastAsia="ru-RU"/>
                    </w:rPr>
                    <w:t>8</w:t>
                  </w:r>
                  <w:r w:rsidR="002831B7" w:rsidRPr="00204941">
                    <w:rPr>
                      <w:rFonts w:eastAsia="Times New Roman" w:cs="Arial"/>
                      <w:sz w:val="18"/>
                      <w:szCs w:val="18"/>
                      <w:lang w:eastAsia="ru-RU"/>
                    </w:rPr>
                    <w:t>,</w:t>
                  </w:r>
                  <w:r w:rsidRPr="00204941">
                    <w:rPr>
                      <w:rFonts w:eastAsia="Times New Roman" w:cs="Arial"/>
                      <w:sz w:val="18"/>
                      <w:szCs w:val="18"/>
                      <w:lang w:eastAsia="ru-RU"/>
                    </w:rPr>
                    <w:t>500</w:t>
                  </w:r>
                </w:p>
              </w:tc>
              <w:tc>
                <w:tcPr>
                  <w:tcW w:w="1843" w:type="dxa"/>
                  <w:shd w:val="clear" w:color="auto" w:fill="auto"/>
                  <w:noWrap/>
                  <w:tcMar>
                    <w:left w:w="57" w:type="dxa"/>
                    <w:right w:w="57" w:type="dxa"/>
                  </w:tcMar>
                  <w:vAlign w:val="bottom"/>
                </w:tcPr>
                <w:p w14:paraId="5D2C1930" w14:textId="2942C743" w:rsidR="00193E2B" w:rsidRPr="00204941" w:rsidRDefault="00193E2B" w:rsidP="00193E2B">
                  <w:pPr>
                    <w:spacing w:after="0" w:line="240" w:lineRule="auto"/>
                    <w:jc w:val="center"/>
                    <w:rPr>
                      <w:rFonts w:eastAsia="Times New Roman" w:cs="Arial"/>
                      <w:sz w:val="18"/>
                      <w:szCs w:val="18"/>
                      <w:lang w:eastAsia="ru-RU"/>
                    </w:rPr>
                  </w:pPr>
                  <w:r w:rsidRPr="00204941">
                    <w:rPr>
                      <w:rFonts w:eastAsia="Times New Roman" w:cs="Arial"/>
                      <w:sz w:val="18"/>
                      <w:szCs w:val="18"/>
                      <w:lang w:eastAsia="ru-RU"/>
                    </w:rPr>
                    <w:t>5</w:t>
                  </w:r>
                  <w:r w:rsidR="002831B7" w:rsidRPr="00204941">
                    <w:rPr>
                      <w:rFonts w:eastAsia="Times New Roman" w:cs="Arial"/>
                      <w:sz w:val="18"/>
                      <w:szCs w:val="18"/>
                      <w:lang w:eastAsia="ru-RU"/>
                    </w:rPr>
                    <w:t>,</w:t>
                  </w:r>
                  <w:r w:rsidRPr="00204941">
                    <w:rPr>
                      <w:rFonts w:eastAsia="Times New Roman" w:cs="Arial"/>
                      <w:sz w:val="18"/>
                      <w:szCs w:val="18"/>
                      <w:lang w:eastAsia="ru-RU"/>
                    </w:rPr>
                    <w:t>500</w:t>
                  </w:r>
                </w:p>
              </w:tc>
              <w:tc>
                <w:tcPr>
                  <w:tcW w:w="1772" w:type="dxa"/>
                  <w:shd w:val="clear" w:color="auto" w:fill="auto"/>
                  <w:noWrap/>
                  <w:tcMar>
                    <w:left w:w="57" w:type="dxa"/>
                    <w:right w:w="57" w:type="dxa"/>
                  </w:tcMar>
                  <w:vAlign w:val="bottom"/>
                </w:tcPr>
                <w:p w14:paraId="7FCF2957" w14:textId="5E48F2DA" w:rsidR="00193E2B" w:rsidRPr="00204941" w:rsidRDefault="00193E2B" w:rsidP="00193E2B">
                  <w:pPr>
                    <w:spacing w:after="0" w:line="240" w:lineRule="auto"/>
                    <w:jc w:val="center"/>
                    <w:rPr>
                      <w:rFonts w:eastAsia="Times New Roman" w:cs="Arial"/>
                      <w:sz w:val="18"/>
                      <w:szCs w:val="18"/>
                      <w:lang w:eastAsia="ru-RU"/>
                    </w:rPr>
                  </w:pPr>
                  <w:r w:rsidRPr="00204941">
                    <w:rPr>
                      <w:rFonts w:eastAsia="Times New Roman" w:cs="Arial"/>
                      <w:sz w:val="18"/>
                      <w:szCs w:val="18"/>
                      <w:lang w:eastAsia="ru-RU"/>
                    </w:rPr>
                    <w:t>6</w:t>
                  </w:r>
                  <w:r w:rsidR="002831B7" w:rsidRPr="00204941">
                    <w:rPr>
                      <w:rFonts w:eastAsia="Times New Roman" w:cs="Arial"/>
                      <w:sz w:val="18"/>
                      <w:szCs w:val="18"/>
                      <w:lang w:eastAsia="ru-RU"/>
                    </w:rPr>
                    <w:t>,</w:t>
                  </w:r>
                  <w:r w:rsidRPr="00204941">
                    <w:rPr>
                      <w:rFonts w:eastAsia="Times New Roman" w:cs="Arial"/>
                      <w:sz w:val="18"/>
                      <w:szCs w:val="18"/>
                      <w:lang w:eastAsia="ru-RU"/>
                    </w:rPr>
                    <w:t>300</w:t>
                  </w:r>
                </w:p>
              </w:tc>
              <w:tc>
                <w:tcPr>
                  <w:tcW w:w="1630" w:type="dxa"/>
                  <w:shd w:val="clear" w:color="auto" w:fill="auto"/>
                  <w:noWrap/>
                  <w:tcMar>
                    <w:left w:w="57" w:type="dxa"/>
                    <w:right w:w="57" w:type="dxa"/>
                  </w:tcMar>
                  <w:vAlign w:val="bottom"/>
                </w:tcPr>
                <w:p w14:paraId="4971E5D1" w14:textId="2276C58E" w:rsidR="00193E2B" w:rsidRPr="00204941" w:rsidRDefault="00193E2B" w:rsidP="00193E2B">
                  <w:pPr>
                    <w:spacing w:after="0" w:line="240" w:lineRule="auto"/>
                    <w:jc w:val="center"/>
                    <w:rPr>
                      <w:rFonts w:eastAsia="Times New Roman" w:cs="Arial"/>
                      <w:sz w:val="18"/>
                      <w:szCs w:val="18"/>
                      <w:lang w:eastAsia="ru-RU"/>
                    </w:rPr>
                  </w:pPr>
                  <w:r w:rsidRPr="00204941">
                    <w:rPr>
                      <w:rFonts w:eastAsia="Times New Roman" w:cs="Arial"/>
                      <w:sz w:val="18"/>
                      <w:szCs w:val="18"/>
                      <w:lang w:eastAsia="ru-RU"/>
                    </w:rPr>
                    <w:t>7</w:t>
                  </w:r>
                  <w:r w:rsidR="002831B7" w:rsidRPr="00204941">
                    <w:rPr>
                      <w:rFonts w:eastAsia="Times New Roman" w:cs="Arial"/>
                      <w:sz w:val="18"/>
                      <w:szCs w:val="18"/>
                      <w:lang w:eastAsia="ru-RU"/>
                    </w:rPr>
                    <w:t>,</w:t>
                  </w:r>
                  <w:r w:rsidRPr="00204941">
                    <w:rPr>
                      <w:rFonts w:eastAsia="Times New Roman" w:cs="Arial"/>
                      <w:sz w:val="18"/>
                      <w:szCs w:val="18"/>
                      <w:lang w:eastAsia="ru-RU"/>
                    </w:rPr>
                    <w:t>217</w:t>
                  </w:r>
                </w:p>
              </w:tc>
            </w:tr>
            <w:tr w:rsidR="00193E2B" w:rsidRPr="00204941" w14:paraId="633936B6" w14:textId="77777777" w:rsidTr="00204941">
              <w:trPr>
                <w:trHeight w:val="281"/>
              </w:trPr>
              <w:tc>
                <w:tcPr>
                  <w:tcW w:w="1018" w:type="dxa"/>
                  <w:shd w:val="clear" w:color="auto" w:fill="auto"/>
                  <w:noWrap/>
                  <w:tcMar>
                    <w:left w:w="57" w:type="dxa"/>
                    <w:right w:w="57" w:type="dxa"/>
                  </w:tcMar>
                  <w:vAlign w:val="bottom"/>
                  <w:hideMark/>
                </w:tcPr>
                <w:p w14:paraId="240A1D65" w14:textId="77777777" w:rsidR="00193E2B" w:rsidRPr="00204941" w:rsidRDefault="00193E2B" w:rsidP="00193E2B">
                  <w:pPr>
                    <w:spacing w:after="0" w:line="240" w:lineRule="auto"/>
                    <w:rPr>
                      <w:rFonts w:eastAsia="Times New Roman" w:cs="Arial"/>
                      <w:color w:val="000000"/>
                      <w:sz w:val="18"/>
                      <w:szCs w:val="18"/>
                      <w:lang w:eastAsia="ru-RU"/>
                    </w:rPr>
                  </w:pPr>
                  <w:r w:rsidRPr="00204941">
                    <w:rPr>
                      <w:rFonts w:eastAsia="Times New Roman" w:cs="Arial"/>
                      <w:color w:val="000000"/>
                      <w:sz w:val="18"/>
                      <w:szCs w:val="18"/>
                      <w:lang w:eastAsia="ru-RU"/>
                    </w:rPr>
                    <w:t>5700</w:t>
                  </w:r>
                </w:p>
              </w:tc>
              <w:tc>
                <w:tcPr>
                  <w:tcW w:w="1418" w:type="dxa"/>
                  <w:shd w:val="clear" w:color="auto" w:fill="auto"/>
                  <w:noWrap/>
                  <w:tcMar>
                    <w:left w:w="57" w:type="dxa"/>
                    <w:right w:w="57" w:type="dxa"/>
                  </w:tcMar>
                  <w:vAlign w:val="bottom"/>
                  <w:hideMark/>
                </w:tcPr>
                <w:p w14:paraId="33166F34" w14:textId="5FE5CAB0" w:rsidR="00193E2B" w:rsidRPr="00204941" w:rsidRDefault="00193E2B" w:rsidP="00193E2B">
                  <w:pPr>
                    <w:spacing w:after="0" w:line="240" w:lineRule="auto"/>
                    <w:jc w:val="center"/>
                    <w:rPr>
                      <w:rFonts w:eastAsia="Times New Roman" w:cs="Arial"/>
                      <w:sz w:val="18"/>
                      <w:szCs w:val="18"/>
                      <w:lang w:eastAsia="ru-RU"/>
                    </w:rPr>
                  </w:pPr>
                  <w:r w:rsidRPr="00204941">
                    <w:rPr>
                      <w:rFonts w:eastAsia="Times New Roman" w:cs="Arial"/>
                      <w:sz w:val="18"/>
                      <w:szCs w:val="18"/>
                      <w:lang w:eastAsia="ru-RU"/>
                    </w:rPr>
                    <w:t>6</w:t>
                  </w:r>
                  <w:r w:rsidR="002831B7" w:rsidRPr="00204941">
                    <w:rPr>
                      <w:rFonts w:eastAsia="Times New Roman" w:cs="Arial"/>
                      <w:sz w:val="18"/>
                      <w:szCs w:val="18"/>
                      <w:lang w:eastAsia="ru-RU"/>
                    </w:rPr>
                    <w:t>,</w:t>
                  </w:r>
                  <w:r w:rsidRPr="00204941">
                    <w:rPr>
                      <w:rFonts w:eastAsia="Times New Roman" w:cs="Arial"/>
                      <w:sz w:val="18"/>
                      <w:szCs w:val="18"/>
                      <w:lang w:eastAsia="ru-RU"/>
                    </w:rPr>
                    <w:t>500</w:t>
                  </w:r>
                </w:p>
              </w:tc>
              <w:tc>
                <w:tcPr>
                  <w:tcW w:w="1843" w:type="dxa"/>
                  <w:shd w:val="clear" w:color="auto" w:fill="auto"/>
                  <w:noWrap/>
                  <w:tcMar>
                    <w:left w:w="57" w:type="dxa"/>
                    <w:right w:w="57" w:type="dxa"/>
                  </w:tcMar>
                  <w:vAlign w:val="bottom"/>
                  <w:hideMark/>
                </w:tcPr>
                <w:p w14:paraId="7EB4EA9D" w14:textId="01E3224C" w:rsidR="00193E2B" w:rsidRPr="00204941" w:rsidRDefault="00193E2B" w:rsidP="00193E2B">
                  <w:pPr>
                    <w:spacing w:after="0" w:line="240" w:lineRule="auto"/>
                    <w:jc w:val="center"/>
                    <w:rPr>
                      <w:rFonts w:eastAsia="Times New Roman" w:cs="Arial"/>
                      <w:sz w:val="18"/>
                      <w:szCs w:val="18"/>
                      <w:lang w:eastAsia="ru-RU"/>
                    </w:rPr>
                  </w:pPr>
                  <w:r w:rsidRPr="00204941">
                    <w:rPr>
                      <w:rFonts w:eastAsia="Times New Roman" w:cs="Arial"/>
                      <w:sz w:val="18"/>
                      <w:szCs w:val="18"/>
                      <w:lang w:eastAsia="ru-RU"/>
                    </w:rPr>
                    <w:t>7</w:t>
                  </w:r>
                  <w:r w:rsidR="002831B7" w:rsidRPr="00204941">
                    <w:rPr>
                      <w:rFonts w:eastAsia="Times New Roman" w:cs="Arial"/>
                      <w:sz w:val="18"/>
                      <w:szCs w:val="18"/>
                      <w:lang w:eastAsia="ru-RU"/>
                    </w:rPr>
                    <w:t>,</w:t>
                  </w:r>
                  <w:r w:rsidRPr="00204941">
                    <w:rPr>
                      <w:rFonts w:eastAsia="Times New Roman" w:cs="Arial"/>
                      <w:sz w:val="18"/>
                      <w:szCs w:val="18"/>
                      <w:lang w:eastAsia="ru-RU"/>
                    </w:rPr>
                    <w:t>217</w:t>
                  </w:r>
                </w:p>
              </w:tc>
              <w:tc>
                <w:tcPr>
                  <w:tcW w:w="1772" w:type="dxa"/>
                  <w:shd w:val="clear" w:color="auto" w:fill="auto"/>
                  <w:noWrap/>
                  <w:tcMar>
                    <w:left w:w="57" w:type="dxa"/>
                    <w:right w:w="57" w:type="dxa"/>
                  </w:tcMar>
                  <w:vAlign w:val="bottom"/>
                  <w:hideMark/>
                </w:tcPr>
                <w:p w14:paraId="7D99893C" w14:textId="2C7C1B7C" w:rsidR="00193E2B" w:rsidRPr="00204941" w:rsidRDefault="00193E2B" w:rsidP="00193E2B">
                  <w:pPr>
                    <w:spacing w:after="0" w:line="240" w:lineRule="auto"/>
                    <w:jc w:val="center"/>
                    <w:rPr>
                      <w:rFonts w:eastAsia="Times New Roman" w:cs="Arial"/>
                      <w:sz w:val="18"/>
                      <w:szCs w:val="18"/>
                      <w:lang w:eastAsia="ru-RU"/>
                    </w:rPr>
                  </w:pPr>
                  <w:r w:rsidRPr="00204941">
                    <w:rPr>
                      <w:rFonts w:eastAsia="Times New Roman" w:cs="Arial"/>
                      <w:sz w:val="18"/>
                      <w:szCs w:val="18"/>
                      <w:lang w:eastAsia="ru-RU"/>
                    </w:rPr>
                    <w:t>18</w:t>
                  </w:r>
                  <w:r w:rsidR="002831B7" w:rsidRPr="00204941">
                    <w:rPr>
                      <w:rFonts w:eastAsia="Times New Roman" w:cs="Arial"/>
                      <w:sz w:val="18"/>
                      <w:szCs w:val="18"/>
                      <w:lang w:eastAsia="ru-RU"/>
                    </w:rPr>
                    <w:t>,</w:t>
                  </w:r>
                  <w:r w:rsidRPr="00204941">
                    <w:rPr>
                      <w:rFonts w:eastAsia="Times New Roman" w:cs="Arial"/>
                      <w:sz w:val="18"/>
                      <w:szCs w:val="18"/>
                      <w:lang w:eastAsia="ru-RU"/>
                    </w:rPr>
                    <w:t>000</w:t>
                  </w:r>
                </w:p>
              </w:tc>
              <w:tc>
                <w:tcPr>
                  <w:tcW w:w="1630" w:type="dxa"/>
                  <w:shd w:val="clear" w:color="auto" w:fill="auto"/>
                  <w:noWrap/>
                  <w:tcMar>
                    <w:left w:w="57" w:type="dxa"/>
                    <w:right w:w="57" w:type="dxa"/>
                  </w:tcMar>
                  <w:vAlign w:val="bottom"/>
                  <w:hideMark/>
                </w:tcPr>
                <w:p w14:paraId="0632BAE9" w14:textId="4185A922" w:rsidR="00193E2B" w:rsidRPr="00204941" w:rsidRDefault="00193E2B" w:rsidP="00193E2B">
                  <w:pPr>
                    <w:spacing w:after="0" w:line="240" w:lineRule="auto"/>
                    <w:jc w:val="center"/>
                    <w:rPr>
                      <w:rFonts w:eastAsia="Times New Roman" w:cs="Arial"/>
                      <w:sz w:val="18"/>
                      <w:szCs w:val="18"/>
                      <w:lang w:eastAsia="ru-RU"/>
                    </w:rPr>
                  </w:pPr>
                  <w:r w:rsidRPr="00204941">
                    <w:rPr>
                      <w:rFonts w:eastAsia="Times New Roman" w:cs="Arial"/>
                      <w:sz w:val="18"/>
                      <w:szCs w:val="18"/>
                      <w:lang w:eastAsia="ru-RU"/>
                    </w:rPr>
                    <w:t>20</w:t>
                  </w:r>
                  <w:r w:rsidR="002831B7" w:rsidRPr="00204941">
                    <w:rPr>
                      <w:rFonts w:eastAsia="Times New Roman" w:cs="Arial"/>
                      <w:sz w:val="18"/>
                      <w:szCs w:val="18"/>
                      <w:lang w:eastAsia="ru-RU"/>
                    </w:rPr>
                    <w:t>,</w:t>
                  </w:r>
                  <w:r w:rsidRPr="00204941">
                    <w:rPr>
                      <w:rFonts w:eastAsia="Times New Roman" w:cs="Arial"/>
                      <w:sz w:val="18"/>
                      <w:szCs w:val="18"/>
                      <w:lang w:eastAsia="ru-RU"/>
                    </w:rPr>
                    <w:t>000</w:t>
                  </w:r>
                </w:p>
              </w:tc>
            </w:tr>
            <w:tr w:rsidR="00193E2B" w:rsidRPr="00204941" w14:paraId="56BEF8DD" w14:textId="77777777" w:rsidTr="00204941">
              <w:trPr>
                <w:trHeight w:val="281"/>
              </w:trPr>
              <w:tc>
                <w:tcPr>
                  <w:tcW w:w="1018" w:type="dxa"/>
                  <w:shd w:val="clear" w:color="auto" w:fill="auto"/>
                  <w:noWrap/>
                  <w:tcMar>
                    <w:left w:w="57" w:type="dxa"/>
                    <w:right w:w="57" w:type="dxa"/>
                  </w:tcMar>
                  <w:vAlign w:val="bottom"/>
                  <w:hideMark/>
                </w:tcPr>
                <w:p w14:paraId="24F4DB8E" w14:textId="77777777" w:rsidR="00193E2B" w:rsidRPr="00204941" w:rsidRDefault="00193E2B" w:rsidP="00193E2B">
                  <w:pPr>
                    <w:spacing w:after="0" w:line="240" w:lineRule="auto"/>
                    <w:rPr>
                      <w:rFonts w:eastAsia="Times New Roman" w:cs="Arial"/>
                      <w:color w:val="000000"/>
                      <w:sz w:val="18"/>
                      <w:szCs w:val="18"/>
                      <w:lang w:eastAsia="ru-RU"/>
                    </w:rPr>
                  </w:pPr>
                  <w:r w:rsidRPr="00204941">
                    <w:rPr>
                      <w:rFonts w:eastAsia="Times New Roman" w:cs="Arial"/>
                      <w:color w:val="000000"/>
                      <w:sz w:val="18"/>
                      <w:szCs w:val="18"/>
                      <w:lang w:eastAsia="ru-RU"/>
                    </w:rPr>
                    <w:t>SW</w:t>
                  </w:r>
                </w:p>
              </w:tc>
              <w:tc>
                <w:tcPr>
                  <w:tcW w:w="1418" w:type="dxa"/>
                  <w:shd w:val="clear" w:color="auto" w:fill="auto"/>
                  <w:noWrap/>
                  <w:tcMar>
                    <w:left w:w="57" w:type="dxa"/>
                    <w:right w:w="57" w:type="dxa"/>
                  </w:tcMar>
                  <w:vAlign w:val="bottom"/>
                  <w:hideMark/>
                </w:tcPr>
                <w:p w14:paraId="60979E97" w14:textId="0D9DABAA" w:rsidR="00193E2B" w:rsidRPr="00204941" w:rsidRDefault="00193E2B" w:rsidP="00193E2B">
                  <w:pPr>
                    <w:spacing w:after="0" w:line="240" w:lineRule="auto"/>
                    <w:jc w:val="center"/>
                    <w:rPr>
                      <w:rFonts w:eastAsia="Times New Roman" w:cs="Arial"/>
                      <w:sz w:val="18"/>
                      <w:szCs w:val="18"/>
                      <w:lang w:eastAsia="ru-RU"/>
                    </w:rPr>
                  </w:pPr>
                  <w:r w:rsidRPr="00204941">
                    <w:rPr>
                      <w:rFonts w:eastAsia="Times New Roman" w:cs="Arial"/>
                      <w:sz w:val="18"/>
                      <w:szCs w:val="18"/>
                      <w:lang w:eastAsia="ru-RU"/>
                    </w:rPr>
                    <w:t>7</w:t>
                  </w:r>
                  <w:r w:rsidR="002831B7" w:rsidRPr="00204941">
                    <w:rPr>
                      <w:rFonts w:eastAsia="Times New Roman" w:cs="Arial"/>
                      <w:sz w:val="18"/>
                      <w:szCs w:val="18"/>
                      <w:lang w:eastAsia="ru-RU"/>
                    </w:rPr>
                    <w:t>,</w:t>
                  </w:r>
                  <w:r w:rsidRPr="00204941">
                    <w:rPr>
                      <w:rFonts w:eastAsia="Times New Roman" w:cs="Arial"/>
                      <w:sz w:val="18"/>
                      <w:szCs w:val="18"/>
                      <w:lang w:eastAsia="ru-RU"/>
                    </w:rPr>
                    <w:t>100</w:t>
                  </w:r>
                </w:p>
              </w:tc>
              <w:tc>
                <w:tcPr>
                  <w:tcW w:w="1843" w:type="dxa"/>
                  <w:shd w:val="clear" w:color="auto" w:fill="auto"/>
                  <w:noWrap/>
                  <w:tcMar>
                    <w:left w:w="57" w:type="dxa"/>
                    <w:right w:w="57" w:type="dxa"/>
                  </w:tcMar>
                  <w:vAlign w:val="bottom"/>
                  <w:hideMark/>
                </w:tcPr>
                <w:p w14:paraId="33ABF60D" w14:textId="01A75FA2" w:rsidR="00193E2B" w:rsidRPr="00204941" w:rsidRDefault="00193E2B" w:rsidP="00193E2B">
                  <w:pPr>
                    <w:spacing w:after="0" w:line="240" w:lineRule="auto"/>
                    <w:jc w:val="center"/>
                    <w:rPr>
                      <w:rFonts w:eastAsia="Times New Roman" w:cs="Arial"/>
                      <w:sz w:val="18"/>
                      <w:szCs w:val="18"/>
                      <w:lang w:eastAsia="ru-RU"/>
                    </w:rPr>
                  </w:pPr>
                  <w:r w:rsidRPr="00204941">
                    <w:rPr>
                      <w:rFonts w:eastAsia="Times New Roman" w:cs="Arial"/>
                      <w:sz w:val="18"/>
                      <w:szCs w:val="18"/>
                      <w:lang w:eastAsia="ru-RU"/>
                    </w:rPr>
                    <w:t>5</w:t>
                  </w:r>
                  <w:r w:rsidR="002831B7" w:rsidRPr="00204941">
                    <w:rPr>
                      <w:rFonts w:eastAsia="Times New Roman" w:cs="Arial"/>
                      <w:sz w:val="18"/>
                      <w:szCs w:val="18"/>
                      <w:lang w:eastAsia="ru-RU"/>
                    </w:rPr>
                    <w:t>,</w:t>
                  </w:r>
                  <w:r w:rsidRPr="00204941">
                    <w:rPr>
                      <w:rFonts w:eastAsia="Times New Roman" w:cs="Arial"/>
                      <w:sz w:val="18"/>
                      <w:szCs w:val="18"/>
                      <w:lang w:eastAsia="ru-RU"/>
                    </w:rPr>
                    <w:t>000</w:t>
                  </w:r>
                </w:p>
              </w:tc>
              <w:tc>
                <w:tcPr>
                  <w:tcW w:w="1772" w:type="dxa"/>
                  <w:shd w:val="clear" w:color="auto" w:fill="auto"/>
                  <w:noWrap/>
                  <w:tcMar>
                    <w:left w:w="57" w:type="dxa"/>
                    <w:right w:w="57" w:type="dxa"/>
                  </w:tcMar>
                  <w:vAlign w:val="bottom"/>
                  <w:hideMark/>
                </w:tcPr>
                <w:p w14:paraId="670B197A" w14:textId="30373BDD" w:rsidR="00193E2B" w:rsidRPr="00204941" w:rsidRDefault="00193E2B" w:rsidP="00193E2B">
                  <w:pPr>
                    <w:spacing w:after="0" w:line="240" w:lineRule="auto"/>
                    <w:jc w:val="center"/>
                    <w:rPr>
                      <w:rFonts w:eastAsia="Times New Roman" w:cs="Arial"/>
                      <w:sz w:val="18"/>
                      <w:szCs w:val="18"/>
                      <w:lang w:eastAsia="ru-RU"/>
                    </w:rPr>
                  </w:pPr>
                  <w:r w:rsidRPr="00204941">
                    <w:rPr>
                      <w:rFonts w:eastAsia="Times New Roman" w:cs="Arial"/>
                      <w:sz w:val="18"/>
                      <w:szCs w:val="18"/>
                      <w:lang w:eastAsia="ru-RU"/>
                    </w:rPr>
                    <w:t>5</w:t>
                  </w:r>
                  <w:r w:rsidR="002831B7" w:rsidRPr="00204941">
                    <w:rPr>
                      <w:rFonts w:eastAsia="Times New Roman" w:cs="Arial"/>
                      <w:sz w:val="18"/>
                      <w:szCs w:val="18"/>
                      <w:lang w:eastAsia="ru-RU"/>
                    </w:rPr>
                    <w:t>,</w:t>
                  </w:r>
                  <w:r w:rsidRPr="00204941">
                    <w:rPr>
                      <w:rFonts w:eastAsia="Times New Roman" w:cs="Arial"/>
                      <w:sz w:val="18"/>
                      <w:szCs w:val="18"/>
                      <w:lang w:eastAsia="ru-RU"/>
                    </w:rPr>
                    <w:t>500</w:t>
                  </w:r>
                </w:p>
              </w:tc>
              <w:tc>
                <w:tcPr>
                  <w:tcW w:w="1630" w:type="dxa"/>
                  <w:shd w:val="clear" w:color="auto" w:fill="auto"/>
                  <w:noWrap/>
                  <w:tcMar>
                    <w:left w:w="57" w:type="dxa"/>
                    <w:right w:w="57" w:type="dxa"/>
                  </w:tcMar>
                  <w:vAlign w:val="bottom"/>
                  <w:hideMark/>
                </w:tcPr>
                <w:p w14:paraId="2FDD4579" w14:textId="3FB6614E" w:rsidR="00193E2B" w:rsidRPr="00204941" w:rsidRDefault="00193E2B" w:rsidP="00193E2B">
                  <w:pPr>
                    <w:spacing w:after="0" w:line="240" w:lineRule="auto"/>
                    <w:jc w:val="center"/>
                    <w:rPr>
                      <w:rFonts w:eastAsia="Times New Roman" w:cs="Arial"/>
                      <w:sz w:val="18"/>
                      <w:szCs w:val="18"/>
                      <w:lang w:eastAsia="ru-RU"/>
                    </w:rPr>
                  </w:pPr>
                  <w:r w:rsidRPr="00204941">
                    <w:rPr>
                      <w:rFonts w:eastAsia="Times New Roman" w:cs="Arial"/>
                      <w:sz w:val="18"/>
                      <w:szCs w:val="18"/>
                      <w:lang w:eastAsia="ru-RU"/>
                    </w:rPr>
                    <w:t>5</w:t>
                  </w:r>
                  <w:r w:rsidR="002831B7" w:rsidRPr="00204941">
                    <w:rPr>
                      <w:rFonts w:eastAsia="Times New Roman" w:cs="Arial"/>
                      <w:sz w:val="18"/>
                      <w:szCs w:val="18"/>
                      <w:lang w:eastAsia="ru-RU"/>
                    </w:rPr>
                    <w:t>,</w:t>
                  </w:r>
                  <w:r w:rsidRPr="00204941">
                    <w:rPr>
                      <w:rFonts w:eastAsia="Times New Roman" w:cs="Arial"/>
                      <w:sz w:val="18"/>
                      <w:szCs w:val="18"/>
                      <w:lang w:eastAsia="ru-RU"/>
                    </w:rPr>
                    <w:t>700</w:t>
                  </w:r>
                </w:p>
              </w:tc>
            </w:tr>
            <w:tr w:rsidR="00193E2B" w:rsidRPr="00204941" w14:paraId="22E2F90C" w14:textId="77777777" w:rsidTr="00204941">
              <w:trPr>
                <w:trHeight w:val="281"/>
              </w:trPr>
              <w:tc>
                <w:tcPr>
                  <w:tcW w:w="1018" w:type="dxa"/>
                  <w:shd w:val="clear" w:color="auto" w:fill="auto"/>
                  <w:noWrap/>
                  <w:tcMar>
                    <w:left w:w="57" w:type="dxa"/>
                    <w:right w:w="57" w:type="dxa"/>
                  </w:tcMar>
                  <w:vAlign w:val="bottom"/>
                  <w:hideMark/>
                </w:tcPr>
                <w:p w14:paraId="775E222E" w14:textId="77777777" w:rsidR="00193E2B" w:rsidRPr="00204941" w:rsidRDefault="00193E2B" w:rsidP="00193E2B">
                  <w:pPr>
                    <w:spacing w:after="0" w:line="240" w:lineRule="auto"/>
                    <w:rPr>
                      <w:rFonts w:eastAsia="Times New Roman" w:cs="Arial"/>
                      <w:color w:val="000000"/>
                      <w:sz w:val="18"/>
                      <w:szCs w:val="18"/>
                      <w:lang w:eastAsia="ru-RU"/>
                    </w:rPr>
                  </w:pPr>
                  <w:r w:rsidRPr="00204941">
                    <w:rPr>
                      <w:rFonts w:eastAsia="Times New Roman" w:cs="Arial"/>
                      <w:color w:val="000000"/>
                      <w:sz w:val="18"/>
                      <w:szCs w:val="18"/>
                      <w:lang w:eastAsia="ru-RU"/>
                    </w:rPr>
                    <w:t>MSM</w:t>
                  </w:r>
                </w:p>
              </w:tc>
              <w:tc>
                <w:tcPr>
                  <w:tcW w:w="1418" w:type="dxa"/>
                  <w:shd w:val="clear" w:color="auto" w:fill="auto"/>
                  <w:noWrap/>
                  <w:tcMar>
                    <w:left w:w="57" w:type="dxa"/>
                    <w:right w:w="57" w:type="dxa"/>
                  </w:tcMar>
                  <w:vAlign w:val="bottom"/>
                  <w:hideMark/>
                </w:tcPr>
                <w:p w14:paraId="71522E20" w14:textId="74CF578B" w:rsidR="00193E2B" w:rsidRPr="00204941" w:rsidRDefault="00193E2B" w:rsidP="00193E2B">
                  <w:pPr>
                    <w:spacing w:after="0" w:line="240" w:lineRule="auto"/>
                    <w:jc w:val="center"/>
                    <w:rPr>
                      <w:rFonts w:eastAsia="Times New Roman" w:cs="Arial"/>
                      <w:sz w:val="18"/>
                      <w:szCs w:val="18"/>
                      <w:lang w:eastAsia="ru-RU"/>
                    </w:rPr>
                  </w:pPr>
                  <w:r w:rsidRPr="00204941">
                    <w:rPr>
                      <w:rFonts w:eastAsia="Times New Roman" w:cs="Arial"/>
                      <w:sz w:val="18"/>
                      <w:szCs w:val="18"/>
                      <w:lang w:eastAsia="ru-RU"/>
                    </w:rPr>
                    <w:t>16</w:t>
                  </w:r>
                  <w:r w:rsidR="002831B7" w:rsidRPr="00204941">
                    <w:rPr>
                      <w:rFonts w:eastAsia="Times New Roman" w:cs="Arial"/>
                      <w:sz w:val="18"/>
                      <w:szCs w:val="18"/>
                      <w:lang w:eastAsia="ru-RU"/>
                    </w:rPr>
                    <w:t>,</w:t>
                  </w:r>
                  <w:r w:rsidRPr="00204941">
                    <w:rPr>
                      <w:rFonts w:eastAsia="Times New Roman" w:cs="Arial"/>
                      <w:sz w:val="18"/>
                      <w:szCs w:val="18"/>
                      <w:lang w:eastAsia="ru-RU"/>
                    </w:rPr>
                    <w:t>900</w:t>
                  </w:r>
                </w:p>
              </w:tc>
              <w:tc>
                <w:tcPr>
                  <w:tcW w:w="1843" w:type="dxa"/>
                  <w:shd w:val="clear" w:color="auto" w:fill="auto"/>
                  <w:noWrap/>
                  <w:tcMar>
                    <w:left w:w="57" w:type="dxa"/>
                    <w:right w:w="57" w:type="dxa"/>
                  </w:tcMar>
                  <w:vAlign w:val="bottom"/>
                  <w:hideMark/>
                </w:tcPr>
                <w:p w14:paraId="78C085B8" w14:textId="0D0C68CD" w:rsidR="00193E2B" w:rsidRPr="00204941" w:rsidRDefault="00193E2B" w:rsidP="00193E2B">
                  <w:pPr>
                    <w:spacing w:after="0" w:line="240" w:lineRule="auto"/>
                    <w:jc w:val="center"/>
                    <w:rPr>
                      <w:rFonts w:eastAsia="Times New Roman" w:cs="Arial"/>
                      <w:sz w:val="18"/>
                      <w:szCs w:val="18"/>
                      <w:lang w:eastAsia="ru-RU"/>
                    </w:rPr>
                  </w:pPr>
                  <w:r w:rsidRPr="00204941">
                    <w:rPr>
                      <w:rFonts w:eastAsia="Times New Roman" w:cs="Arial"/>
                      <w:sz w:val="18"/>
                      <w:szCs w:val="18"/>
                      <w:lang w:eastAsia="ru-RU"/>
                    </w:rPr>
                    <w:t>12</w:t>
                  </w:r>
                  <w:r w:rsidR="002831B7" w:rsidRPr="00204941">
                    <w:rPr>
                      <w:rFonts w:eastAsia="Times New Roman" w:cs="Arial"/>
                      <w:sz w:val="18"/>
                      <w:szCs w:val="18"/>
                      <w:lang w:eastAsia="ru-RU"/>
                    </w:rPr>
                    <w:t>,</w:t>
                  </w:r>
                  <w:r w:rsidRPr="00204941">
                    <w:rPr>
                      <w:rFonts w:eastAsia="Times New Roman" w:cs="Arial"/>
                      <w:sz w:val="18"/>
                      <w:szCs w:val="18"/>
                      <w:lang w:eastAsia="ru-RU"/>
                    </w:rPr>
                    <w:t>500</w:t>
                  </w:r>
                </w:p>
              </w:tc>
              <w:tc>
                <w:tcPr>
                  <w:tcW w:w="1772" w:type="dxa"/>
                  <w:shd w:val="clear" w:color="auto" w:fill="auto"/>
                  <w:noWrap/>
                  <w:tcMar>
                    <w:left w:w="57" w:type="dxa"/>
                    <w:right w:w="57" w:type="dxa"/>
                  </w:tcMar>
                  <w:vAlign w:val="bottom"/>
                  <w:hideMark/>
                </w:tcPr>
                <w:p w14:paraId="0CD6ED0A" w14:textId="520062A1" w:rsidR="00193E2B" w:rsidRPr="00204941" w:rsidRDefault="00193E2B" w:rsidP="00193E2B">
                  <w:pPr>
                    <w:spacing w:after="0" w:line="240" w:lineRule="auto"/>
                    <w:jc w:val="center"/>
                    <w:rPr>
                      <w:rFonts w:eastAsia="Times New Roman" w:cs="Arial"/>
                      <w:sz w:val="18"/>
                      <w:szCs w:val="18"/>
                      <w:lang w:eastAsia="ru-RU"/>
                    </w:rPr>
                  </w:pPr>
                  <w:r w:rsidRPr="00204941">
                    <w:rPr>
                      <w:rFonts w:eastAsia="Times New Roman" w:cs="Arial"/>
                      <w:sz w:val="18"/>
                      <w:szCs w:val="18"/>
                      <w:lang w:eastAsia="ru-RU"/>
                    </w:rPr>
                    <w:t>13</w:t>
                  </w:r>
                  <w:r w:rsidR="002831B7" w:rsidRPr="00204941">
                    <w:rPr>
                      <w:rFonts w:eastAsia="Times New Roman" w:cs="Arial"/>
                      <w:sz w:val="18"/>
                      <w:szCs w:val="18"/>
                      <w:lang w:eastAsia="ru-RU"/>
                    </w:rPr>
                    <w:t>,</w:t>
                  </w:r>
                  <w:r w:rsidRPr="00204941">
                    <w:rPr>
                      <w:rFonts w:eastAsia="Times New Roman" w:cs="Arial"/>
                      <w:sz w:val="18"/>
                      <w:szCs w:val="18"/>
                      <w:lang w:eastAsia="ru-RU"/>
                    </w:rPr>
                    <w:t>000</w:t>
                  </w:r>
                </w:p>
              </w:tc>
              <w:tc>
                <w:tcPr>
                  <w:tcW w:w="1630" w:type="dxa"/>
                  <w:shd w:val="clear" w:color="auto" w:fill="auto"/>
                  <w:noWrap/>
                  <w:tcMar>
                    <w:left w:w="57" w:type="dxa"/>
                    <w:right w:w="57" w:type="dxa"/>
                  </w:tcMar>
                  <w:vAlign w:val="bottom"/>
                  <w:hideMark/>
                </w:tcPr>
                <w:p w14:paraId="2C506297" w14:textId="52BFD303" w:rsidR="00193E2B" w:rsidRPr="00204941" w:rsidRDefault="00193E2B" w:rsidP="00193E2B">
                  <w:pPr>
                    <w:spacing w:after="0" w:line="240" w:lineRule="auto"/>
                    <w:jc w:val="center"/>
                    <w:rPr>
                      <w:rFonts w:eastAsia="Times New Roman" w:cs="Arial"/>
                      <w:sz w:val="18"/>
                      <w:szCs w:val="18"/>
                      <w:lang w:eastAsia="ru-RU"/>
                    </w:rPr>
                  </w:pPr>
                  <w:r w:rsidRPr="00204941">
                    <w:rPr>
                      <w:rFonts w:eastAsia="Times New Roman" w:cs="Arial"/>
                      <w:sz w:val="18"/>
                      <w:szCs w:val="18"/>
                      <w:lang w:eastAsia="ru-RU"/>
                    </w:rPr>
                    <w:t>13</w:t>
                  </w:r>
                  <w:r w:rsidR="002831B7" w:rsidRPr="00204941">
                    <w:rPr>
                      <w:rFonts w:eastAsia="Times New Roman" w:cs="Arial"/>
                      <w:sz w:val="18"/>
                      <w:szCs w:val="18"/>
                      <w:lang w:eastAsia="ru-RU"/>
                    </w:rPr>
                    <w:t>,</w:t>
                  </w:r>
                  <w:r w:rsidRPr="00204941">
                    <w:rPr>
                      <w:rFonts w:eastAsia="Times New Roman" w:cs="Arial"/>
                      <w:sz w:val="18"/>
                      <w:szCs w:val="18"/>
                      <w:lang w:eastAsia="ru-RU"/>
                    </w:rPr>
                    <w:t>520</w:t>
                  </w:r>
                </w:p>
              </w:tc>
            </w:tr>
            <w:tr w:rsidR="00193E2B" w:rsidRPr="00204941" w14:paraId="4461B4A2" w14:textId="77777777" w:rsidTr="00204941">
              <w:trPr>
                <w:trHeight w:val="281"/>
              </w:trPr>
              <w:tc>
                <w:tcPr>
                  <w:tcW w:w="1018" w:type="dxa"/>
                  <w:shd w:val="clear" w:color="auto" w:fill="auto"/>
                  <w:noWrap/>
                  <w:tcMar>
                    <w:left w:w="57" w:type="dxa"/>
                    <w:right w:w="57" w:type="dxa"/>
                  </w:tcMar>
                  <w:vAlign w:val="bottom"/>
                  <w:hideMark/>
                </w:tcPr>
                <w:p w14:paraId="7879120E" w14:textId="77777777" w:rsidR="00193E2B" w:rsidRPr="00204941" w:rsidRDefault="00193E2B" w:rsidP="00193E2B">
                  <w:pPr>
                    <w:spacing w:after="0" w:line="240" w:lineRule="auto"/>
                    <w:rPr>
                      <w:rFonts w:eastAsia="Times New Roman" w:cs="Arial"/>
                      <w:color w:val="000000"/>
                      <w:sz w:val="18"/>
                      <w:szCs w:val="18"/>
                      <w:lang w:eastAsia="ru-RU"/>
                    </w:rPr>
                  </w:pPr>
                  <w:r w:rsidRPr="00204941">
                    <w:rPr>
                      <w:rFonts w:eastAsia="Times New Roman" w:cs="Arial"/>
                      <w:color w:val="000000"/>
                      <w:sz w:val="18"/>
                      <w:szCs w:val="18"/>
                      <w:lang w:eastAsia="ru-RU"/>
                    </w:rPr>
                    <w:t>OST</w:t>
                  </w:r>
                </w:p>
              </w:tc>
              <w:tc>
                <w:tcPr>
                  <w:tcW w:w="1418" w:type="dxa"/>
                  <w:shd w:val="clear" w:color="auto" w:fill="auto"/>
                  <w:noWrap/>
                  <w:tcMar>
                    <w:left w:w="57" w:type="dxa"/>
                    <w:right w:w="57" w:type="dxa"/>
                  </w:tcMar>
                  <w:vAlign w:val="bottom"/>
                  <w:hideMark/>
                </w:tcPr>
                <w:p w14:paraId="57B694FA" w14:textId="515E77F1" w:rsidR="00193E2B" w:rsidRPr="00204941" w:rsidRDefault="00193E2B" w:rsidP="00193E2B">
                  <w:pPr>
                    <w:spacing w:after="0" w:line="240" w:lineRule="auto"/>
                    <w:jc w:val="center"/>
                    <w:rPr>
                      <w:rFonts w:eastAsia="Times New Roman" w:cs="Arial"/>
                      <w:sz w:val="18"/>
                      <w:szCs w:val="18"/>
                      <w:lang w:eastAsia="ru-RU"/>
                    </w:rPr>
                  </w:pPr>
                  <w:r w:rsidRPr="00204941">
                    <w:rPr>
                      <w:rFonts w:eastAsia="Times New Roman" w:cs="Arial"/>
                      <w:sz w:val="18"/>
                      <w:szCs w:val="18"/>
                      <w:lang w:eastAsia="ru-RU"/>
                    </w:rPr>
                    <w:t>1</w:t>
                  </w:r>
                  <w:r w:rsidR="002831B7" w:rsidRPr="00204941">
                    <w:rPr>
                      <w:rFonts w:eastAsia="Times New Roman" w:cs="Arial"/>
                      <w:sz w:val="18"/>
                      <w:szCs w:val="18"/>
                      <w:lang w:eastAsia="ru-RU"/>
                    </w:rPr>
                    <w:t>,</w:t>
                  </w:r>
                  <w:r w:rsidRPr="00204941">
                    <w:rPr>
                      <w:rFonts w:eastAsia="Times New Roman" w:cs="Arial"/>
                      <w:sz w:val="18"/>
                      <w:szCs w:val="18"/>
                      <w:lang w:eastAsia="ru-RU"/>
                    </w:rPr>
                    <w:t>000</w:t>
                  </w:r>
                </w:p>
              </w:tc>
              <w:tc>
                <w:tcPr>
                  <w:tcW w:w="1843" w:type="dxa"/>
                  <w:shd w:val="clear" w:color="auto" w:fill="auto"/>
                  <w:noWrap/>
                  <w:tcMar>
                    <w:left w:w="57" w:type="dxa"/>
                    <w:right w:w="57" w:type="dxa"/>
                  </w:tcMar>
                  <w:vAlign w:val="bottom"/>
                  <w:hideMark/>
                </w:tcPr>
                <w:p w14:paraId="127E1842" w14:textId="6EEAE097" w:rsidR="00193E2B" w:rsidRPr="00204941" w:rsidRDefault="00193E2B" w:rsidP="00193E2B">
                  <w:pPr>
                    <w:spacing w:after="0" w:line="240" w:lineRule="auto"/>
                    <w:jc w:val="center"/>
                    <w:rPr>
                      <w:rFonts w:eastAsia="Times New Roman" w:cs="Arial"/>
                      <w:sz w:val="18"/>
                      <w:szCs w:val="18"/>
                      <w:lang w:eastAsia="ru-RU"/>
                    </w:rPr>
                  </w:pPr>
                  <w:r w:rsidRPr="00204941">
                    <w:rPr>
                      <w:rFonts w:eastAsia="Times New Roman" w:cs="Arial"/>
                      <w:sz w:val="18"/>
                      <w:szCs w:val="18"/>
                      <w:lang w:eastAsia="ru-RU"/>
                    </w:rPr>
                    <w:t>1</w:t>
                  </w:r>
                  <w:r w:rsidR="002831B7" w:rsidRPr="00204941">
                    <w:rPr>
                      <w:rFonts w:eastAsia="Times New Roman" w:cs="Arial"/>
                      <w:sz w:val="18"/>
                      <w:szCs w:val="18"/>
                      <w:lang w:eastAsia="ru-RU"/>
                    </w:rPr>
                    <w:t>,</w:t>
                  </w:r>
                  <w:r w:rsidRPr="00204941">
                    <w:rPr>
                      <w:rFonts w:eastAsia="Times New Roman" w:cs="Arial"/>
                      <w:sz w:val="18"/>
                      <w:szCs w:val="18"/>
                      <w:lang w:eastAsia="ru-RU"/>
                    </w:rPr>
                    <w:t>000</w:t>
                  </w:r>
                </w:p>
              </w:tc>
              <w:tc>
                <w:tcPr>
                  <w:tcW w:w="1772" w:type="dxa"/>
                  <w:shd w:val="clear" w:color="auto" w:fill="auto"/>
                  <w:noWrap/>
                  <w:tcMar>
                    <w:left w:w="57" w:type="dxa"/>
                    <w:right w:w="57" w:type="dxa"/>
                  </w:tcMar>
                  <w:vAlign w:val="bottom"/>
                  <w:hideMark/>
                </w:tcPr>
                <w:p w14:paraId="0A7562DD" w14:textId="3CA7538F" w:rsidR="00193E2B" w:rsidRPr="00204941" w:rsidRDefault="00193E2B" w:rsidP="00193E2B">
                  <w:pPr>
                    <w:spacing w:after="0" w:line="240" w:lineRule="auto"/>
                    <w:jc w:val="center"/>
                    <w:rPr>
                      <w:rFonts w:eastAsia="Times New Roman" w:cs="Arial"/>
                      <w:sz w:val="18"/>
                      <w:szCs w:val="18"/>
                      <w:lang w:eastAsia="ru-RU"/>
                    </w:rPr>
                  </w:pPr>
                  <w:r w:rsidRPr="00204941">
                    <w:rPr>
                      <w:rFonts w:eastAsia="Times New Roman" w:cs="Arial"/>
                      <w:sz w:val="18"/>
                      <w:szCs w:val="18"/>
                      <w:lang w:eastAsia="ru-RU"/>
                    </w:rPr>
                    <w:t>1</w:t>
                  </w:r>
                  <w:r w:rsidR="002831B7" w:rsidRPr="00204941">
                    <w:rPr>
                      <w:rFonts w:eastAsia="Times New Roman" w:cs="Arial"/>
                      <w:sz w:val="18"/>
                      <w:szCs w:val="18"/>
                      <w:lang w:eastAsia="ru-RU"/>
                    </w:rPr>
                    <w:t>,</w:t>
                  </w:r>
                  <w:r w:rsidRPr="00204941">
                    <w:rPr>
                      <w:rFonts w:eastAsia="Times New Roman" w:cs="Arial"/>
                      <w:sz w:val="18"/>
                      <w:szCs w:val="18"/>
                      <w:lang w:eastAsia="ru-RU"/>
                    </w:rPr>
                    <w:t>250</w:t>
                  </w:r>
                </w:p>
              </w:tc>
              <w:tc>
                <w:tcPr>
                  <w:tcW w:w="1630" w:type="dxa"/>
                  <w:shd w:val="clear" w:color="auto" w:fill="auto"/>
                  <w:noWrap/>
                  <w:tcMar>
                    <w:left w:w="57" w:type="dxa"/>
                    <w:right w:w="57" w:type="dxa"/>
                  </w:tcMar>
                  <w:vAlign w:val="bottom"/>
                  <w:hideMark/>
                </w:tcPr>
                <w:p w14:paraId="545E6551" w14:textId="6F7C82EE" w:rsidR="00193E2B" w:rsidRPr="00204941" w:rsidRDefault="00193E2B" w:rsidP="00193E2B">
                  <w:pPr>
                    <w:spacing w:after="0" w:line="240" w:lineRule="auto"/>
                    <w:jc w:val="center"/>
                    <w:rPr>
                      <w:rFonts w:eastAsia="Times New Roman" w:cs="Arial"/>
                      <w:sz w:val="18"/>
                      <w:szCs w:val="18"/>
                      <w:lang w:eastAsia="ru-RU"/>
                    </w:rPr>
                  </w:pPr>
                  <w:r w:rsidRPr="00204941">
                    <w:rPr>
                      <w:rFonts w:eastAsia="Times New Roman" w:cs="Arial"/>
                      <w:sz w:val="18"/>
                      <w:szCs w:val="18"/>
                      <w:lang w:eastAsia="ru-RU"/>
                    </w:rPr>
                    <w:t>1</w:t>
                  </w:r>
                  <w:r w:rsidR="002831B7" w:rsidRPr="00204941">
                    <w:rPr>
                      <w:rFonts w:eastAsia="Times New Roman" w:cs="Arial"/>
                      <w:sz w:val="18"/>
                      <w:szCs w:val="18"/>
                      <w:lang w:eastAsia="ru-RU"/>
                    </w:rPr>
                    <w:t>,</w:t>
                  </w:r>
                  <w:r w:rsidRPr="00204941">
                    <w:rPr>
                      <w:rFonts w:eastAsia="Times New Roman" w:cs="Arial"/>
                      <w:sz w:val="18"/>
                      <w:szCs w:val="18"/>
                      <w:lang w:eastAsia="ru-RU"/>
                    </w:rPr>
                    <w:t>500</w:t>
                  </w:r>
                </w:p>
              </w:tc>
            </w:tr>
            <w:tr w:rsidR="00193E2B" w:rsidRPr="00204941" w14:paraId="54C4BA6B" w14:textId="77777777" w:rsidTr="00204941">
              <w:trPr>
                <w:trHeight w:val="281"/>
              </w:trPr>
              <w:tc>
                <w:tcPr>
                  <w:tcW w:w="1018" w:type="dxa"/>
                  <w:shd w:val="clear" w:color="auto" w:fill="auto"/>
                  <w:noWrap/>
                  <w:tcMar>
                    <w:left w:w="57" w:type="dxa"/>
                    <w:right w:w="57" w:type="dxa"/>
                  </w:tcMar>
                  <w:vAlign w:val="bottom"/>
                  <w:hideMark/>
                </w:tcPr>
                <w:p w14:paraId="735B8D61" w14:textId="77777777" w:rsidR="00193E2B" w:rsidRPr="00204941" w:rsidRDefault="00193E2B" w:rsidP="00193E2B">
                  <w:pPr>
                    <w:spacing w:after="0" w:line="240" w:lineRule="auto"/>
                    <w:rPr>
                      <w:rFonts w:eastAsia="Times New Roman" w:cs="Arial"/>
                      <w:color w:val="000000"/>
                      <w:sz w:val="18"/>
                      <w:szCs w:val="18"/>
                      <w:lang w:eastAsia="ru-RU"/>
                    </w:rPr>
                  </w:pPr>
                  <w:r w:rsidRPr="00204941">
                    <w:rPr>
                      <w:rFonts w:eastAsia="Times New Roman" w:cs="Arial"/>
                      <w:color w:val="000000"/>
                      <w:sz w:val="18"/>
                      <w:szCs w:val="18"/>
                      <w:lang w:eastAsia="ru-RU"/>
                    </w:rPr>
                    <w:t>Prisoners</w:t>
                  </w:r>
                </w:p>
              </w:tc>
              <w:tc>
                <w:tcPr>
                  <w:tcW w:w="1418" w:type="dxa"/>
                  <w:shd w:val="clear" w:color="auto" w:fill="auto"/>
                  <w:noWrap/>
                  <w:tcMar>
                    <w:left w:w="57" w:type="dxa"/>
                    <w:right w:w="57" w:type="dxa"/>
                  </w:tcMar>
                  <w:vAlign w:val="bottom"/>
                  <w:hideMark/>
                </w:tcPr>
                <w:p w14:paraId="1A4BBCF9" w14:textId="302C298D" w:rsidR="00193E2B" w:rsidRPr="00204941" w:rsidRDefault="00193E2B" w:rsidP="00193E2B">
                  <w:pPr>
                    <w:spacing w:after="0" w:line="240" w:lineRule="auto"/>
                    <w:jc w:val="center"/>
                    <w:rPr>
                      <w:rFonts w:eastAsia="Times New Roman" w:cs="Arial"/>
                      <w:sz w:val="18"/>
                      <w:szCs w:val="18"/>
                      <w:lang w:eastAsia="ru-RU"/>
                    </w:rPr>
                  </w:pPr>
                  <w:r w:rsidRPr="00204941">
                    <w:rPr>
                      <w:rFonts w:eastAsia="Times New Roman" w:cs="Arial"/>
                      <w:sz w:val="18"/>
                      <w:szCs w:val="18"/>
                      <w:lang w:eastAsia="ru-RU"/>
                    </w:rPr>
                    <w:t>7</w:t>
                  </w:r>
                  <w:r w:rsidR="002831B7" w:rsidRPr="00204941">
                    <w:rPr>
                      <w:rFonts w:eastAsia="Times New Roman" w:cs="Arial"/>
                      <w:sz w:val="18"/>
                      <w:szCs w:val="18"/>
                      <w:lang w:eastAsia="ru-RU"/>
                    </w:rPr>
                    <w:t>,</w:t>
                  </w:r>
                  <w:r w:rsidRPr="00204941">
                    <w:rPr>
                      <w:rFonts w:eastAsia="Times New Roman" w:cs="Arial"/>
                      <w:sz w:val="18"/>
                      <w:szCs w:val="18"/>
                      <w:lang w:eastAsia="ru-RU"/>
                    </w:rPr>
                    <w:t>079</w:t>
                  </w:r>
                </w:p>
              </w:tc>
              <w:tc>
                <w:tcPr>
                  <w:tcW w:w="1843" w:type="dxa"/>
                  <w:shd w:val="clear" w:color="auto" w:fill="auto"/>
                  <w:noWrap/>
                  <w:tcMar>
                    <w:left w:w="57" w:type="dxa"/>
                    <w:right w:w="57" w:type="dxa"/>
                  </w:tcMar>
                  <w:vAlign w:val="bottom"/>
                  <w:hideMark/>
                </w:tcPr>
                <w:p w14:paraId="669D6450" w14:textId="43B6FE5C" w:rsidR="00193E2B" w:rsidRPr="00204941" w:rsidRDefault="00193E2B" w:rsidP="00193E2B">
                  <w:pPr>
                    <w:spacing w:after="0" w:line="240" w:lineRule="auto"/>
                    <w:jc w:val="center"/>
                    <w:rPr>
                      <w:rFonts w:eastAsia="Times New Roman" w:cs="Arial"/>
                      <w:sz w:val="18"/>
                      <w:szCs w:val="18"/>
                      <w:lang w:eastAsia="ru-RU"/>
                    </w:rPr>
                  </w:pPr>
                  <w:r w:rsidRPr="00204941">
                    <w:rPr>
                      <w:rFonts w:eastAsia="Times New Roman" w:cs="Arial"/>
                      <w:sz w:val="18"/>
                      <w:szCs w:val="18"/>
                      <w:lang w:eastAsia="ru-RU"/>
                    </w:rPr>
                    <w:t>1</w:t>
                  </w:r>
                  <w:r w:rsidR="002831B7" w:rsidRPr="00204941">
                    <w:rPr>
                      <w:rFonts w:eastAsia="Times New Roman" w:cs="Arial"/>
                      <w:sz w:val="18"/>
                      <w:szCs w:val="18"/>
                      <w:lang w:eastAsia="ru-RU"/>
                    </w:rPr>
                    <w:t>,</w:t>
                  </w:r>
                  <w:r w:rsidRPr="00204941">
                    <w:rPr>
                      <w:rFonts w:eastAsia="Times New Roman" w:cs="Arial"/>
                      <w:sz w:val="18"/>
                      <w:szCs w:val="18"/>
                      <w:lang w:eastAsia="ru-RU"/>
                    </w:rPr>
                    <w:t>200</w:t>
                  </w:r>
                </w:p>
              </w:tc>
              <w:tc>
                <w:tcPr>
                  <w:tcW w:w="1772" w:type="dxa"/>
                  <w:shd w:val="clear" w:color="auto" w:fill="auto"/>
                  <w:noWrap/>
                  <w:tcMar>
                    <w:left w:w="57" w:type="dxa"/>
                    <w:right w:w="57" w:type="dxa"/>
                  </w:tcMar>
                  <w:vAlign w:val="bottom"/>
                  <w:hideMark/>
                </w:tcPr>
                <w:p w14:paraId="3F1E3252" w14:textId="7A3D7321" w:rsidR="00193E2B" w:rsidRPr="00204941" w:rsidRDefault="00193E2B" w:rsidP="00193E2B">
                  <w:pPr>
                    <w:spacing w:after="0" w:line="240" w:lineRule="auto"/>
                    <w:jc w:val="center"/>
                    <w:rPr>
                      <w:rFonts w:eastAsia="Times New Roman" w:cs="Arial"/>
                      <w:sz w:val="18"/>
                      <w:szCs w:val="18"/>
                      <w:lang w:eastAsia="ru-RU"/>
                    </w:rPr>
                  </w:pPr>
                  <w:r w:rsidRPr="00204941">
                    <w:rPr>
                      <w:rFonts w:eastAsia="Times New Roman" w:cs="Arial"/>
                      <w:sz w:val="18"/>
                      <w:szCs w:val="18"/>
                      <w:lang w:eastAsia="ru-RU"/>
                    </w:rPr>
                    <w:t>1</w:t>
                  </w:r>
                  <w:r w:rsidR="002831B7" w:rsidRPr="00204941">
                    <w:rPr>
                      <w:rFonts w:eastAsia="Times New Roman" w:cs="Arial"/>
                      <w:sz w:val="18"/>
                      <w:szCs w:val="18"/>
                      <w:lang w:eastAsia="ru-RU"/>
                    </w:rPr>
                    <w:t>,</w:t>
                  </w:r>
                  <w:r w:rsidRPr="00204941">
                    <w:rPr>
                      <w:rFonts w:eastAsia="Times New Roman" w:cs="Arial"/>
                      <w:sz w:val="18"/>
                      <w:szCs w:val="18"/>
                      <w:lang w:eastAsia="ru-RU"/>
                    </w:rPr>
                    <w:t>200</w:t>
                  </w:r>
                </w:p>
              </w:tc>
              <w:tc>
                <w:tcPr>
                  <w:tcW w:w="1630" w:type="dxa"/>
                  <w:shd w:val="clear" w:color="auto" w:fill="auto"/>
                  <w:noWrap/>
                  <w:tcMar>
                    <w:left w:w="57" w:type="dxa"/>
                    <w:right w:w="57" w:type="dxa"/>
                  </w:tcMar>
                  <w:vAlign w:val="bottom"/>
                  <w:hideMark/>
                </w:tcPr>
                <w:p w14:paraId="047D44CA" w14:textId="16B7C785" w:rsidR="00193E2B" w:rsidRPr="00204941" w:rsidRDefault="00193E2B" w:rsidP="00193E2B">
                  <w:pPr>
                    <w:spacing w:after="0" w:line="240" w:lineRule="auto"/>
                    <w:jc w:val="center"/>
                    <w:rPr>
                      <w:rFonts w:eastAsia="Times New Roman" w:cs="Arial"/>
                      <w:sz w:val="18"/>
                      <w:szCs w:val="18"/>
                      <w:lang w:eastAsia="ru-RU"/>
                    </w:rPr>
                  </w:pPr>
                  <w:r w:rsidRPr="00204941">
                    <w:rPr>
                      <w:rFonts w:eastAsia="Times New Roman" w:cs="Arial"/>
                      <w:sz w:val="18"/>
                      <w:szCs w:val="18"/>
                      <w:lang w:eastAsia="ru-RU"/>
                    </w:rPr>
                    <w:t>1</w:t>
                  </w:r>
                  <w:r w:rsidR="002831B7" w:rsidRPr="00204941">
                    <w:rPr>
                      <w:rFonts w:eastAsia="Times New Roman" w:cs="Arial"/>
                      <w:sz w:val="18"/>
                      <w:szCs w:val="18"/>
                      <w:lang w:eastAsia="ru-RU"/>
                    </w:rPr>
                    <w:t>,</w:t>
                  </w:r>
                  <w:r w:rsidRPr="00204941">
                    <w:rPr>
                      <w:rFonts w:eastAsia="Times New Roman" w:cs="Arial"/>
                      <w:sz w:val="18"/>
                      <w:szCs w:val="18"/>
                      <w:lang w:eastAsia="ru-RU"/>
                    </w:rPr>
                    <w:t>200</w:t>
                  </w:r>
                </w:p>
              </w:tc>
            </w:tr>
          </w:tbl>
          <w:p w14:paraId="4E5EE8EB" w14:textId="5E89B2D4" w:rsidR="00193E2B" w:rsidRPr="00BF4BEE" w:rsidRDefault="00193E2B" w:rsidP="00193E2B">
            <w:pPr>
              <w:spacing w:after="0"/>
              <w:rPr>
                <w:rFonts w:ascii="Calibri" w:hAnsi="Calibri" w:cs="Times New Roman"/>
              </w:rPr>
            </w:pPr>
          </w:p>
        </w:tc>
      </w:tr>
    </w:tbl>
    <w:p w14:paraId="545AE681" w14:textId="77777777" w:rsidR="00671956" w:rsidRDefault="00671956" w:rsidP="00671956">
      <w:pPr>
        <w:spacing w:after="0"/>
      </w:pPr>
    </w:p>
    <w:tbl>
      <w:tblPr>
        <w:tblStyle w:val="TableGrid3"/>
        <w:tblW w:w="10350" w:type="dxa"/>
        <w:tblInd w:w="-5" w:type="dxa"/>
        <w:tblLook w:val="04A0" w:firstRow="1" w:lastRow="0" w:firstColumn="1" w:lastColumn="0" w:noHBand="0" w:noVBand="1"/>
      </w:tblPr>
      <w:tblGrid>
        <w:gridCol w:w="2234"/>
        <w:gridCol w:w="8227"/>
      </w:tblGrid>
      <w:tr w:rsidR="00071C82" w:rsidRPr="00BF4BEE" w14:paraId="6A245EDB" w14:textId="77777777" w:rsidTr="00245DCD">
        <w:trPr>
          <w:trHeight w:val="422"/>
        </w:trPr>
        <w:tc>
          <w:tcPr>
            <w:tcW w:w="2448" w:type="dxa"/>
            <w:shd w:val="clear" w:color="auto" w:fill="F2F2F2"/>
            <w:vAlign w:val="center"/>
          </w:tcPr>
          <w:p w14:paraId="2449F483" w14:textId="77777777" w:rsidR="00071C82" w:rsidRPr="00BF4BEE" w:rsidRDefault="00071C82" w:rsidP="00245DCD">
            <w:pPr>
              <w:spacing w:after="0"/>
            </w:pPr>
            <w:r>
              <w:t xml:space="preserve">Component </w:t>
            </w:r>
          </w:p>
        </w:tc>
        <w:tc>
          <w:tcPr>
            <w:tcW w:w="7902" w:type="dxa"/>
          </w:tcPr>
          <w:p w14:paraId="44361730" w14:textId="3625F79A" w:rsidR="00071C82" w:rsidRPr="003869A6" w:rsidRDefault="003869A6" w:rsidP="002831B7">
            <w:pPr>
              <w:spacing w:after="0"/>
              <w:jc w:val="both"/>
              <w:rPr>
                <w:rFonts w:ascii="Calibri" w:hAnsi="Calibri" w:cs="Times New Roman"/>
              </w:rPr>
            </w:pPr>
            <w:r w:rsidRPr="003869A6">
              <w:rPr>
                <w:rFonts w:cs="Calibri"/>
                <w:sz w:val="20"/>
                <w:lang w:val="en-GB"/>
              </w:rPr>
              <w:t>MDR-TB</w:t>
            </w:r>
          </w:p>
        </w:tc>
      </w:tr>
      <w:tr w:rsidR="00575754" w:rsidRPr="00BF4BEE" w14:paraId="32CCAEEA" w14:textId="77777777" w:rsidTr="00245DCD">
        <w:trPr>
          <w:trHeight w:val="440"/>
        </w:trPr>
        <w:tc>
          <w:tcPr>
            <w:tcW w:w="2448" w:type="dxa"/>
            <w:shd w:val="clear" w:color="auto" w:fill="F2F2F2"/>
            <w:vAlign w:val="center"/>
          </w:tcPr>
          <w:p w14:paraId="1057F045" w14:textId="77777777" w:rsidR="00575754" w:rsidRPr="00BF4BEE" w:rsidRDefault="00575754" w:rsidP="00575754">
            <w:pPr>
              <w:spacing w:after="0"/>
            </w:pPr>
            <w:r>
              <w:t>Module/i</w:t>
            </w:r>
            <w:r w:rsidRPr="00BF4BEE">
              <w:t>nterventions</w:t>
            </w:r>
          </w:p>
        </w:tc>
        <w:tc>
          <w:tcPr>
            <w:tcW w:w="7902" w:type="dxa"/>
          </w:tcPr>
          <w:p w14:paraId="1B43F632" w14:textId="77777777" w:rsidR="00575754" w:rsidRPr="00912C27" w:rsidRDefault="00575754" w:rsidP="0055174C">
            <w:pPr>
              <w:pStyle w:val="affff3"/>
              <w:numPr>
                <w:ilvl w:val="0"/>
                <w:numId w:val="28"/>
              </w:numPr>
              <w:spacing w:after="0" w:line="240" w:lineRule="auto"/>
              <w:jc w:val="both"/>
              <w:rPr>
                <w:rFonts w:cs="Calibri"/>
                <w:sz w:val="20"/>
                <w:lang w:val="en-GB"/>
              </w:rPr>
            </w:pPr>
            <w:r w:rsidRPr="00912C27">
              <w:rPr>
                <w:rFonts w:cs="Calibri"/>
                <w:sz w:val="20"/>
                <w:lang w:val="en-GB"/>
              </w:rPr>
              <w:t xml:space="preserve">To ensure adequate DR-TB diagnosis and treatment </w:t>
            </w:r>
          </w:p>
          <w:p w14:paraId="18A95272" w14:textId="1948A4C6" w:rsidR="00575754" w:rsidRPr="00BF4BEE" w:rsidRDefault="00575754" w:rsidP="0055174C">
            <w:pPr>
              <w:pStyle w:val="affff3"/>
              <w:numPr>
                <w:ilvl w:val="0"/>
                <w:numId w:val="28"/>
              </w:numPr>
              <w:spacing w:after="0" w:line="240" w:lineRule="auto"/>
              <w:jc w:val="both"/>
              <w:rPr>
                <w:rFonts w:ascii="Calibri" w:hAnsi="Calibri" w:cs="Times New Roman"/>
              </w:rPr>
            </w:pPr>
            <w:r w:rsidRPr="00912C27">
              <w:rPr>
                <w:rFonts w:cs="Calibri"/>
                <w:sz w:val="20"/>
                <w:lang w:val="en-GB"/>
              </w:rPr>
              <w:t xml:space="preserve">To enhance MDR-TB treatment efficacy </w:t>
            </w:r>
          </w:p>
        </w:tc>
      </w:tr>
      <w:tr w:rsidR="00575754" w:rsidRPr="00BF4BEE" w14:paraId="3A5765F7" w14:textId="77777777" w:rsidTr="00245DCD">
        <w:trPr>
          <w:trHeight w:val="440"/>
        </w:trPr>
        <w:tc>
          <w:tcPr>
            <w:tcW w:w="2448" w:type="dxa"/>
            <w:shd w:val="clear" w:color="auto" w:fill="F2F2F2"/>
            <w:vAlign w:val="center"/>
          </w:tcPr>
          <w:p w14:paraId="715F1621" w14:textId="77777777" w:rsidR="00575754" w:rsidRPr="00BF4BEE" w:rsidRDefault="00575754" w:rsidP="00575754">
            <w:pPr>
              <w:spacing w:after="0"/>
            </w:pPr>
            <w:r w:rsidRPr="00BF4BEE">
              <w:t>Priority populations</w:t>
            </w:r>
          </w:p>
        </w:tc>
        <w:tc>
          <w:tcPr>
            <w:tcW w:w="7902" w:type="dxa"/>
          </w:tcPr>
          <w:p w14:paraId="67E0E8FF" w14:textId="15231374" w:rsidR="00575754" w:rsidRPr="00BF4BEE" w:rsidRDefault="00575754" w:rsidP="002831B7">
            <w:pPr>
              <w:spacing w:after="0"/>
              <w:jc w:val="both"/>
              <w:rPr>
                <w:rFonts w:ascii="Calibri" w:hAnsi="Calibri" w:cs="Times New Roman"/>
              </w:rPr>
            </w:pPr>
            <w:r w:rsidRPr="00912C27">
              <w:rPr>
                <w:rFonts w:cs="Calibri"/>
                <w:sz w:val="20"/>
                <w:lang w:val="en-GB"/>
              </w:rPr>
              <w:t>Patients with DR-TB</w:t>
            </w:r>
          </w:p>
        </w:tc>
      </w:tr>
      <w:tr w:rsidR="00575754" w:rsidRPr="00BF4BEE" w14:paraId="2D37AA7B" w14:textId="77777777" w:rsidTr="00245DCD">
        <w:trPr>
          <w:trHeight w:val="440"/>
        </w:trPr>
        <w:tc>
          <w:tcPr>
            <w:tcW w:w="2448" w:type="dxa"/>
            <w:shd w:val="clear" w:color="auto" w:fill="F2F2F2"/>
            <w:vAlign w:val="center"/>
          </w:tcPr>
          <w:p w14:paraId="45EF7AB7" w14:textId="5AAC948C" w:rsidR="00575754" w:rsidRPr="00633BBC" w:rsidRDefault="00575754" w:rsidP="00575754">
            <w:pPr>
              <w:spacing w:after="0"/>
            </w:pPr>
            <w:r>
              <w:t>Barriers and i</w:t>
            </w:r>
            <w:r w:rsidRPr="009A1DC8">
              <w:t>nequities</w:t>
            </w:r>
          </w:p>
        </w:tc>
        <w:tc>
          <w:tcPr>
            <w:tcW w:w="7902" w:type="dxa"/>
          </w:tcPr>
          <w:p w14:paraId="0F438AFC" w14:textId="554333D1" w:rsidR="00575754" w:rsidRPr="00BF4BEE" w:rsidRDefault="00575754" w:rsidP="002831B7">
            <w:pPr>
              <w:spacing w:after="0"/>
              <w:jc w:val="both"/>
              <w:rPr>
                <w:rFonts w:ascii="Calibri" w:hAnsi="Calibri" w:cs="Times New Roman"/>
              </w:rPr>
            </w:pPr>
            <w:r w:rsidRPr="00912C27">
              <w:rPr>
                <w:rFonts w:cs="Calibri"/>
                <w:sz w:val="20"/>
                <w:lang w:val="en-GB"/>
              </w:rPr>
              <w:t>Potential restricted access and interrupted supplies of WHO pre-qualified TB drugs and innovative approached in TB diagnosis and treatment.</w:t>
            </w:r>
          </w:p>
        </w:tc>
      </w:tr>
      <w:tr w:rsidR="00575754" w:rsidRPr="00BF4BEE" w14:paraId="1036E7F7" w14:textId="77777777" w:rsidTr="00245DCD">
        <w:trPr>
          <w:trHeight w:val="440"/>
        </w:trPr>
        <w:tc>
          <w:tcPr>
            <w:tcW w:w="2448" w:type="dxa"/>
            <w:shd w:val="clear" w:color="auto" w:fill="F2F2F2"/>
            <w:vAlign w:val="center"/>
          </w:tcPr>
          <w:p w14:paraId="4B940EB8" w14:textId="77777777" w:rsidR="00575754" w:rsidRPr="00BF4BEE" w:rsidRDefault="00575754" w:rsidP="00575754">
            <w:pPr>
              <w:spacing w:after="0"/>
            </w:pPr>
            <w:r w:rsidRPr="00BF4BEE">
              <w:t>Rationale</w:t>
            </w:r>
          </w:p>
        </w:tc>
        <w:tc>
          <w:tcPr>
            <w:tcW w:w="7902" w:type="dxa"/>
          </w:tcPr>
          <w:p w14:paraId="04D295C3" w14:textId="4BE570A0" w:rsidR="00575754" w:rsidRPr="00575754" w:rsidRDefault="00575754" w:rsidP="002831B7">
            <w:pPr>
              <w:pStyle w:val="affff3"/>
              <w:numPr>
                <w:ilvl w:val="0"/>
                <w:numId w:val="26"/>
              </w:numPr>
              <w:spacing w:after="0" w:line="240" w:lineRule="auto"/>
              <w:jc w:val="both"/>
              <w:rPr>
                <w:rFonts w:cs="Calibri"/>
                <w:sz w:val="20"/>
                <w:lang w:val="en-GB"/>
              </w:rPr>
            </w:pPr>
            <w:r w:rsidRPr="00575754">
              <w:rPr>
                <w:rFonts w:cs="Calibri"/>
                <w:sz w:val="20"/>
                <w:lang w:val="en-GB"/>
              </w:rPr>
              <w:t>Treatment of DR-TB. Procurement of second line TB drugs.</w:t>
            </w:r>
          </w:p>
          <w:p w14:paraId="1DC8084C" w14:textId="77777777" w:rsidR="00575754" w:rsidRPr="00575754" w:rsidRDefault="00575754" w:rsidP="002831B7">
            <w:pPr>
              <w:pStyle w:val="affff3"/>
              <w:numPr>
                <w:ilvl w:val="0"/>
                <w:numId w:val="26"/>
              </w:numPr>
              <w:spacing w:after="0" w:line="240" w:lineRule="auto"/>
              <w:jc w:val="both"/>
              <w:rPr>
                <w:rFonts w:cs="Calibri"/>
                <w:sz w:val="20"/>
                <w:lang w:val="en-GB"/>
              </w:rPr>
            </w:pPr>
            <w:r w:rsidRPr="00575754">
              <w:rPr>
                <w:rFonts w:cs="Calibri"/>
                <w:sz w:val="20"/>
                <w:lang w:val="en-GB"/>
              </w:rPr>
              <w:t xml:space="preserve">To conduct operational study on implementation of WHO recommended treatment regimens. </w:t>
            </w:r>
          </w:p>
          <w:p w14:paraId="1DF316C4" w14:textId="77777777" w:rsidR="00575754" w:rsidRPr="00575754" w:rsidRDefault="00575754" w:rsidP="002831B7">
            <w:pPr>
              <w:pStyle w:val="affff3"/>
              <w:numPr>
                <w:ilvl w:val="0"/>
                <w:numId w:val="26"/>
              </w:numPr>
              <w:spacing w:after="0" w:line="240" w:lineRule="auto"/>
              <w:jc w:val="both"/>
              <w:rPr>
                <w:rFonts w:cs="Calibri"/>
                <w:sz w:val="20"/>
                <w:lang w:val="en-GB"/>
              </w:rPr>
            </w:pPr>
            <w:r w:rsidRPr="00575754">
              <w:rPr>
                <w:rFonts w:cs="Calibri"/>
                <w:sz w:val="20"/>
                <w:lang w:val="en-GB"/>
              </w:rPr>
              <w:t>To develop a mechanism for procurement of prequalified TB drugs</w:t>
            </w:r>
          </w:p>
          <w:p w14:paraId="11BD17CD" w14:textId="77777777" w:rsidR="00575754" w:rsidRPr="004A18A6" w:rsidRDefault="00575754" w:rsidP="002831B7">
            <w:pPr>
              <w:jc w:val="both"/>
              <w:rPr>
                <w:sz w:val="20"/>
                <w:lang w:val="en-GB"/>
              </w:rPr>
            </w:pPr>
            <w:r w:rsidRPr="004A18A6">
              <w:rPr>
                <w:sz w:val="20"/>
                <w:lang w:val="en-GB"/>
              </w:rPr>
              <w:t xml:space="preserve">The estimated number of patients with drug resistant TB in 2021-2023 during the implementation of the Operational Plan on TB </w:t>
            </w:r>
            <w:proofErr w:type="gramStart"/>
            <w:r w:rsidRPr="004A18A6">
              <w:rPr>
                <w:sz w:val="20"/>
                <w:lang w:val="en-GB"/>
              </w:rPr>
              <w:t>is presented</w:t>
            </w:r>
            <w:proofErr w:type="gramEnd"/>
            <w:r w:rsidRPr="004A18A6">
              <w:rPr>
                <w:sz w:val="20"/>
                <w:lang w:val="en-GB"/>
              </w:rPr>
              <w:t xml:space="preserve"> in the Table below.</w:t>
            </w:r>
          </w:p>
          <w:tbl>
            <w:tblPr>
              <w:tblW w:w="8046" w:type="dxa"/>
              <w:tblLook w:val="04A0" w:firstRow="1" w:lastRow="0" w:firstColumn="1" w:lastColumn="0" w:noHBand="0" w:noVBand="1"/>
            </w:tblPr>
            <w:tblGrid>
              <w:gridCol w:w="944"/>
              <w:gridCol w:w="2702"/>
              <w:gridCol w:w="665"/>
              <w:gridCol w:w="674"/>
              <w:gridCol w:w="662"/>
              <w:gridCol w:w="665"/>
              <w:gridCol w:w="693"/>
              <w:gridCol w:w="996"/>
            </w:tblGrid>
            <w:tr w:rsidR="00575754" w:rsidRPr="00575754" w14:paraId="5FE1AACD" w14:textId="77777777" w:rsidTr="004A18A6">
              <w:trPr>
                <w:trHeight w:val="300"/>
              </w:trPr>
              <w:tc>
                <w:tcPr>
                  <w:tcW w:w="3668"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1C8A671B" w14:textId="77777777" w:rsidR="00575754" w:rsidRPr="002831B7" w:rsidRDefault="00575754" w:rsidP="002831B7">
                  <w:pPr>
                    <w:spacing w:after="0"/>
                    <w:jc w:val="both"/>
                    <w:rPr>
                      <w:rFonts w:asciiTheme="minorHAnsi" w:hAnsiTheme="minorHAnsi" w:cstheme="minorHAnsi"/>
                      <w:b/>
                      <w:bCs/>
                      <w:sz w:val="18"/>
                      <w:szCs w:val="18"/>
                      <w:lang w:val="en-GB"/>
                    </w:rPr>
                  </w:pPr>
                  <w:r w:rsidRPr="002831B7">
                    <w:rPr>
                      <w:rFonts w:asciiTheme="minorHAnsi" w:hAnsiTheme="minorHAnsi" w:cstheme="minorHAnsi"/>
                      <w:b/>
                      <w:bCs/>
                      <w:sz w:val="18"/>
                      <w:szCs w:val="18"/>
                      <w:lang w:val="en-GB"/>
                    </w:rPr>
                    <w:t> </w:t>
                  </w:r>
                </w:p>
              </w:tc>
              <w:tc>
                <w:tcPr>
                  <w:tcW w:w="668" w:type="dxa"/>
                  <w:tcBorders>
                    <w:top w:val="single" w:sz="4" w:space="0" w:color="auto"/>
                    <w:left w:val="nil"/>
                    <w:bottom w:val="single" w:sz="4" w:space="0" w:color="auto"/>
                    <w:right w:val="single" w:sz="4" w:space="0" w:color="auto"/>
                  </w:tcBorders>
                  <w:shd w:val="clear" w:color="auto" w:fill="auto"/>
                  <w:noWrap/>
                  <w:tcMar>
                    <w:left w:w="57" w:type="dxa"/>
                    <w:right w:w="57" w:type="dxa"/>
                  </w:tcMar>
                  <w:hideMark/>
                </w:tcPr>
                <w:p w14:paraId="04A24244" w14:textId="77777777" w:rsidR="00575754" w:rsidRPr="002831B7" w:rsidRDefault="00575754" w:rsidP="002831B7">
                  <w:pPr>
                    <w:spacing w:after="0"/>
                    <w:jc w:val="both"/>
                    <w:rPr>
                      <w:rFonts w:asciiTheme="minorHAnsi" w:hAnsiTheme="minorHAnsi" w:cstheme="minorHAnsi"/>
                      <w:b/>
                      <w:bCs/>
                      <w:sz w:val="18"/>
                      <w:szCs w:val="18"/>
                      <w:lang w:val="en-GB"/>
                    </w:rPr>
                  </w:pPr>
                  <w:r w:rsidRPr="002831B7">
                    <w:rPr>
                      <w:rFonts w:asciiTheme="minorHAnsi" w:hAnsiTheme="minorHAnsi" w:cstheme="minorHAnsi"/>
                      <w:b/>
                      <w:bCs/>
                      <w:sz w:val="18"/>
                      <w:szCs w:val="18"/>
                      <w:lang w:val="en-GB"/>
                    </w:rPr>
                    <w:t>2019</w:t>
                  </w:r>
                </w:p>
              </w:tc>
              <w:tc>
                <w:tcPr>
                  <w:tcW w:w="678" w:type="dxa"/>
                  <w:tcBorders>
                    <w:top w:val="single" w:sz="4" w:space="0" w:color="auto"/>
                    <w:left w:val="nil"/>
                    <w:bottom w:val="single" w:sz="4" w:space="0" w:color="auto"/>
                    <w:right w:val="single" w:sz="4" w:space="0" w:color="auto"/>
                  </w:tcBorders>
                  <w:shd w:val="clear" w:color="auto" w:fill="auto"/>
                  <w:noWrap/>
                  <w:tcMar>
                    <w:left w:w="57" w:type="dxa"/>
                    <w:right w:w="57" w:type="dxa"/>
                  </w:tcMar>
                  <w:hideMark/>
                </w:tcPr>
                <w:p w14:paraId="5FD4DACE" w14:textId="77777777" w:rsidR="00575754" w:rsidRPr="002831B7" w:rsidRDefault="00575754" w:rsidP="002831B7">
                  <w:pPr>
                    <w:spacing w:after="0"/>
                    <w:jc w:val="both"/>
                    <w:rPr>
                      <w:rFonts w:asciiTheme="minorHAnsi" w:hAnsiTheme="minorHAnsi" w:cstheme="minorHAnsi"/>
                      <w:b/>
                      <w:bCs/>
                      <w:sz w:val="18"/>
                      <w:szCs w:val="18"/>
                      <w:lang w:val="en-GB"/>
                    </w:rPr>
                  </w:pPr>
                  <w:r w:rsidRPr="002831B7">
                    <w:rPr>
                      <w:rFonts w:asciiTheme="minorHAnsi" w:hAnsiTheme="minorHAnsi" w:cstheme="minorHAnsi"/>
                      <w:b/>
                      <w:bCs/>
                      <w:sz w:val="18"/>
                      <w:szCs w:val="18"/>
                      <w:lang w:val="en-GB"/>
                    </w:rPr>
                    <w:t>2020</w:t>
                  </w:r>
                </w:p>
              </w:tc>
              <w:tc>
                <w:tcPr>
                  <w:tcW w:w="665" w:type="dxa"/>
                  <w:tcBorders>
                    <w:top w:val="single" w:sz="4" w:space="0" w:color="auto"/>
                    <w:left w:val="nil"/>
                    <w:bottom w:val="single" w:sz="4" w:space="0" w:color="auto"/>
                    <w:right w:val="single" w:sz="4" w:space="0" w:color="auto"/>
                  </w:tcBorders>
                  <w:noWrap/>
                  <w:tcMar>
                    <w:left w:w="57" w:type="dxa"/>
                    <w:right w:w="57" w:type="dxa"/>
                  </w:tcMar>
                  <w:hideMark/>
                </w:tcPr>
                <w:p w14:paraId="03DB0235" w14:textId="77777777" w:rsidR="00575754" w:rsidRPr="002831B7" w:rsidRDefault="00575754" w:rsidP="002831B7">
                  <w:pPr>
                    <w:spacing w:after="0"/>
                    <w:jc w:val="both"/>
                    <w:rPr>
                      <w:rFonts w:asciiTheme="minorHAnsi" w:hAnsiTheme="minorHAnsi" w:cstheme="minorHAnsi"/>
                      <w:b/>
                      <w:bCs/>
                      <w:sz w:val="18"/>
                      <w:szCs w:val="18"/>
                      <w:lang w:val="en-GB"/>
                    </w:rPr>
                  </w:pPr>
                  <w:r w:rsidRPr="002831B7">
                    <w:rPr>
                      <w:rFonts w:asciiTheme="minorHAnsi" w:hAnsiTheme="minorHAnsi" w:cstheme="minorHAnsi"/>
                      <w:b/>
                      <w:bCs/>
                      <w:sz w:val="18"/>
                      <w:szCs w:val="18"/>
                      <w:lang w:val="en-GB"/>
                    </w:rPr>
                    <w:t>2021</w:t>
                  </w:r>
                </w:p>
              </w:tc>
              <w:tc>
                <w:tcPr>
                  <w:tcW w:w="668" w:type="dxa"/>
                  <w:tcBorders>
                    <w:top w:val="single" w:sz="4" w:space="0" w:color="auto"/>
                    <w:left w:val="nil"/>
                    <w:bottom w:val="single" w:sz="4" w:space="0" w:color="auto"/>
                    <w:right w:val="single" w:sz="4" w:space="0" w:color="auto"/>
                  </w:tcBorders>
                  <w:noWrap/>
                  <w:tcMar>
                    <w:left w:w="57" w:type="dxa"/>
                    <w:right w:w="57" w:type="dxa"/>
                  </w:tcMar>
                  <w:hideMark/>
                </w:tcPr>
                <w:p w14:paraId="03F057EA" w14:textId="77777777" w:rsidR="00575754" w:rsidRPr="002831B7" w:rsidRDefault="00575754" w:rsidP="002831B7">
                  <w:pPr>
                    <w:spacing w:after="0"/>
                    <w:jc w:val="both"/>
                    <w:rPr>
                      <w:rFonts w:asciiTheme="minorHAnsi" w:hAnsiTheme="minorHAnsi" w:cstheme="minorHAnsi"/>
                      <w:b/>
                      <w:bCs/>
                      <w:sz w:val="18"/>
                      <w:szCs w:val="18"/>
                      <w:lang w:val="en-GB"/>
                    </w:rPr>
                  </w:pPr>
                  <w:r w:rsidRPr="002831B7">
                    <w:rPr>
                      <w:rFonts w:asciiTheme="minorHAnsi" w:hAnsiTheme="minorHAnsi" w:cstheme="minorHAnsi"/>
                      <w:b/>
                      <w:bCs/>
                      <w:sz w:val="18"/>
                      <w:szCs w:val="18"/>
                      <w:lang w:val="en-GB"/>
                    </w:rPr>
                    <w:t>2022</w:t>
                  </w:r>
                </w:p>
              </w:tc>
              <w:tc>
                <w:tcPr>
                  <w:tcW w:w="697" w:type="dxa"/>
                  <w:tcBorders>
                    <w:top w:val="single" w:sz="4" w:space="0" w:color="auto"/>
                    <w:left w:val="nil"/>
                    <w:bottom w:val="single" w:sz="4" w:space="0" w:color="auto"/>
                    <w:right w:val="nil"/>
                  </w:tcBorders>
                  <w:noWrap/>
                  <w:tcMar>
                    <w:left w:w="57" w:type="dxa"/>
                    <w:right w:w="57" w:type="dxa"/>
                  </w:tcMar>
                  <w:hideMark/>
                </w:tcPr>
                <w:p w14:paraId="36696960" w14:textId="77777777" w:rsidR="00575754" w:rsidRPr="002831B7" w:rsidRDefault="00575754" w:rsidP="002831B7">
                  <w:pPr>
                    <w:spacing w:after="0"/>
                    <w:jc w:val="both"/>
                    <w:rPr>
                      <w:rFonts w:asciiTheme="minorHAnsi" w:hAnsiTheme="minorHAnsi" w:cstheme="minorHAnsi"/>
                      <w:b/>
                      <w:bCs/>
                      <w:sz w:val="18"/>
                      <w:szCs w:val="18"/>
                      <w:lang w:val="en-GB"/>
                    </w:rPr>
                  </w:pPr>
                  <w:r w:rsidRPr="002831B7">
                    <w:rPr>
                      <w:rFonts w:asciiTheme="minorHAnsi" w:hAnsiTheme="minorHAnsi" w:cstheme="minorHAnsi"/>
                      <w:b/>
                      <w:bCs/>
                      <w:sz w:val="18"/>
                      <w:szCs w:val="18"/>
                      <w:lang w:val="en-GB"/>
                    </w:rPr>
                    <w:t>2023</w:t>
                  </w:r>
                </w:p>
              </w:tc>
              <w:tc>
                <w:tcPr>
                  <w:tcW w:w="100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04FC58A7" w14:textId="5A5BD5B9" w:rsidR="00575754" w:rsidRPr="002831B7" w:rsidRDefault="002831B7" w:rsidP="002831B7">
                  <w:pPr>
                    <w:spacing w:after="0"/>
                    <w:jc w:val="both"/>
                    <w:rPr>
                      <w:rFonts w:asciiTheme="minorHAnsi" w:hAnsiTheme="minorHAnsi" w:cstheme="minorHAnsi"/>
                      <w:sz w:val="18"/>
                      <w:szCs w:val="18"/>
                      <w:lang w:val="en-GB"/>
                    </w:rPr>
                  </w:pPr>
                  <w:r>
                    <w:rPr>
                      <w:rFonts w:asciiTheme="minorHAnsi" w:hAnsiTheme="minorHAnsi" w:cstheme="minorHAnsi"/>
                      <w:sz w:val="18"/>
                      <w:szCs w:val="18"/>
                      <w:lang w:val="en-GB"/>
                    </w:rPr>
                    <w:t>3 years</w:t>
                  </w:r>
                </w:p>
              </w:tc>
            </w:tr>
            <w:tr w:rsidR="00575754" w:rsidRPr="00575754" w14:paraId="7644BA4D" w14:textId="77777777" w:rsidTr="004A18A6">
              <w:trPr>
                <w:trHeight w:val="300"/>
              </w:trPr>
              <w:tc>
                <w:tcPr>
                  <w:tcW w:w="3668"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F6253C9" w14:textId="77777777" w:rsidR="00575754" w:rsidRPr="002831B7" w:rsidRDefault="00575754" w:rsidP="002831B7">
                  <w:pPr>
                    <w:spacing w:after="0"/>
                    <w:jc w:val="both"/>
                    <w:rPr>
                      <w:rFonts w:asciiTheme="minorHAnsi" w:hAnsiTheme="minorHAnsi" w:cstheme="minorHAnsi"/>
                      <w:b/>
                      <w:bCs/>
                      <w:sz w:val="18"/>
                      <w:szCs w:val="18"/>
                      <w:lang w:val="en-GB"/>
                    </w:rPr>
                  </w:pPr>
                  <w:r w:rsidRPr="002831B7">
                    <w:rPr>
                      <w:rFonts w:asciiTheme="minorHAnsi" w:hAnsiTheme="minorHAnsi" w:cstheme="minorHAnsi"/>
                      <w:b/>
                      <w:bCs/>
                      <w:sz w:val="18"/>
                      <w:szCs w:val="18"/>
                      <w:lang w:val="en-GB"/>
                    </w:rPr>
                    <w:t>Total registered, out of them:</w:t>
                  </w:r>
                </w:p>
              </w:tc>
              <w:tc>
                <w:tcPr>
                  <w:tcW w:w="668" w:type="dxa"/>
                  <w:tcBorders>
                    <w:top w:val="single" w:sz="4" w:space="0" w:color="auto"/>
                    <w:left w:val="nil"/>
                    <w:bottom w:val="single" w:sz="4" w:space="0" w:color="auto"/>
                    <w:right w:val="single" w:sz="4" w:space="0" w:color="auto"/>
                  </w:tcBorders>
                  <w:shd w:val="clear" w:color="auto" w:fill="auto"/>
                  <w:noWrap/>
                  <w:tcMar>
                    <w:left w:w="57" w:type="dxa"/>
                    <w:right w:w="57" w:type="dxa"/>
                  </w:tcMar>
                  <w:hideMark/>
                </w:tcPr>
                <w:p w14:paraId="2A3533A4" w14:textId="102311DF" w:rsidR="00575754" w:rsidRPr="002831B7" w:rsidRDefault="00575754" w:rsidP="002831B7">
                  <w:pPr>
                    <w:spacing w:after="0"/>
                    <w:jc w:val="both"/>
                    <w:rPr>
                      <w:rFonts w:asciiTheme="minorHAnsi" w:hAnsiTheme="minorHAnsi" w:cstheme="minorHAnsi"/>
                      <w:b/>
                      <w:bCs/>
                      <w:sz w:val="18"/>
                      <w:szCs w:val="18"/>
                      <w:lang w:val="en-GB"/>
                    </w:rPr>
                  </w:pPr>
                  <w:r w:rsidRPr="002831B7">
                    <w:rPr>
                      <w:rFonts w:asciiTheme="minorHAnsi" w:hAnsiTheme="minorHAnsi" w:cstheme="minorHAnsi"/>
                      <w:b/>
                      <w:bCs/>
                      <w:sz w:val="18"/>
                      <w:szCs w:val="18"/>
                      <w:lang w:val="en-GB"/>
                    </w:rPr>
                    <w:t>1</w:t>
                  </w:r>
                  <w:r w:rsidR="002831B7">
                    <w:rPr>
                      <w:rFonts w:asciiTheme="minorHAnsi" w:hAnsiTheme="minorHAnsi" w:cstheme="minorHAnsi"/>
                      <w:b/>
                      <w:bCs/>
                      <w:sz w:val="18"/>
                      <w:szCs w:val="18"/>
                      <w:lang w:val="en-GB"/>
                    </w:rPr>
                    <w:t>,</w:t>
                  </w:r>
                  <w:r w:rsidRPr="002831B7">
                    <w:rPr>
                      <w:rFonts w:asciiTheme="minorHAnsi" w:hAnsiTheme="minorHAnsi" w:cstheme="minorHAnsi"/>
                      <w:b/>
                      <w:bCs/>
                      <w:sz w:val="18"/>
                      <w:szCs w:val="18"/>
                      <w:lang w:val="en-GB"/>
                    </w:rPr>
                    <w:t>530</w:t>
                  </w:r>
                </w:p>
              </w:tc>
              <w:tc>
                <w:tcPr>
                  <w:tcW w:w="678" w:type="dxa"/>
                  <w:tcBorders>
                    <w:top w:val="single" w:sz="4" w:space="0" w:color="auto"/>
                    <w:left w:val="nil"/>
                    <w:bottom w:val="single" w:sz="4" w:space="0" w:color="auto"/>
                    <w:right w:val="single" w:sz="4" w:space="0" w:color="auto"/>
                  </w:tcBorders>
                  <w:shd w:val="clear" w:color="auto" w:fill="auto"/>
                  <w:noWrap/>
                  <w:tcMar>
                    <w:left w:w="57" w:type="dxa"/>
                    <w:right w:w="57" w:type="dxa"/>
                  </w:tcMar>
                  <w:hideMark/>
                </w:tcPr>
                <w:p w14:paraId="560AEA87" w14:textId="529D355B" w:rsidR="00575754" w:rsidRPr="002831B7" w:rsidRDefault="00575754" w:rsidP="002831B7">
                  <w:pPr>
                    <w:spacing w:after="0"/>
                    <w:jc w:val="both"/>
                    <w:rPr>
                      <w:rFonts w:asciiTheme="minorHAnsi" w:hAnsiTheme="minorHAnsi" w:cstheme="minorHAnsi"/>
                      <w:b/>
                      <w:bCs/>
                      <w:sz w:val="18"/>
                      <w:szCs w:val="18"/>
                      <w:lang w:val="en-GB"/>
                    </w:rPr>
                  </w:pPr>
                  <w:r w:rsidRPr="002831B7">
                    <w:rPr>
                      <w:rFonts w:asciiTheme="minorHAnsi" w:hAnsiTheme="minorHAnsi" w:cstheme="minorHAnsi"/>
                      <w:b/>
                      <w:bCs/>
                      <w:sz w:val="18"/>
                      <w:szCs w:val="18"/>
                      <w:lang w:val="en-GB"/>
                    </w:rPr>
                    <w:t>1</w:t>
                  </w:r>
                  <w:r w:rsidR="002831B7">
                    <w:rPr>
                      <w:rFonts w:asciiTheme="minorHAnsi" w:hAnsiTheme="minorHAnsi" w:cstheme="minorHAnsi"/>
                      <w:b/>
                      <w:bCs/>
                      <w:sz w:val="18"/>
                      <w:szCs w:val="18"/>
                      <w:lang w:val="en-GB"/>
                    </w:rPr>
                    <w:t>,</w:t>
                  </w:r>
                  <w:r w:rsidRPr="002831B7">
                    <w:rPr>
                      <w:rFonts w:asciiTheme="minorHAnsi" w:hAnsiTheme="minorHAnsi" w:cstheme="minorHAnsi"/>
                      <w:b/>
                      <w:bCs/>
                      <w:sz w:val="18"/>
                      <w:szCs w:val="18"/>
                      <w:lang w:val="en-GB"/>
                    </w:rPr>
                    <w:t>701</w:t>
                  </w:r>
                </w:p>
              </w:tc>
              <w:tc>
                <w:tcPr>
                  <w:tcW w:w="665" w:type="dxa"/>
                  <w:tcBorders>
                    <w:top w:val="single" w:sz="4" w:space="0" w:color="auto"/>
                    <w:left w:val="nil"/>
                    <w:bottom w:val="single" w:sz="4" w:space="0" w:color="auto"/>
                    <w:right w:val="single" w:sz="4" w:space="0" w:color="auto"/>
                  </w:tcBorders>
                  <w:noWrap/>
                  <w:tcMar>
                    <w:left w:w="57" w:type="dxa"/>
                    <w:right w:w="57" w:type="dxa"/>
                  </w:tcMar>
                  <w:hideMark/>
                </w:tcPr>
                <w:p w14:paraId="7BD40F9C" w14:textId="3E8C8361" w:rsidR="00575754" w:rsidRPr="002831B7" w:rsidRDefault="00575754" w:rsidP="002831B7">
                  <w:pPr>
                    <w:spacing w:after="0"/>
                    <w:jc w:val="both"/>
                    <w:rPr>
                      <w:rFonts w:asciiTheme="minorHAnsi" w:hAnsiTheme="minorHAnsi" w:cstheme="minorHAnsi"/>
                      <w:b/>
                      <w:bCs/>
                      <w:sz w:val="18"/>
                      <w:szCs w:val="18"/>
                      <w:lang w:val="en-GB"/>
                    </w:rPr>
                  </w:pPr>
                  <w:r w:rsidRPr="002831B7">
                    <w:rPr>
                      <w:rFonts w:asciiTheme="minorHAnsi" w:hAnsiTheme="minorHAnsi" w:cstheme="minorHAnsi"/>
                      <w:b/>
                      <w:bCs/>
                      <w:sz w:val="18"/>
                      <w:szCs w:val="18"/>
                      <w:lang w:val="en-GB"/>
                    </w:rPr>
                    <w:t>1</w:t>
                  </w:r>
                  <w:r w:rsidR="002831B7">
                    <w:rPr>
                      <w:rFonts w:asciiTheme="minorHAnsi" w:hAnsiTheme="minorHAnsi" w:cstheme="minorHAnsi"/>
                      <w:b/>
                      <w:bCs/>
                      <w:sz w:val="18"/>
                      <w:szCs w:val="18"/>
                      <w:lang w:val="en-GB"/>
                    </w:rPr>
                    <w:t>,</w:t>
                  </w:r>
                  <w:r w:rsidRPr="002831B7">
                    <w:rPr>
                      <w:rFonts w:asciiTheme="minorHAnsi" w:hAnsiTheme="minorHAnsi" w:cstheme="minorHAnsi"/>
                      <w:b/>
                      <w:bCs/>
                      <w:sz w:val="18"/>
                      <w:szCs w:val="18"/>
                      <w:lang w:val="en-GB"/>
                    </w:rPr>
                    <w:t>727</w:t>
                  </w:r>
                </w:p>
              </w:tc>
              <w:tc>
                <w:tcPr>
                  <w:tcW w:w="668" w:type="dxa"/>
                  <w:tcBorders>
                    <w:top w:val="single" w:sz="4" w:space="0" w:color="auto"/>
                    <w:left w:val="nil"/>
                    <w:bottom w:val="single" w:sz="4" w:space="0" w:color="auto"/>
                    <w:right w:val="single" w:sz="4" w:space="0" w:color="auto"/>
                  </w:tcBorders>
                  <w:noWrap/>
                  <w:tcMar>
                    <w:left w:w="57" w:type="dxa"/>
                    <w:right w:w="57" w:type="dxa"/>
                  </w:tcMar>
                  <w:hideMark/>
                </w:tcPr>
                <w:p w14:paraId="1167DA52" w14:textId="5CE66F89" w:rsidR="00575754" w:rsidRPr="002831B7" w:rsidRDefault="00575754" w:rsidP="002831B7">
                  <w:pPr>
                    <w:spacing w:after="0"/>
                    <w:jc w:val="both"/>
                    <w:rPr>
                      <w:rFonts w:asciiTheme="minorHAnsi" w:hAnsiTheme="minorHAnsi" w:cstheme="minorHAnsi"/>
                      <w:b/>
                      <w:bCs/>
                      <w:sz w:val="18"/>
                      <w:szCs w:val="18"/>
                      <w:lang w:val="en-GB"/>
                    </w:rPr>
                  </w:pPr>
                  <w:r w:rsidRPr="002831B7">
                    <w:rPr>
                      <w:rFonts w:asciiTheme="minorHAnsi" w:hAnsiTheme="minorHAnsi" w:cstheme="minorHAnsi"/>
                      <w:b/>
                      <w:bCs/>
                      <w:sz w:val="18"/>
                      <w:szCs w:val="18"/>
                      <w:lang w:val="en-GB"/>
                    </w:rPr>
                    <w:t>1</w:t>
                  </w:r>
                  <w:r w:rsidR="00AD0F05">
                    <w:rPr>
                      <w:rFonts w:asciiTheme="minorHAnsi" w:hAnsiTheme="minorHAnsi" w:cstheme="minorHAnsi"/>
                      <w:b/>
                      <w:bCs/>
                      <w:sz w:val="18"/>
                      <w:szCs w:val="18"/>
                      <w:lang w:val="en-GB"/>
                    </w:rPr>
                    <w:t>,</w:t>
                  </w:r>
                  <w:r w:rsidRPr="002831B7">
                    <w:rPr>
                      <w:rFonts w:asciiTheme="minorHAnsi" w:hAnsiTheme="minorHAnsi" w:cstheme="minorHAnsi"/>
                      <w:b/>
                      <w:bCs/>
                      <w:sz w:val="18"/>
                      <w:szCs w:val="18"/>
                      <w:lang w:val="en-GB"/>
                    </w:rPr>
                    <w:t>753</w:t>
                  </w:r>
                </w:p>
              </w:tc>
              <w:tc>
                <w:tcPr>
                  <w:tcW w:w="697" w:type="dxa"/>
                  <w:tcBorders>
                    <w:top w:val="single" w:sz="4" w:space="0" w:color="auto"/>
                    <w:left w:val="nil"/>
                    <w:bottom w:val="single" w:sz="4" w:space="0" w:color="auto"/>
                    <w:right w:val="nil"/>
                  </w:tcBorders>
                  <w:noWrap/>
                  <w:tcMar>
                    <w:left w:w="57" w:type="dxa"/>
                    <w:right w:w="57" w:type="dxa"/>
                  </w:tcMar>
                  <w:hideMark/>
                </w:tcPr>
                <w:p w14:paraId="582F3F00" w14:textId="4362E44A" w:rsidR="00575754" w:rsidRPr="002831B7" w:rsidRDefault="00575754" w:rsidP="002831B7">
                  <w:pPr>
                    <w:spacing w:after="0"/>
                    <w:jc w:val="both"/>
                    <w:rPr>
                      <w:rFonts w:asciiTheme="minorHAnsi" w:hAnsiTheme="minorHAnsi" w:cstheme="minorHAnsi"/>
                      <w:b/>
                      <w:bCs/>
                      <w:sz w:val="18"/>
                      <w:szCs w:val="18"/>
                      <w:lang w:val="en-GB"/>
                    </w:rPr>
                  </w:pPr>
                  <w:r w:rsidRPr="002831B7">
                    <w:rPr>
                      <w:rFonts w:asciiTheme="minorHAnsi" w:hAnsiTheme="minorHAnsi" w:cstheme="minorHAnsi"/>
                      <w:b/>
                      <w:bCs/>
                      <w:sz w:val="18"/>
                      <w:szCs w:val="18"/>
                      <w:lang w:val="en-GB"/>
                    </w:rPr>
                    <w:t>1</w:t>
                  </w:r>
                  <w:r w:rsidR="00AD0F05">
                    <w:rPr>
                      <w:rFonts w:asciiTheme="minorHAnsi" w:hAnsiTheme="minorHAnsi" w:cstheme="minorHAnsi"/>
                      <w:b/>
                      <w:bCs/>
                      <w:sz w:val="18"/>
                      <w:szCs w:val="18"/>
                      <w:lang w:val="en-GB"/>
                    </w:rPr>
                    <w:t>,</w:t>
                  </w:r>
                  <w:r w:rsidRPr="002831B7">
                    <w:rPr>
                      <w:rFonts w:asciiTheme="minorHAnsi" w:hAnsiTheme="minorHAnsi" w:cstheme="minorHAnsi"/>
                      <w:b/>
                      <w:bCs/>
                      <w:sz w:val="18"/>
                      <w:szCs w:val="18"/>
                      <w:lang w:val="en-GB"/>
                    </w:rPr>
                    <w:t>778</w:t>
                  </w:r>
                </w:p>
              </w:tc>
              <w:tc>
                <w:tcPr>
                  <w:tcW w:w="100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790BA38" w14:textId="7D3FEA4F" w:rsidR="00575754" w:rsidRPr="002831B7" w:rsidRDefault="00575754" w:rsidP="002831B7">
                  <w:pPr>
                    <w:spacing w:after="0"/>
                    <w:jc w:val="both"/>
                    <w:rPr>
                      <w:rFonts w:asciiTheme="minorHAnsi" w:hAnsiTheme="minorHAnsi" w:cstheme="minorHAnsi"/>
                      <w:b/>
                      <w:sz w:val="18"/>
                      <w:szCs w:val="18"/>
                      <w:lang w:val="en-GB"/>
                    </w:rPr>
                  </w:pPr>
                  <w:r w:rsidRPr="002831B7">
                    <w:rPr>
                      <w:rFonts w:asciiTheme="minorHAnsi" w:hAnsiTheme="minorHAnsi" w:cstheme="minorHAnsi"/>
                      <w:b/>
                      <w:sz w:val="18"/>
                      <w:szCs w:val="18"/>
                      <w:lang w:val="en-GB"/>
                    </w:rPr>
                    <w:t>5</w:t>
                  </w:r>
                  <w:r w:rsidR="00AD0F05">
                    <w:rPr>
                      <w:rFonts w:asciiTheme="minorHAnsi" w:hAnsiTheme="minorHAnsi" w:cstheme="minorHAnsi"/>
                      <w:b/>
                      <w:sz w:val="18"/>
                      <w:szCs w:val="18"/>
                      <w:lang w:val="en-GB"/>
                    </w:rPr>
                    <w:t>,</w:t>
                  </w:r>
                  <w:r w:rsidRPr="002831B7">
                    <w:rPr>
                      <w:rFonts w:asciiTheme="minorHAnsi" w:hAnsiTheme="minorHAnsi" w:cstheme="minorHAnsi"/>
                      <w:b/>
                      <w:sz w:val="18"/>
                      <w:szCs w:val="18"/>
                      <w:lang w:val="en-GB"/>
                    </w:rPr>
                    <w:t>258</w:t>
                  </w:r>
                </w:p>
              </w:tc>
            </w:tr>
            <w:tr w:rsidR="00575754" w:rsidRPr="00575754" w14:paraId="2D11BC45" w14:textId="77777777" w:rsidTr="004A18A6">
              <w:trPr>
                <w:trHeight w:val="300"/>
              </w:trPr>
              <w:tc>
                <w:tcPr>
                  <w:tcW w:w="3668"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45AC1282" w14:textId="77777777" w:rsidR="00575754" w:rsidRPr="002831B7" w:rsidRDefault="00575754" w:rsidP="002831B7">
                  <w:pPr>
                    <w:spacing w:after="0"/>
                    <w:ind w:right="-86"/>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 xml:space="preserve">First time detected as MDR/XDR-TB  </w:t>
                  </w:r>
                </w:p>
              </w:tc>
              <w:tc>
                <w:tcPr>
                  <w:tcW w:w="668" w:type="dxa"/>
                  <w:tcBorders>
                    <w:top w:val="nil"/>
                    <w:left w:val="nil"/>
                    <w:bottom w:val="single" w:sz="4" w:space="0" w:color="auto"/>
                    <w:right w:val="single" w:sz="4" w:space="0" w:color="auto"/>
                  </w:tcBorders>
                  <w:shd w:val="clear" w:color="auto" w:fill="auto"/>
                  <w:noWrap/>
                  <w:tcMar>
                    <w:left w:w="57" w:type="dxa"/>
                    <w:right w:w="57" w:type="dxa"/>
                  </w:tcMar>
                  <w:hideMark/>
                </w:tcPr>
                <w:p w14:paraId="754EECD9" w14:textId="2C714E90"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1</w:t>
                  </w:r>
                  <w:r w:rsidR="002831B7">
                    <w:rPr>
                      <w:rFonts w:asciiTheme="minorHAnsi" w:hAnsiTheme="minorHAnsi" w:cstheme="minorHAnsi"/>
                      <w:sz w:val="18"/>
                      <w:szCs w:val="18"/>
                      <w:lang w:val="en-GB"/>
                    </w:rPr>
                    <w:t>,</w:t>
                  </w:r>
                  <w:r w:rsidRPr="002831B7">
                    <w:rPr>
                      <w:rFonts w:asciiTheme="minorHAnsi" w:hAnsiTheme="minorHAnsi" w:cstheme="minorHAnsi"/>
                      <w:sz w:val="18"/>
                      <w:szCs w:val="18"/>
                      <w:lang w:val="en-GB"/>
                    </w:rPr>
                    <w:t>230</w:t>
                  </w:r>
                </w:p>
              </w:tc>
              <w:tc>
                <w:tcPr>
                  <w:tcW w:w="678" w:type="dxa"/>
                  <w:tcBorders>
                    <w:top w:val="nil"/>
                    <w:left w:val="nil"/>
                    <w:bottom w:val="single" w:sz="4" w:space="0" w:color="auto"/>
                    <w:right w:val="single" w:sz="4" w:space="0" w:color="auto"/>
                  </w:tcBorders>
                  <w:shd w:val="clear" w:color="auto" w:fill="auto"/>
                  <w:noWrap/>
                  <w:tcMar>
                    <w:left w:w="57" w:type="dxa"/>
                    <w:right w:w="57" w:type="dxa"/>
                  </w:tcMar>
                  <w:hideMark/>
                </w:tcPr>
                <w:p w14:paraId="6FE1490D" w14:textId="7414B8E0"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1</w:t>
                  </w:r>
                  <w:r w:rsidR="002831B7">
                    <w:rPr>
                      <w:rFonts w:asciiTheme="minorHAnsi" w:hAnsiTheme="minorHAnsi" w:cstheme="minorHAnsi"/>
                      <w:sz w:val="18"/>
                      <w:szCs w:val="18"/>
                      <w:lang w:val="en-GB"/>
                    </w:rPr>
                    <w:t>,</w:t>
                  </w:r>
                  <w:r w:rsidRPr="002831B7">
                    <w:rPr>
                      <w:rFonts w:asciiTheme="minorHAnsi" w:hAnsiTheme="minorHAnsi" w:cstheme="minorHAnsi"/>
                      <w:sz w:val="18"/>
                      <w:szCs w:val="18"/>
                      <w:lang w:val="en-GB"/>
                    </w:rPr>
                    <w:t>431</w:t>
                  </w:r>
                </w:p>
              </w:tc>
              <w:tc>
                <w:tcPr>
                  <w:tcW w:w="665" w:type="dxa"/>
                  <w:tcBorders>
                    <w:top w:val="nil"/>
                    <w:left w:val="nil"/>
                    <w:bottom w:val="single" w:sz="4" w:space="0" w:color="auto"/>
                    <w:right w:val="single" w:sz="4" w:space="0" w:color="auto"/>
                  </w:tcBorders>
                  <w:noWrap/>
                  <w:tcMar>
                    <w:left w:w="57" w:type="dxa"/>
                    <w:right w:w="57" w:type="dxa"/>
                  </w:tcMar>
                  <w:hideMark/>
                </w:tcPr>
                <w:p w14:paraId="30BC5A41" w14:textId="2F98EDA4"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1</w:t>
                  </w:r>
                  <w:r w:rsidR="002831B7">
                    <w:rPr>
                      <w:rFonts w:asciiTheme="minorHAnsi" w:hAnsiTheme="minorHAnsi" w:cstheme="minorHAnsi"/>
                      <w:sz w:val="18"/>
                      <w:szCs w:val="18"/>
                      <w:lang w:val="en-GB"/>
                    </w:rPr>
                    <w:t>,</w:t>
                  </w:r>
                  <w:r w:rsidRPr="002831B7">
                    <w:rPr>
                      <w:rFonts w:asciiTheme="minorHAnsi" w:hAnsiTheme="minorHAnsi" w:cstheme="minorHAnsi"/>
                      <w:sz w:val="18"/>
                      <w:szCs w:val="18"/>
                      <w:lang w:val="en-GB"/>
                    </w:rPr>
                    <w:t>484</w:t>
                  </w:r>
                </w:p>
              </w:tc>
              <w:tc>
                <w:tcPr>
                  <w:tcW w:w="668" w:type="dxa"/>
                  <w:tcBorders>
                    <w:top w:val="nil"/>
                    <w:left w:val="nil"/>
                    <w:bottom w:val="single" w:sz="4" w:space="0" w:color="auto"/>
                    <w:right w:val="single" w:sz="4" w:space="0" w:color="auto"/>
                  </w:tcBorders>
                  <w:noWrap/>
                  <w:tcMar>
                    <w:left w:w="57" w:type="dxa"/>
                    <w:right w:w="57" w:type="dxa"/>
                  </w:tcMar>
                  <w:hideMark/>
                </w:tcPr>
                <w:p w14:paraId="44DF440F" w14:textId="0F51BB21"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1</w:t>
                  </w:r>
                  <w:r w:rsidR="00AD0F05">
                    <w:rPr>
                      <w:rFonts w:asciiTheme="minorHAnsi" w:hAnsiTheme="minorHAnsi" w:cstheme="minorHAnsi"/>
                      <w:sz w:val="18"/>
                      <w:szCs w:val="18"/>
                      <w:lang w:val="en-GB"/>
                    </w:rPr>
                    <w:t>,</w:t>
                  </w:r>
                  <w:r w:rsidRPr="002831B7">
                    <w:rPr>
                      <w:rFonts w:asciiTheme="minorHAnsi" w:hAnsiTheme="minorHAnsi" w:cstheme="minorHAnsi"/>
                      <w:sz w:val="18"/>
                      <w:szCs w:val="18"/>
                      <w:lang w:val="en-GB"/>
                    </w:rPr>
                    <w:t>534</w:t>
                  </w:r>
                </w:p>
              </w:tc>
              <w:tc>
                <w:tcPr>
                  <w:tcW w:w="697" w:type="dxa"/>
                  <w:tcBorders>
                    <w:top w:val="nil"/>
                    <w:left w:val="nil"/>
                    <w:bottom w:val="single" w:sz="4" w:space="0" w:color="auto"/>
                    <w:right w:val="single" w:sz="4" w:space="0" w:color="auto"/>
                  </w:tcBorders>
                  <w:noWrap/>
                  <w:tcMar>
                    <w:left w:w="57" w:type="dxa"/>
                    <w:right w:w="57" w:type="dxa"/>
                  </w:tcMar>
                  <w:hideMark/>
                </w:tcPr>
                <w:p w14:paraId="4442C220" w14:textId="43DCB73C"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1</w:t>
                  </w:r>
                  <w:r w:rsidR="00AD0F05">
                    <w:rPr>
                      <w:rFonts w:asciiTheme="minorHAnsi" w:hAnsiTheme="minorHAnsi" w:cstheme="minorHAnsi"/>
                      <w:sz w:val="18"/>
                      <w:szCs w:val="18"/>
                      <w:lang w:val="en-GB"/>
                    </w:rPr>
                    <w:t>,</w:t>
                  </w:r>
                  <w:r w:rsidRPr="002831B7">
                    <w:rPr>
                      <w:rFonts w:asciiTheme="minorHAnsi" w:hAnsiTheme="minorHAnsi" w:cstheme="minorHAnsi"/>
                      <w:sz w:val="18"/>
                      <w:szCs w:val="18"/>
                      <w:lang w:val="en-GB"/>
                    </w:rPr>
                    <w:t>571</w:t>
                  </w:r>
                </w:p>
              </w:tc>
              <w:tc>
                <w:tcPr>
                  <w:tcW w:w="1002" w:type="dxa"/>
                  <w:tcBorders>
                    <w:top w:val="nil"/>
                    <w:left w:val="nil"/>
                    <w:bottom w:val="single" w:sz="4" w:space="0" w:color="auto"/>
                    <w:right w:val="single" w:sz="4" w:space="0" w:color="auto"/>
                  </w:tcBorders>
                  <w:noWrap/>
                  <w:tcMar>
                    <w:left w:w="57" w:type="dxa"/>
                    <w:right w:w="57" w:type="dxa"/>
                  </w:tcMar>
                  <w:hideMark/>
                </w:tcPr>
                <w:p w14:paraId="501E14D3" w14:textId="180CE51E"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4</w:t>
                  </w:r>
                  <w:r w:rsidR="00AD0F05">
                    <w:rPr>
                      <w:rFonts w:asciiTheme="minorHAnsi" w:hAnsiTheme="minorHAnsi" w:cstheme="minorHAnsi"/>
                      <w:sz w:val="18"/>
                      <w:szCs w:val="18"/>
                      <w:lang w:val="en-GB"/>
                    </w:rPr>
                    <w:t>,</w:t>
                  </w:r>
                  <w:r w:rsidRPr="002831B7">
                    <w:rPr>
                      <w:rFonts w:asciiTheme="minorHAnsi" w:hAnsiTheme="minorHAnsi" w:cstheme="minorHAnsi"/>
                      <w:sz w:val="18"/>
                      <w:szCs w:val="18"/>
                      <w:lang w:val="en-GB"/>
                    </w:rPr>
                    <w:t>589</w:t>
                  </w:r>
                </w:p>
              </w:tc>
            </w:tr>
            <w:tr w:rsidR="00575754" w:rsidRPr="00575754" w14:paraId="3DF3EE46" w14:textId="77777777" w:rsidTr="004A18A6">
              <w:trPr>
                <w:trHeight w:val="300"/>
              </w:trPr>
              <w:tc>
                <w:tcPr>
                  <w:tcW w:w="3668"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1C705FD6"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Detected earlier (due to failed treatment, lost for follow up)</w:t>
                  </w:r>
                </w:p>
              </w:tc>
              <w:tc>
                <w:tcPr>
                  <w:tcW w:w="668" w:type="dxa"/>
                  <w:tcBorders>
                    <w:top w:val="nil"/>
                    <w:left w:val="nil"/>
                    <w:bottom w:val="single" w:sz="4" w:space="0" w:color="auto"/>
                    <w:right w:val="single" w:sz="4" w:space="0" w:color="auto"/>
                  </w:tcBorders>
                  <w:shd w:val="clear" w:color="auto" w:fill="auto"/>
                  <w:noWrap/>
                  <w:tcMar>
                    <w:left w:w="57" w:type="dxa"/>
                    <w:right w:w="57" w:type="dxa"/>
                  </w:tcMar>
                  <w:hideMark/>
                </w:tcPr>
                <w:p w14:paraId="1E195422"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300</w:t>
                  </w:r>
                </w:p>
              </w:tc>
              <w:tc>
                <w:tcPr>
                  <w:tcW w:w="678" w:type="dxa"/>
                  <w:tcBorders>
                    <w:top w:val="nil"/>
                    <w:left w:val="nil"/>
                    <w:bottom w:val="single" w:sz="4" w:space="0" w:color="auto"/>
                    <w:right w:val="single" w:sz="4" w:space="0" w:color="auto"/>
                  </w:tcBorders>
                  <w:shd w:val="clear" w:color="auto" w:fill="auto"/>
                  <w:noWrap/>
                  <w:tcMar>
                    <w:left w:w="57" w:type="dxa"/>
                    <w:right w:w="57" w:type="dxa"/>
                  </w:tcMar>
                  <w:hideMark/>
                </w:tcPr>
                <w:p w14:paraId="4CBD6974"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270</w:t>
                  </w:r>
                </w:p>
              </w:tc>
              <w:tc>
                <w:tcPr>
                  <w:tcW w:w="665" w:type="dxa"/>
                  <w:tcBorders>
                    <w:top w:val="nil"/>
                    <w:left w:val="nil"/>
                    <w:bottom w:val="single" w:sz="4" w:space="0" w:color="auto"/>
                    <w:right w:val="single" w:sz="4" w:space="0" w:color="auto"/>
                  </w:tcBorders>
                  <w:noWrap/>
                  <w:tcMar>
                    <w:left w:w="57" w:type="dxa"/>
                    <w:right w:w="57" w:type="dxa"/>
                  </w:tcMar>
                  <w:hideMark/>
                </w:tcPr>
                <w:p w14:paraId="19835D76"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243</w:t>
                  </w:r>
                </w:p>
              </w:tc>
              <w:tc>
                <w:tcPr>
                  <w:tcW w:w="668" w:type="dxa"/>
                  <w:tcBorders>
                    <w:top w:val="nil"/>
                    <w:left w:val="nil"/>
                    <w:bottom w:val="single" w:sz="4" w:space="0" w:color="auto"/>
                    <w:right w:val="single" w:sz="4" w:space="0" w:color="auto"/>
                  </w:tcBorders>
                  <w:noWrap/>
                  <w:tcMar>
                    <w:left w:w="57" w:type="dxa"/>
                    <w:right w:w="57" w:type="dxa"/>
                  </w:tcMar>
                  <w:hideMark/>
                </w:tcPr>
                <w:p w14:paraId="5FA534EF"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219</w:t>
                  </w:r>
                </w:p>
              </w:tc>
              <w:tc>
                <w:tcPr>
                  <w:tcW w:w="697" w:type="dxa"/>
                  <w:tcBorders>
                    <w:top w:val="nil"/>
                    <w:left w:val="nil"/>
                    <w:bottom w:val="single" w:sz="4" w:space="0" w:color="auto"/>
                    <w:right w:val="single" w:sz="4" w:space="0" w:color="auto"/>
                  </w:tcBorders>
                  <w:noWrap/>
                  <w:tcMar>
                    <w:left w:w="57" w:type="dxa"/>
                    <w:right w:w="57" w:type="dxa"/>
                  </w:tcMar>
                  <w:hideMark/>
                </w:tcPr>
                <w:p w14:paraId="5FEC9016"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207</w:t>
                  </w:r>
                </w:p>
              </w:tc>
              <w:tc>
                <w:tcPr>
                  <w:tcW w:w="1002" w:type="dxa"/>
                  <w:tcBorders>
                    <w:top w:val="nil"/>
                    <w:left w:val="nil"/>
                    <w:bottom w:val="single" w:sz="4" w:space="0" w:color="auto"/>
                    <w:right w:val="single" w:sz="4" w:space="0" w:color="auto"/>
                  </w:tcBorders>
                  <w:noWrap/>
                  <w:tcMar>
                    <w:left w:w="57" w:type="dxa"/>
                    <w:right w:w="57" w:type="dxa"/>
                  </w:tcMar>
                  <w:hideMark/>
                </w:tcPr>
                <w:p w14:paraId="11607EFA"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669</w:t>
                  </w:r>
                </w:p>
              </w:tc>
            </w:tr>
            <w:tr w:rsidR="00575754" w:rsidRPr="00575754" w14:paraId="521B3192" w14:textId="77777777" w:rsidTr="004A18A6">
              <w:trPr>
                <w:trHeight w:val="300"/>
              </w:trPr>
              <w:tc>
                <w:tcPr>
                  <w:tcW w:w="3668" w:type="dxa"/>
                  <w:gridSpan w:val="2"/>
                  <w:tcBorders>
                    <w:top w:val="single" w:sz="4" w:space="0" w:color="auto"/>
                    <w:left w:val="single" w:sz="4" w:space="0" w:color="auto"/>
                    <w:bottom w:val="single" w:sz="4" w:space="0" w:color="auto"/>
                    <w:right w:val="single" w:sz="4" w:space="0" w:color="auto"/>
                  </w:tcBorders>
                  <w:shd w:val="clear" w:color="auto" w:fill="F2DCDB"/>
                  <w:noWrap/>
                  <w:tcMar>
                    <w:left w:w="57" w:type="dxa"/>
                    <w:right w:w="57" w:type="dxa"/>
                  </w:tcMar>
                  <w:hideMark/>
                </w:tcPr>
                <w:p w14:paraId="5208C8C6"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 xml:space="preserve">Expected cases for treatment- MDR/XDR-TB </w:t>
                  </w:r>
                </w:p>
              </w:tc>
              <w:tc>
                <w:tcPr>
                  <w:tcW w:w="668" w:type="dxa"/>
                  <w:tcBorders>
                    <w:top w:val="nil"/>
                    <w:left w:val="nil"/>
                    <w:bottom w:val="single" w:sz="4" w:space="0" w:color="auto"/>
                    <w:right w:val="single" w:sz="4" w:space="0" w:color="auto"/>
                  </w:tcBorders>
                  <w:shd w:val="clear" w:color="auto" w:fill="auto"/>
                  <w:noWrap/>
                  <w:tcMar>
                    <w:left w:w="57" w:type="dxa"/>
                    <w:right w:w="57" w:type="dxa"/>
                  </w:tcMar>
                  <w:hideMark/>
                </w:tcPr>
                <w:p w14:paraId="360B2980" w14:textId="11DFA6C8"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1</w:t>
                  </w:r>
                  <w:r w:rsidR="002831B7">
                    <w:rPr>
                      <w:rFonts w:asciiTheme="minorHAnsi" w:hAnsiTheme="minorHAnsi" w:cstheme="minorHAnsi"/>
                      <w:sz w:val="18"/>
                      <w:szCs w:val="18"/>
                      <w:lang w:val="en-GB"/>
                    </w:rPr>
                    <w:t>,</w:t>
                  </w:r>
                  <w:r w:rsidRPr="002831B7">
                    <w:rPr>
                      <w:rFonts w:asciiTheme="minorHAnsi" w:hAnsiTheme="minorHAnsi" w:cstheme="minorHAnsi"/>
                      <w:sz w:val="18"/>
                      <w:szCs w:val="18"/>
                      <w:lang w:val="en-GB"/>
                    </w:rPr>
                    <w:t>440</w:t>
                  </w:r>
                </w:p>
              </w:tc>
              <w:tc>
                <w:tcPr>
                  <w:tcW w:w="678" w:type="dxa"/>
                  <w:tcBorders>
                    <w:top w:val="nil"/>
                    <w:left w:val="nil"/>
                    <w:bottom w:val="single" w:sz="4" w:space="0" w:color="auto"/>
                    <w:right w:val="single" w:sz="4" w:space="0" w:color="auto"/>
                  </w:tcBorders>
                  <w:shd w:val="clear" w:color="auto" w:fill="auto"/>
                  <w:noWrap/>
                  <w:tcMar>
                    <w:left w:w="57" w:type="dxa"/>
                    <w:right w:w="57" w:type="dxa"/>
                  </w:tcMar>
                  <w:hideMark/>
                </w:tcPr>
                <w:p w14:paraId="6543D79C" w14:textId="5A055AE4"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1</w:t>
                  </w:r>
                  <w:r w:rsidR="002831B7">
                    <w:rPr>
                      <w:rFonts w:asciiTheme="minorHAnsi" w:hAnsiTheme="minorHAnsi" w:cstheme="minorHAnsi"/>
                      <w:sz w:val="18"/>
                      <w:szCs w:val="18"/>
                      <w:lang w:val="en-GB"/>
                    </w:rPr>
                    <w:t>,</w:t>
                  </w:r>
                  <w:r w:rsidRPr="002831B7">
                    <w:rPr>
                      <w:rFonts w:asciiTheme="minorHAnsi" w:hAnsiTheme="minorHAnsi" w:cstheme="minorHAnsi"/>
                      <w:sz w:val="18"/>
                      <w:szCs w:val="18"/>
                      <w:lang w:val="en-GB"/>
                    </w:rPr>
                    <w:t>480</w:t>
                  </w:r>
                </w:p>
              </w:tc>
              <w:tc>
                <w:tcPr>
                  <w:tcW w:w="665" w:type="dxa"/>
                  <w:tcBorders>
                    <w:top w:val="nil"/>
                    <w:left w:val="nil"/>
                    <w:bottom w:val="single" w:sz="4" w:space="0" w:color="auto"/>
                    <w:right w:val="single" w:sz="4" w:space="0" w:color="auto"/>
                  </w:tcBorders>
                  <w:shd w:val="clear" w:color="auto" w:fill="F2DCDB"/>
                  <w:noWrap/>
                  <w:tcMar>
                    <w:left w:w="57" w:type="dxa"/>
                    <w:right w:w="57" w:type="dxa"/>
                  </w:tcMar>
                  <w:hideMark/>
                </w:tcPr>
                <w:p w14:paraId="76B359C7" w14:textId="18E17869"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1</w:t>
                  </w:r>
                  <w:r w:rsidR="002831B7">
                    <w:rPr>
                      <w:rFonts w:asciiTheme="minorHAnsi" w:hAnsiTheme="minorHAnsi" w:cstheme="minorHAnsi"/>
                      <w:sz w:val="18"/>
                      <w:szCs w:val="18"/>
                      <w:lang w:val="en-GB"/>
                    </w:rPr>
                    <w:t>,</w:t>
                  </w:r>
                  <w:r w:rsidRPr="002831B7">
                    <w:rPr>
                      <w:rFonts w:asciiTheme="minorHAnsi" w:hAnsiTheme="minorHAnsi" w:cstheme="minorHAnsi"/>
                      <w:sz w:val="18"/>
                      <w:szCs w:val="18"/>
                      <w:lang w:val="en-GB"/>
                    </w:rPr>
                    <w:t>520</w:t>
                  </w:r>
                </w:p>
              </w:tc>
              <w:tc>
                <w:tcPr>
                  <w:tcW w:w="668" w:type="dxa"/>
                  <w:tcBorders>
                    <w:top w:val="nil"/>
                    <w:left w:val="nil"/>
                    <w:bottom w:val="single" w:sz="4" w:space="0" w:color="auto"/>
                    <w:right w:val="single" w:sz="4" w:space="0" w:color="auto"/>
                  </w:tcBorders>
                  <w:shd w:val="clear" w:color="auto" w:fill="F2DCDB"/>
                  <w:noWrap/>
                  <w:tcMar>
                    <w:left w:w="57" w:type="dxa"/>
                    <w:right w:w="57" w:type="dxa"/>
                  </w:tcMar>
                  <w:hideMark/>
                </w:tcPr>
                <w:p w14:paraId="59882CE4" w14:textId="4D84AB18"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1</w:t>
                  </w:r>
                  <w:r w:rsidR="00AD0F05">
                    <w:rPr>
                      <w:rFonts w:asciiTheme="minorHAnsi" w:hAnsiTheme="minorHAnsi" w:cstheme="minorHAnsi"/>
                      <w:sz w:val="18"/>
                      <w:szCs w:val="18"/>
                      <w:lang w:val="en-GB"/>
                    </w:rPr>
                    <w:t>,</w:t>
                  </w:r>
                  <w:r w:rsidRPr="002831B7">
                    <w:rPr>
                      <w:rFonts w:asciiTheme="minorHAnsi" w:hAnsiTheme="minorHAnsi" w:cstheme="minorHAnsi"/>
                      <w:sz w:val="18"/>
                      <w:szCs w:val="18"/>
                      <w:lang w:val="en-GB"/>
                    </w:rPr>
                    <w:t>560</w:t>
                  </w:r>
                </w:p>
              </w:tc>
              <w:tc>
                <w:tcPr>
                  <w:tcW w:w="697" w:type="dxa"/>
                  <w:tcBorders>
                    <w:top w:val="nil"/>
                    <w:left w:val="nil"/>
                    <w:bottom w:val="single" w:sz="4" w:space="0" w:color="auto"/>
                    <w:right w:val="nil"/>
                  </w:tcBorders>
                  <w:shd w:val="clear" w:color="auto" w:fill="F2DCDB"/>
                  <w:noWrap/>
                  <w:tcMar>
                    <w:left w:w="57" w:type="dxa"/>
                    <w:right w:w="57" w:type="dxa"/>
                  </w:tcMar>
                  <w:hideMark/>
                </w:tcPr>
                <w:p w14:paraId="582EFB92" w14:textId="056E5629"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1</w:t>
                  </w:r>
                  <w:r w:rsidR="00AD0F05">
                    <w:rPr>
                      <w:rFonts w:asciiTheme="minorHAnsi" w:hAnsiTheme="minorHAnsi" w:cstheme="minorHAnsi"/>
                      <w:sz w:val="18"/>
                      <w:szCs w:val="18"/>
                      <w:lang w:val="en-GB"/>
                    </w:rPr>
                    <w:t>,</w:t>
                  </w:r>
                  <w:r w:rsidRPr="002831B7">
                    <w:rPr>
                      <w:rFonts w:asciiTheme="minorHAnsi" w:hAnsiTheme="minorHAnsi" w:cstheme="minorHAnsi"/>
                      <w:sz w:val="18"/>
                      <w:szCs w:val="18"/>
                      <w:lang w:val="en-GB"/>
                    </w:rPr>
                    <w:t>600</w:t>
                  </w:r>
                </w:p>
              </w:tc>
              <w:tc>
                <w:tcPr>
                  <w:tcW w:w="1002" w:type="dxa"/>
                  <w:tcBorders>
                    <w:top w:val="nil"/>
                    <w:left w:val="single" w:sz="4" w:space="0" w:color="auto"/>
                    <w:bottom w:val="single" w:sz="4" w:space="0" w:color="auto"/>
                    <w:right w:val="single" w:sz="4" w:space="0" w:color="auto"/>
                  </w:tcBorders>
                  <w:shd w:val="clear" w:color="auto" w:fill="F2DCDB"/>
                  <w:noWrap/>
                  <w:tcMar>
                    <w:left w:w="57" w:type="dxa"/>
                    <w:right w:w="57" w:type="dxa"/>
                  </w:tcMar>
                  <w:hideMark/>
                </w:tcPr>
                <w:p w14:paraId="1D75FA97" w14:textId="41BE72A9"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4</w:t>
                  </w:r>
                  <w:r w:rsidR="00AD0F05">
                    <w:rPr>
                      <w:rFonts w:asciiTheme="minorHAnsi" w:hAnsiTheme="minorHAnsi" w:cstheme="minorHAnsi"/>
                      <w:sz w:val="18"/>
                      <w:szCs w:val="18"/>
                      <w:lang w:val="en-GB"/>
                    </w:rPr>
                    <w:t>,</w:t>
                  </w:r>
                  <w:r w:rsidRPr="002831B7">
                    <w:rPr>
                      <w:rFonts w:asciiTheme="minorHAnsi" w:hAnsiTheme="minorHAnsi" w:cstheme="minorHAnsi"/>
                      <w:sz w:val="18"/>
                      <w:szCs w:val="18"/>
                      <w:lang w:val="en-GB"/>
                    </w:rPr>
                    <w:t>680</w:t>
                  </w:r>
                </w:p>
              </w:tc>
            </w:tr>
            <w:tr w:rsidR="00575754" w:rsidRPr="00575754" w14:paraId="26D78077" w14:textId="77777777" w:rsidTr="004A18A6">
              <w:trPr>
                <w:trHeight w:val="300"/>
              </w:trPr>
              <w:tc>
                <w:tcPr>
                  <w:tcW w:w="3668" w:type="dxa"/>
                  <w:gridSpan w:val="2"/>
                  <w:tcBorders>
                    <w:top w:val="single" w:sz="4" w:space="0" w:color="auto"/>
                    <w:left w:val="single" w:sz="4" w:space="0" w:color="auto"/>
                    <w:bottom w:val="single" w:sz="4" w:space="0" w:color="auto"/>
                    <w:right w:val="single" w:sz="4" w:space="0" w:color="auto"/>
                  </w:tcBorders>
                  <w:shd w:val="clear" w:color="auto" w:fill="FDE9D9"/>
                  <w:noWrap/>
                  <w:tcMar>
                    <w:left w:w="57" w:type="dxa"/>
                    <w:right w:w="57" w:type="dxa"/>
                  </w:tcMar>
                  <w:hideMark/>
                </w:tcPr>
                <w:p w14:paraId="78498926"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 xml:space="preserve"> Out of them MDR-TB</w:t>
                  </w:r>
                </w:p>
              </w:tc>
              <w:tc>
                <w:tcPr>
                  <w:tcW w:w="668" w:type="dxa"/>
                  <w:tcBorders>
                    <w:top w:val="nil"/>
                    <w:left w:val="nil"/>
                    <w:bottom w:val="single" w:sz="4" w:space="0" w:color="auto"/>
                    <w:right w:val="single" w:sz="4" w:space="0" w:color="auto"/>
                  </w:tcBorders>
                  <w:shd w:val="clear" w:color="auto" w:fill="auto"/>
                  <w:noWrap/>
                  <w:tcMar>
                    <w:left w:w="57" w:type="dxa"/>
                    <w:right w:w="57" w:type="dxa"/>
                  </w:tcMar>
                  <w:hideMark/>
                </w:tcPr>
                <w:p w14:paraId="381F7236" w14:textId="4C0E1089"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1</w:t>
                  </w:r>
                  <w:r w:rsidR="002831B7">
                    <w:rPr>
                      <w:rFonts w:asciiTheme="minorHAnsi" w:hAnsiTheme="minorHAnsi" w:cstheme="minorHAnsi"/>
                      <w:sz w:val="18"/>
                      <w:szCs w:val="18"/>
                      <w:lang w:val="en-GB"/>
                    </w:rPr>
                    <w:t>,</w:t>
                  </w:r>
                  <w:r w:rsidRPr="002831B7">
                    <w:rPr>
                      <w:rFonts w:asciiTheme="minorHAnsi" w:hAnsiTheme="minorHAnsi" w:cstheme="minorHAnsi"/>
                      <w:sz w:val="18"/>
                      <w:szCs w:val="18"/>
                      <w:lang w:val="en-GB"/>
                    </w:rPr>
                    <w:t>300</w:t>
                  </w:r>
                </w:p>
              </w:tc>
              <w:tc>
                <w:tcPr>
                  <w:tcW w:w="678" w:type="dxa"/>
                  <w:shd w:val="clear" w:color="auto" w:fill="auto"/>
                  <w:noWrap/>
                  <w:tcMar>
                    <w:left w:w="57" w:type="dxa"/>
                    <w:right w:w="57" w:type="dxa"/>
                  </w:tcMar>
                  <w:hideMark/>
                </w:tcPr>
                <w:p w14:paraId="296D61C0" w14:textId="1A7CBDDD"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1</w:t>
                  </w:r>
                  <w:r w:rsidR="002831B7">
                    <w:rPr>
                      <w:rFonts w:asciiTheme="minorHAnsi" w:hAnsiTheme="minorHAnsi" w:cstheme="minorHAnsi"/>
                      <w:sz w:val="18"/>
                      <w:szCs w:val="18"/>
                      <w:lang w:val="en-GB"/>
                    </w:rPr>
                    <w:t>,</w:t>
                  </w:r>
                  <w:r w:rsidRPr="002831B7">
                    <w:rPr>
                      <w:rFonts w:asciiTheme="minorHAnsi" w:hAnsiTheme="minorHAnsi" w:cstheme="minorHAnsi"/>
                      <w:sz w:val="18"/>
                      <w:szCs w:val="18"/>
                      <w:lang w:val="en-GB"/>
                    </w:rPr>
                    <w:t>375</w:t>
                  </w:r>
                </w:p>
              </w:tc>
              <w:tc>
                <w:tcPr>
                  <w:tcW w:w="665" w:type="dxa"/>
                  <w:tcBorders>
                    <w:top w:val="nil"/>
                    <w:left w:val="single" w:sz="4" w:space="0" w:color="auto"/>
                    <w:bottom w:val="single" w:sz="4" w:space="0" w:color="auto"/>
                    <w:right w:val="single" w:sz="4" w:space="0" w:color="auto"/>
                  </w:tcBorders>
                  <w:shd w:val="clear" w:color="auto" w:fill="FDE9D9"/>
                  <w:noWrap/>
                  <w:tcMar>
                    <w:left w:w="57" w:type="dxa"/>
                    <w:right w:w="57" w:type="dxa"/>
                  </w:tcMar>
                  <w:hideMark/>
                </w:tcPr>
                <w:p w14:paraId="644BDE4F" w14:textId="1CD500BB"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1</w:t>
                  </w:r>
                  <w:r w:rsidR="002831B7">
                    <w:rPr>
                      <w:rFonts w:asciiTheme="minorHAnsi" w:hAnsiTheme="minorHAnsi" w:cstheme="minorHAnsi"/>
                      <w:sz w:val="18"/>
                      <w:szCs w:val="18"/>
                      <w:lang w:val="en-GB"/>
                    </w:rPr>
                    <w:t>,</w:t>
                  </w:r>
                  <w:r w:rsidRPr="002831B7">
                    <w:rPr>
                      <w:rFonts w:asciiTheme="minorHAnsi" w:hAnsiTheme="minorHAnsi" w:cstheme="minorHAnsi"/>
                      <w:sz w:val="18"/>
                      <w:szCs w:val="18"/>
                      <w:lang w:val="en-GB"/>
                    </w:rPr>
                    <w:t>410</w:t>
                  </w:r>
                </w:p>
              </w:tc>
              <w:tc>
                <w:tcPr>
                  <w:tcW w:w="668" w:type="dxa"/>
                  <w:tcBorders>
                    <w:top w:val="nil"/>
                    <w:left w:val="nil"/>
                    <w:bottom w:val="single" w:sz="4" w:space="0" w:color="auto"/>
                    <w:right w:val="single" w:sz="4" w:space="0" w:color="auto"/>
                  </w:tcBorders>
                  <w:shd w:val="clear" w:color="auto" w:fill="FDE9D9"/>
                  <w:noWrap/>
                  <w:tcMar>
                    <w:left w:w="57" w:type="dxa"/>
                    <w:right w:w="57" w:type="dxa"/>
                  </w:tcMar>
                  <w:hideMark/>
                </w:tcPr>
                <w:p w14:paraId="4D9C7B8D" w14:textId="75A483D8"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1</w:t>
                  </w:r>
                  <w:r w:rsidR="00AD0F05">
                    <w:rPr>
                      <w:rFonts w:asciiTheme="minorHAnsi" w:hAnsiTheme="minorHAnsi" w:cstheme="minorHAnsi"/>
                      <w:sz w:val="18"/>
                      <w:szCs w:val="18"/>
                      <w:lang w:val="en-GB"/>
                    </w:rPr>
                    <w:t>,</w:t>
                  </w:r>
                  <w:r w:rsidRPr="002831B7">
                    <w:rPr>
                      <w:rFonts w:asciiTheme="minorHAnsi" w:hAnsiTheme="minorHAnsi" w:cstheme="minorHAnsi"/>
                      <w:sz w:val="18"/>
                      <w:szCs w:val="18"/>
                      <w:lang w:val="en-GB"/>
                    </w:rPr>
                    <w:t>445</w:t>
                  </w:r>
                </w:p>
              </w:tc>
              <w:tc>
                <w:tcPr>
                  <w:tcW w:w="697" w:type="dxa"/>
                  <w:tcBorders>
                    <w:top w:val="nil"/>
                    <w:left w:val="nil"/>
                    <w:bottom w:val="single" w:sz="4" w:space="0" w:color="auto"/>
                    <w:right w:val="nil"/>
                  </w:tcBorders>
                  <w:shd w:val="clear" w:color="auto" w:fill="FDE9D9"/>
                  <w:noWrap/>
                  <w:tcMar>
                    <w:left w:w="57" w:type="dxa"/>
                    <w:right w:w="57" w:type="dxa"/>
                  </w:tcMar>
                  <w:hideMark/>
                </w:tcPr>
                <w:p w14:paraId="073CBDEC" w14:textId="74EC22CE"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1</w:t>
                  </w:r>
                  <w:r w:rsidR="00AD0F05">
                    <w:rPr>
                      <w:rFonts w:asciiTheme="minorHAnsi" w:hAnsiTheme="minorHAnsi" w:cstheme="minorHAnsi"/>
                      <w:sz w:val="18"/>
                      <w:szCs w:val="18"/>
                      <w:lang w:val="en-GB"/>
                    </w:rPr>
                    <w:t>,</w:t>
                  </w:r>
                  <w:r w:rsidRPr="002831B7">
                    <w:rPr>
                      <w:rFonts w:asciiTheme="minorHAnsi" w:hAnsiTheme="minorHAnsi" w:cstheme="minorHAnsi"/>
                      <w:sz w:val="18"/>
                      <w:szCs w:val="18"/>
                      <w:lang w:val="en-GB"/>
                    </w:rPr>
                    <w:t>480</w:t>
                  </w:r>
                </w:p>
              </w:tc>
              <w:tc>
                <w:tcPr>
                  <w:tcW w:w="1002" w:type="dxa"/>
                  <w:tcBorders>
                    <w:top w:val="nil"/>
                    <w:left w:val="single" w:sz="4" w:space="0" w:color="auto"/>
                    <w:bottom w:val="single" w:sz="4" w:space="0" w:color="auto"/>
                    <w:right w:val="single" w:sz="4" w:space="0" w:color="auto"/>
                  </w:tcBorders>
                  <w:shd w:val="clear" w:color="auto" w:fill="FDE9D9"/>
                  <w:noWrap/>
                  <w:tcMar>
                    <w:left w:w="57" w:type="dxa"/>
                    <w:right w:w="57" w:type="dxa"/>
                  </w:tcMar>
                  <w:hideMark/>
                </w:tcPr>
                <w:p w14:paraId="404EB737" w14:textId="4241912A"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4</w:t>
                  </w:r>
                  <w:r w:rsidR="00AD0F05">
                    <w:rPr>
                      <w:rFonts w:asciiTheme="minorHAnsi" w:hAnsiTheme="minorHAnsi" w:cstheme="minorHAnsi"/>
                      <w:sz w:val="18"/>
                      <w:szCs w:val="18"/>
                      <w:lang w:val="en-GB"/>
                    </w:rPr>
                    <w:t>,</w:t>
                  </w:r>
                  <w:r w:rsidRPr="002831B7">
                    <w:rPr>
                      <w:rFonts w:asciiTheme="minorHAnsi" w:hAnsiTheme="minorHAnsi" w:cstheme="minorHAnsi"/>
                      <w:sz w:val="18"/>
                      <w:szCs w:val="18"/>
                      <w:lang w:val="en-GB"/>
                    </w:rPr>
                    <w:t>335</w:t>
                  </w:r>
                </w:p>
              </w:tc>
            </w:tr>
            <w:tr w:rsidR="00575754" w:rsidRPr="00575754" w14:paraId="01BBE49D" w14:textId="77777777" w:rsidTr="004A18A6">
              <w:trPr>
                <w:trHeight w:val="300"/>
              </w:trPr>
              <w:tc>
                <w:tcPr>
                  <w:tcW w:w="950" w:type="dxa"/>
                  <w:vMerge w:val="restart"/>
                  <w:tcBorders>
                    <w:top w:val="nil"/>
                    <w:left w:val="single" w:sz="4" w:space="0" w:color="auto"/>
                    <w:bottom w:val="single" w:sz="4" w:space="0" w:color="auto"/>
                    <w:right w:val="single" w:sz="4" w:space="0" w:color="auto"/>
                  </w:tcBorders>
                  <w:noWrap/>
                  <w:tcMar>
                    <w:left w:w="57" w:type="dxa"/>
                    <w:right w:w="57" w:type="dxa"/>
                  </w:tcMar>
                  <w:hideMark/>
                </w:tcPr>
                <w:p w14:paraId="346813A6"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MDR</w:t>
                  </w:r>
                </w:p>
              </w:tc>
              <w:tc>
                <w:tcPr>
                  <w:tcW w:w="2718" w:type="dxa"/>
                  <w:tcBorders>
                    <w:top w:val="nil"/>
                    <w:left w:val="nil"/>
                    <w:bottom w:val="single" w:sz="4" w:space="0" w:color="auto"/>
                    <w:right w:val="single" w:sz="4" w:space="0" w:color="auto"/>
                  </w:tcBorders>
                  <w:noWrap/>
                  <w:tcMar>
                    <w:left w:w="57" w:type="dxa"/>
                    <w:right w:w="57" w:type="dxa"/>
                  </w:tcMar>
                  <w:hideMark/>
                </w:tcPr>
                <w:p w14:paraId="17C6868C"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 xml:space="preserve">18-20 </w:t>
                  </w:r>
                  <w:proofErr w:type="spellStart"/>
                  <w:r w:rsidRPr="002831B7">
                    <w:rPr>
                      <w:rFonts w:asciiTheme="minorHAnsi" w:hAnsiTheme="minorHAnsi" w:cstheme="minorHAnsi"/>
                      <w:sz w:val="18"/>
                      <w:szCs w:val="18"/>
                      <w:lang w:val="en-GB"/>
                    </w:rPr>
                    <w:t>Bdq</w:t>
                  </w:r>
                  <w:proofErr w:type="spellEnd"/>
                  <w:r w:rsidRPr="002831B7">
                    <w:rPr>
                      <w:rFonts w:asciiTheme="minorHAnsi" w:hAnsiTheme="minorHAnsi" w:cstheme="minorHAnsi"/>
                      <w:sz w:val="18"/>
                      <w:szCs w:val="18"/>
                      <w:lang w:val="en-GB"/>
                    </w:rPr>
                    <w:t xml:space="preserve"> </w:t>
                  </w:r>
                  <w:proofErr w:type="spellStart"/>
                  <w:proofErr w:type="gramStart"/>
                  <w:r w:rsidRPr="002831B7">
                    <w:rPr>
                      <w:rFonts w:asciiTheme="minorHAnsi" w:hAnsiTheme="minorHAnsi" w:cstheme="minorHAnsi"/>
                      <w:sz w:val="18"/>
                      <w:szCs w:val="18"/>
                      <w:lang w:val="en-GB"/>
                    </w:rPr>
                    <w:t>Lfx</w:t>
                  </w:r>
                  <w:proofErr w:type="spellEnd"/>
                  <w:r w:rsidRPr="002831B7">
                    <w:rPr>
                      <w:rFonts w:asciiTheme="minorHAnsi" w:hAnsiTheme="minorHAnsi" w:cstheme="minorHAnsi"/>
                      <w:sz w:val="18"/>
                      <w:szCs w:val="18"/>
                      <w:lang w:val="en-GB"/>
                    </w:rPr>
                    <w:t>(</w:t>
                  </w:r>
                  <w:proofErr w:type="spellStart"/>
                  <w:proofErr w:type="gramEnd"/>
                  <w:r w:rsidRPr="002831B7">
                    <w:rPr>
                      <w:rFonts w:asciiTheme="minorHAnsi" w:hAnsiTheme="minorHAnsi" w:cstheme="minorHAnsi"/>
                      <w:sz w:val="18"/>
                      <w:szCs w:val="18"/>
                      <w:lang w:val="en-GB"/>
                    </w:rPr>
                    <w:t>Mfx</w:t>
                  </w:r>
                  <w:proofErr w:type="spellEnd"/>
                  <w:r w:rsidRPr="002831B7">
                    <w:rPr>
                      <w:rFonts w:asciiTheme="minorHAnsi" w:hAnsiTheme="minorHAnsi" w:cstheme="minorHAnsi"/>
                      <w:sz w:val="18"/>
                      <w:szCs w:val="18"/>
                      <w:lang w:val="en-GB"/>
                    </w:rPr>
                    <w:t>)</w:t>
                  </w:r>
                  <w:proofErr w:type="spellStart"/>
                  <w:r w:rsidRPr="002831B7">
                    <w:rPr>
                      <w:rFonts w:asciiTheme="minorHAnsi" w:hAnsiTheme="minorHAnsi" w:cstheme="minorHAnsi"/>
                      <w:sz w:val="18"/>
                      <w:szCs w:val="18"/>
                      <w:lang w:val="en-GB"/>
                    </w:rPr>
                    <w:t>Cfz</w:t>
                  </w:r>
                  <w:proofErr w:type="spellEnd"/>
                  <w:r w:rsidRPr="002831B7">
                    <w:rPr>
                      <w:rFonts w:asciiTheme="minorHAnsi" w:hAnsiTheme="minorHAnsi" w:cstheme="minorHAnsi"/>
                      <w:sz w:val="18"/>
                      <w:szCs w:val="18"/>
                      <w:lang w:val="en-GB"/>
                    </w:rPr>
                    <w:t xml:space="preserve"> </w:t>
                  </w:r>
                  <w:proofErr w:type="spellStart"/>
                  <w:r w:rsidRPr="002831B7">
                    <w:rPr>
                      <w:rFonts w:asciiTheme="minorHAnsi" w:hAnsiTheme="minorHAnsi" w:cstheme="minorHAnsi"/>
                      <w:sz w:val="18"/>
                      <w:szCs w:val="18"/>
                      <w:lang w:val="en-GB"/>
                    </w:rPr>
                    <w:t>Lzd</w:t>
                  </w:r>
                  <w:proofErr w:type="spellEnd"/>
                  <w:r w:rsidRPr="002831B7">
                    <w:rPr>
                      <w:rFonts w:asciiTheme="minorHAnsi" w:hAnsiTheme="minorHAnsi" w:cstheme="minorHAnsi"/>
                      <w:sz w:val="18"/>
                      <w:szCs w:val="18"/>
                      <w:lang w:val="en-GB"/>
                    </w:rPr>
                    <w:t xml:space="preserve"> Cs</w:t>
                  </w:r>
                </w:p>
              </w:tc>
              <w:tc>
                <w:tcPr>
                  <w:tcW w:w="668" w:type="dxa"/>
                  <w:shd w:val="clear" w:color="auto" w:fill="auto"/>
                  <w:noWrap/>
                  <w:tcMar>
                    <w:left w:w="57" w:type="dxa"/>
                    <w:right w:w="57" w:type="dxa"/>
                  </w:tcMar>
                  <w:hideMark/>
                </w:tcPr>
                <w:p w14:paraId="36246806"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865</w:t>
                  </w:r>
                </w:p>
              </w:tc>
              <w:tc>
                <w:tcPr>
                  <w:tcW w:w="678"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2DB78CBE"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909</w:t>
                  </w:r>
                </w:p>
              </w:tc>
              <w:tc>
                <w:tcPr>
                  <w:tcW w:w="665" w:type="dxa"/>
                  <w:tcBorders>
                    <w:top w:val="nil"/>
                    <w:left w:val="nil"/>
                    <w:bottom w:val="single" w:sz="4" w:space="0" w:color="auto"/>
                    <w:right w:val="single" w:sz="4" w:space="0" w:color="auto"/>
                  </w:tcBorders>
                  <w:noWrap/>
                  <w:tcMar>
                    <w:left w:w="57" w:type="dxa"/>
                    <w:right w:w="57" w:type="dxa"/>
                  </w:tcMar>
                  <w:hideMark/>
                </w:tcPr>
                <w:p w14:paraId="759F1156"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849</w:t>
                  </w:r>
                </w:p>
              </w:tc>
              <w:tc>
                <w:tcPr>
                  <w:tcW w:w="668" w:type="dxa"/>
                  <w:tcBorders>
                    <w:top w:val="nil"/>
                    <w:left w:val="nil"/>
                    <w:bottom w:val="single" w:sz="4" w:space="0" w:color="auto"/>
                    <w:right w:val="single" w:sz="4" w:space="0" w:color="auto"/>
                  </w:tcBorders>
                  <w:noWrap/>
                  <w:tcMar>
                    <w:left w:w="57" w:type="dxa"/>
                    <w:right w:w="57" w:type="dxa"/>
                  </w:tcMar>
                  <w:hideMark/>
                </w:tcPr>
                <w:p w14:paraId="726918E9"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978</w:t>
                  </w:r>
                </w:p>
              </w:tc>
              <w:tc>
                <w:tcPr>
                  <w:tcW w:w="697" w:type="dxa"/>
                  <w:tcBorders>
                    <w:top w:val="nil"/>
                    <w:left w:val="nil"/>
                    <w:bottom w:val="single" w:sz="4" w:space="0" w:color="auto"/>
                    <w:right w:val="nil"/>
                  </w:tcBorders>
                  <w:noWrap/>
                  <w:tcMar>
                    <w:left w:w="57" w:type="dxa"/>
                    <w:right w:w="57" w:type="dxa"/>
                  </w:tcMar>
                  <w:hideMark/>
                </w:tcPr>
                <w:p w14:paraId="44ED8879" w14:textId="220036B8"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1</w:t>
                  </w:r>
                  <w:r w:rsidR="00AD0F05">
                    <w:rPr>
                      <w:rFonts w:asciiTheme="minorHAnsi" w:hAnsiTheme="minorHAnsi" w:cstheme="minorHAnsi"/>
                      <w:sz w:val="18"/>
                      <w:szCs w:val="18"/>
                      <w:lang w:val="en-GB"/>
                    </w:rPr>
                    <w:t>,</w:t>
                  </w:r>
                  <w:r w:rsidRPr="002831B7">
                    <w:rPr>
                      <w:rFonts w:asciiTheme="minorHAnsi" w:hAnsiTheme="minorHAnsi" w:cstheme="minorHAnsi"/>
                      <w:sz w:val="18"/>
                      <w:szCs w:val="18"/>
                      <w:lang w:val="en-GB"/>
                    </w:rPr>
                    <w:t>008</w:t>
                  </w:r>
                </w:p>
              </w:tc>
              <w:tc>
                <w:tcPr>
                  <w:tcW w:w="1002" w:type="dxa"/>
                  <w:tcBorders>
                    <w:top w:val="nil"/>
                    <w:left w:val="single" w:sz="4" w:space="0" w:color="auto"/>
                    <w:bottom w:val="single" w:sz="4" w:space="0" w:color="auto"/>
                    <w:right w:val="single" w:sz="4" w:space="0" w:color="auto"/>
                  </w:tcBorders>
                  <w:noWrap/>
                  <w:tcMar>
                    <w:left w:w="57" w:type="dxa"/>
                    <w:right w:w="57" w:type="dxa"/>
                  </w:tcMar>
                  <w:hideMark/>
                </w:tcPr>
                <w:p w14:paraId="67995E19" w14:textId="686AD4F1"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2</w:t>
                  </w:r>
                  <w:r w:rsidR="00AD0F05">
                    <w:rPr>
                      <w:rFonts w:asciiTheme="minorHAnsi" w:hAnsiTheme="minorHAnsi" w:cstheme="minorHAnsi"/>
                      <w:sz w:val="18"/>
                      <w:szCs w:val="18"/>
                      <w:lang w:val="en-GB"/>
                    </w:rPr>
                    <w:t>,</w:t>
                  </w:r>
                  <w:r w:rsidRPr="002831B7">
                    <w:rPr>
                      <w:rFonts w:asciiTheme="minorHAnsi" w:hAnsiTheme="minorHAnsi" w:cstheme="minorHAnsi"/>
                      <w:sz w:val="18"/>
                      <w:szCs w:val="18"/>
                      <w:lang w:val="en-GB"/>
                    </w:rPr>
                    <w:t>835</w:t>
                  </w:r>
                </w:p>
              </w:tc>
            </w:tr>
            <w:tr w:rsidR="00575754" w:rsidRPr="00575754" w14:paraId="06AF97B4" w14:textId="77777777" w:rsidTr="004A18A6">
              <w:trPr>
                <w:trHeight w:val="300"/>
              </w:trPr>
              <w:tc>
                <w:tcPr>
                  <w:tcW w:w="950" w:type="dxa"/>
                  <w:vMerge/>
                  <w:tcBorders>
                    <w:top w:val="nil"/>
                    <w:left w:val="single" w:sz="4" w:space="0" w:color="auto"/>
                    <w:bottom w:val="single" w:sz="4" w:space="0" w:color="auto"/>
                    <w:right w:val="single" w:sz="4" w:space="0" w:color="auto"/>
                  </w:tcBorders>
                  <w:tcMar>
                    <w:left w:w="57" w:type="dxa"/>
                    <w:right w:w="57" w:type="dxa"/>
                  </w:tcMar>
                  <w:hideMark/>
                </w:tcPr>
                <w:p w14:paraId="203E145C" w14:textId="77777777" w:rsidR="00575754" w:rsidRPr="002831B7" w:rsidRDefault="00575754" w:rsidP="002831B7">
                  <w:pPr>
                    <w:spacing w:after="0"/>
                    <w:jc w:val="both"/>
                    <w:rPr>
                      <w:rFonts w:asciiTheme="minorHAnsi" w:hAnsiTheme="minorHAnsi" w:cstheme="minorHAnsi"/>
                      <w:sz w:val="18"/>
                      <w:szCs w:val="18"/>
                      <w:lang w:val="en-GB"/>
                    </w:rPr>
                  </w:pPr>
                </w:p>
              </w:tc>
              <w:tc>
                <w:tcPr>
                  <w:tcW w:w="2718" w:type="dxa"/>
                  <w:tcBorders>
                    <w:top w:val="nil"/>
                    <w:left w:val="nil"/>
                    <w:bottom w:val="single" w:sz="4" w:space="0" w:color="auto"/>
                    <w:right w:val="single" w:sz="4" w:space="0" w:color="auto"/>
                  </w:tcBorders>
                  <w:noWrap/>
                  <w:tcMar>
                    <w:left w:w="57" w:type="dxa"/>
                    <w:right w:w="57" w:type="dxa"/>
                  </w:tcMar>
                  <w:hideMark/>
                </w:tcPr>
                <w:p w14:paraId="089FBF2E"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 xml:space="preserve">КР с </w:t>
                  </w:r>
                  <w:proofErr w:type="spellStart"/>
                  <w:r w:rsidRPr="002831B7">
                    <w:rPr>
                      <w:rFonts w:asciiTheme="minorHAnsi" w:hAnsiTheme="minorHAnsi" w:cstheme="minorHAnsi"/>
                      <w:sz w:val="18"/>
                      <w:szCs w:val="18"/>
                      <w:lang w:val="en-GB"/>
                    </w:rPr>
                    <w:t>Bdq</w:t>
                  </w:r>
                  <w:proofErr w:type="spellEnd"/>
                  <w:r w:rsidRPr="002831B7">
                    <w:rPr>
                      <w:rFonts w:asciiTheme="minorHAnsi" w:hAnsiTheme="minorHAnsi" w:cstheme="minorHAnsi"/>
                      <w:sz w:val="18"/>
                      <w:szCs w:val="18"/>
                      <w:lang w:val="en-GB"/>
                    </w:rPr>
                    <w:t xml:space="preserve">: 6Bdq 4-6Н 0,6 </w:t>
                  </w:r>
                  <w:proofErr w:type="gramStart"/>
                  <w:r w:rsidRPr="002831B7">
                    <w:rPr>
                      <w:rFonts w:asciiTheme="minorHAnsi" w:hAnsiTheme="minorHAnsi" w:cstheme="minorHAnsi"/>
                      <w:sz w:val="18"/>
                      <w:szCs w:val="18"/>
                      <w:lang w:val="en-GB"/>
                    </w:rPr>
                    <w:t>и  9</w:t>
                  </w:r>
                  <w:proofErr w:type="gramEnd"/>
                  <w:r w:rsidRPr="002831B7">
                    <w:rPr>
                      <w:rFonts w:asciiTheme="minorHAnsi" w:hAnsiTheme="minorHAnsi" w:cstheme="minorHAnsi"/>
                      <w:sz w:val="18"/>
                      <w:szCs w:val="18"/>
                      <w:lang w:val="en-GB"/>
                    </w:rPr>
                    <w:t xml:space="preserve">-12 </w:t>
                  </w:r>
                  <w:proofErr w:type="spellStart"/>
                  <w:r w:rsidRPr="002831B7">
                    <w:rPr>
                      <w:rFonts w:asciiTheme="minorHAnsi" w:hAnsiTheme="minorHAnsi" w:cstheme="minorHAnsi"/>
                      <w:sz w:val="18"/>
                      <w:szCs w:val="18"/>
                      <w:lang w:val="en-GB"/>
                    </w:rPr>
                    <w:t>Lfx</w:t>
                  </w:r>
                  <w:proofErr w:type="spellEnd"/>
                  <w:r w:rsidRPr="002831B7">
                    <w:rPr>
                      <w:rFonts w:asciiTheme="minorHAnsi" w:hAnsiTheme="minorHAnsi" w:cstheme="minorHAnsi"/>
                      <w:sz w:val="18"/>
                      <w:szCs w:val="18"/>
                      <w:lang w:val="en-GB"/>
                    </w:rPr>
                    <w:t>(</w:t>
                  </w:r>
                  <w:proofErr w:type="spellStart"/>
                  <w:r w:rsidRPr="002831B7">
                    <w:rPr>
                      <w:rFonts w:asciiTheme="minorHAnsi" w:hAnsiTheme="minorHAnsi" w:cstheme="minorHAnsi"/>
                      <w:sz w:val="18"/>
                      <w:szCs w:val="18"/>
                      <w:lang w:val="en-GB"/>
                    </w:rPr>
                    <w:t>Mfx</w:t>
                  </w:r>
                  <w:proofErr w:type="spellEnd"/>
                  <w:r w:rsidRPr="002831B7">
                    <w:rPr>
                      <w:rFonts w:asciiTheme="minorHAnsi" w:hAnsiTheme="minorHAnsi" w:cstheme="minorHAnsi"/>
                      <w:sz w:val="18"/>
                      <w:szCs w:val="18"/>
                      <w:lang w:val="en-GB"/>
                    </w:rPr>
                    <w:t>),</w:t>
                  </w:r>
                  <w:proofErr w:type="spellStart"/>
                  <w:r w:rsidRPr="002831B7">
                    <w:rPr>
                      <w:rFonts w:asciiTheme="minorHAnsi" w:hAnsiTheme="minorHAnsi" w:cstheme="minorHAnsi"/>
                      <w:sz w:val="18"/>
                      <w:szCs w:val="18"/>
                      <w:lang w:val="en-GB"/>
                    </w:rPr>
                    <w:t>Cfz</w:t>
                  </w:r>
                  <w:proofErr w:type="spellEnd"/>
                  <w:r w:rsidRPr="002831B7">
                    <w:rPr>
                      <w:rFonts w:asciiTheme="minorHAnsi" w:hAnsiTheme="minorHAnsi" w:cstheme="minorHAnsi"/>
                      <w:sz w:val="18"/>
                      <w:szCs w:val="18"/>
                      <w:lang w:val="en-GB"/>
                    </w:rPr>
                    <w:t xml:space="preserve">  E Z </w:t>
                  </w:r>
                  <w:proofErr w:type="spellStart"/>
                  <w:r w:rsidRPr="002831B7">
                    <w:rPr>
                      <w:rFonts w:asciiTheme="minorHAnsi" w:hAnsiTheme="minorHAnsi" w:cstheme="minorHAnsi"/>
                      <w:sz w:val="18"/>
                      <w:szCs w:val="18"/>
                      <w:lang w:val="en-GB"/>
                    </w:rPr>
                    <w:t>Pto</w:t>
                  </w:r>
                  <w:proofErr w:type="spellEnd"/>
                </w:p>
              </w:tc>
              <w:tc>
                <w:tcPr>
                  <w:tcW w:w="668" w:type="dxa"/>
                  <w:tcBorders>
                    <w:top w:val="single" w:sz="4" w:space="0" w:color="auto"/>
                    <w:left w:val="nil"/>
                    <w:bottom w:val="single" w:sz="4" w:space="0" w:color="auto"/>
                    <w:right w:val="single" w:sz="4" w:space="0" w:color="auto"/>
                  </w:tcBorders>
                  <w:shd w:val="clear" w:color="auto" w:fill="auto"/>
                  <w:noWrap/>
                  <w:tcMar>
                    <w:left w:w="57" w:type="dxa"/>
                    <w:right w:w="57" w:type="dxa"/>
                  </w:tcMar>
                  <w:hideMark/>
                </w:tcPr>
                <w:p w14:paraId="73760334"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220</w:t>
                  </w:r>
                </w:p>
              </w:tc>
              <w:tc>
                <w:tcPr>
                  <w:tcW w:w="678" w:type="dxa"/>
                  <w:tcBorders>
                    <w:top w:val="nil"/>
                    <w:left w:val="nil"/>
                    <w:bottom w:val="single" w:sz="4" w:space="0" w:color="auto"/>
                    <w:right w:val="single" w:sz="4" w:space="0" w:color="auto"/>
                  </w:tcBorders>
                  <w:shd w:val="clear" w:color="auto" w:fill="auto"/>
                  <w:noWrap/>
                  <w:tcMar>
                    <w:left w:w="57" w:type="dxa"/>
                    <w:right w:w="57" w:type="dxa"/>
                  </w:tcMar>
                  <w:hideMark/>
                </w:tcPr>
                <w:p w14:paraId="1165C446"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230</w:t>
                  </w:r>
                </w:p>
              </w:tc>
              <w:tc>
                <w:tcPr>
                  <w:tcW w:w="665" w:type="dxa"/>
                  <w:tcBorders>
                    <w:top w:val="nil"/>
                    <w:left w:val="nil"/>
                    <w:bottom w:val="single" w:sz="4" w:space="0" w:color="auto"/>
                    <w:right w:val="single" w:sz="4" w:space="0" w:color="auto"/>
                  </w:tcBorders>
                  <w:noWrap/>
                  <w:tcMar>
                    <w:left w:w="57" w:type="dxa"/>
                    <w:right w:w="57" w:type="dxa"/>
                  </w:tcMar>
                  <w:hideMark/>
                </w:tcPr>
                <w:p w14:paraId="082777F1"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230</w:t>
                  </w:r>
                </w:p>
              </w:tc>
              <w:tc>
                <w:tcPr>
                  <w:tcW w:w="668" w:type="dxa"/>
                  <w:tcBorders>
                    <w:top w:val="nil"/>
                    <w:left w:val="nil"/>
                    <w:bottom w:val="single" w:sz="4" w:space="0" w:color="auto"/>
                    <w:right w:val="single" w:sz="4" w:space="0" w:color="auto"/>
                  </w:tcBorders>
                  <w:noWrap/>
                  <w:tcMar>
                    <w:left w:w="57" w:type="dxa"/>
                    <w:right w:w="57" w:type="dxa"/>
                  </w:tcMar>
                  <w:hideMark/>
                </w:tcPr>
                <w:p w14:paraId="6D31091A"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230</w:t>
                  </w:r>
                </w:p>
              </w:tc>
              <w:tc>
                <w:tcPr>
                  <w:tcW w:w="697" w:type="dxa"/>
                  <w:tcBorders>
                    <w:top w:val="nil"/>
                    <w:left w:val="nil"/>
                    <w:bottom w:val="single" w:sz="4" w:space="0" w:color="auto"/>
                    <w:right w:val="nil"/>
                  </w:tcBorders>
                  <w:noWrap/>
                  <w:tcMar>
                    <w:left w:w="57" w:type="dxa"/>
                    <w:right w:w="57" w:type="dxa"/>
                  </w:tcMar>
                  <w:hideMark/>
                </w:tcPr>
                <w:p w14:paraId="0D371F43"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230</w:t>
                  </w:r>
                </w:p>
              </w:tc>
              <w:tc>
                <w:tcPr>
                  <w:tcW w:w="1002" w:type="dxa"/>
                  <w:tcBorders>
                    <w:top w:val="nil"/>
                    <w:left w:val="single" w:sz="4" w:space="0" w:color="auto"/>
                    <w:bottom w:val="single" w:sz="4" w:space="0" w:color="auto"/>
                    <w:right w:val="single" w:sz="4" w:space="0" w:color="auto"/>
                  </w:tcBorders>
                  <w:noWrap/>
                  <w:tcMar>
                    <w:left w:w="57" w:type="dxa"/>
                    <w:right w:w="57" w:type="dxa"/>
                  </w:tcMar>
                  <w:hideMark/>
                </w:tcPr>
                <w:p w14:paraId="16B707B6"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690</w:t>
                  </w:r>
                </w:p>
              </w:tc>
            </w:tr>
            <w:tr w:rsidR="00575754" w:rsidRPr="00575754" w14:paraId="60515066" w14:textId="77777777" w:rsidTr="004A18A6">
              <w:trPr>
                <w:trHeight w:val="300"/>
              </w:trPr>
              <w:tc>
                <w:tcPr>
                  <w:tcW w:w="950" w:type="dxa"/>
                  <w:vMerge/>
                  <w:tcBorders>
                    <w:top w:val="nil"/>
                    <w:left w:val="single" w:sz="4" w:space="0" w:color="auto"/>
                    <w:bottom w:val="single" w:sz="4" w:space="0" w:color="auto"/>
                    <w:right w:val="single" w:sz="4" w:space="0" w:color="auto"/>
                  </w:tcBorders>
                  <w:tcMar>
                    <w:left w:w="57" w:type="dxa"/>
                    <w:right w:w="57" w:type="dxa"/>
                  </w:tcMar>
                  <w:hideMark/>
                </w:tcPr>
                <w:p w14:paraId="195B8BEA" w14:textId="77777777" w:rsidR="00575754" w:rsidRPr="002831B7" w:rsidRDefault="00575754" w:rsidP="002831B7">
                  <w:pPr>
                    <w:spacing w:after="0"/>
                    <w:jc w:val="both"/>
                    <w:rPr>
                      <w:rFonts w:asciiTheme="minorHAnsi" w:hAnsiTheme="minorHAnsi" w:cstheme="minorHAnsi"/>
                      <w:sz w:val="18"/>
                      <w:szCs w:val="18"/>
                      <w:lang w:val="en-GB"/>
                    </w:rPr>
                  </w:pPr>
                </w:p>
              </w:tc>
              <w:tc>
                <w:tcPr>
                  <w:tcW w:w="2718" w:type="dxa"/>
                  <w:tcBorders>
                    <w:top w:val="nil"/>
                    <w:left w:val="nil"/>
                    <w:bottom w:val="single" w:sz="4" w:space="0" w:color="auto"/>
                    <w:right w:val="single" w:sz="4" w:space="0" w:color="auto"/>
                  </w:tcBorders>
                  <w:noWrap/>
                  <w:tcMar>
                    <w:left w:w="57" w:type="dxa"/>
                    <w:right w:w="57" w:type="dxa"/>
                  </w:tcMar>
                  <w:hideMark/>
                </w:tcPr>
                <w:p w14:paraId="68135A56" w14:textId="77777777" w:rsidR="00575754" w:rsidRPr="002831B7" w:rsidRDefault="00575754" w:rsidP="002831B7">
                  <w:pPr>
                    <w:spacing w:after="0"/>
                    <w:jc w:val="both"/>
                    <w:rPr>
                      <w:rFonts w:asciiTheme="minorHAnsi" w:hAnsiTheme="minorHAnsi" w:cstheme="minorHAnsi"/>
                      <w:sz w:val="18"/>
                      <w:szCs w:val="18"/>
                      <w:lang w:val="ru-RU"/>
                    </w:rPr>
                  </w:pPr>
                  <w:r w:rsidRPr="002831B7">
                    <w:rPr>
                      <w:rFonts w:asciiTheme="minorHAnsi" w:hAnsiTheme="minorHAnsi" w:cstheme="minorHAnsi"/>
                      <w:sz w:val="18"/>
                      <w:szCs w:val="18"/>
                      <w:lang w:val="ru-RU"/>
                    </w:rPr>
                    <w:t xml:space="preserve">КР с </w:t>
                  </w:r>
                  <w:proofErr w:type="spellStart"/>
                  <w:r w:rsidRPr="002831B7">
                    <w:rPr>
                      <w:rFonts w:asciiTheme="minorHAnsi" w:hAnsiTheme="minorHAnsi" w:cstheme="minorHAnsi"/>
                      <w:sz w:val="18"/>
                      <w:szCs w:val="18"/>
                      <w:lang w:val="en-GB"/>
                    </w:rPr>
                    <w:t>Dlm</w:t>
                  </w:r>
                  <w:proofErr w:type="spellEnd"/>
                  <w:r w:rsidRPr="002831B7">
                    <w:rPr>
                      <w:rFonts w:asciiTheme="minorHAnsi" w:hAnsiTheme="minorHAnsi" w:cstheme="minorHAnsi"/>
                      <w:sz w:val="18"/>
                      <w:szCs w:val="18"/>
                      <w:lang w:val="ru-RU"/>
                    </w:rPr>
                    <w:t xml:space="preserve"> (дети до 25 кг): 6</w:t>
                  </w:r>
                  <w:proofErr w:type="spellStart"/>
                  <w:r w:rsidRPr="002831B7">
                    <w:rPr>
                      <w:rFonts w:asciiTheme="minorHAnsi" w:hAnsiTheme="minorHAnsi" w:cstheme="minorHAnsi"/>
                      <w:sz w:val="18"/>
                      <w:szCs w:val="18"/>
                      <w:lang w:val="en-GB"/>
                    </w:rPr>
                    <w:t>Dlm</w:t>
                  </w:r>
                  <w:proofErr w:type="spellEnd"/>
                  <w:r w:rsidRPr="002831B7">
                    <w:rPr>
                      <w:rFonts w:asciiTheme="minorHAnsi" w:hAnsiTheme="minorHAnsi" w:cstheme="minorHAnsi"/>
                      <w:sz w:val="18"/>
                      <w:szCs w:val="18"/>
                      <w:lang w:val="ru-RU"/>
                    </w:rPr>
                    <w:t xml:space="preserve"> 4-6Н 0,6 и 9-12 </w:t>
                  </w:r>
                  <w:proofErr w:type="spellStart"/>
                  <w:proofErr w:type="gramStart"/>
                  <w:r w:rsidRPr="002831B7">
                    <w:rPr>
                      <w:rFonts w:asciiTheme="minorHAnsi" w:hAnsiTheme="minorHAnsi" w:cstheme="minorHAnsi"/>
                      <w:sz w:val="18"/>
                      <w:szCs w:val="18"/>
                      <w:lang w:val="en-GB"/>
                    </w:rPr>
                    <w:t>Lfx</w:t>
                  </w:r>
                  <w:proofErr w:type="spellEnd"/>
                  <w:r w:rsidRPr="002831B7">
                    <w:rPr>
                      <w:rFonts w:asciiTheme="minorHAnsi" w:hAnsiTheme="minorHAnsi" w:cstheme="minorHAnsi"/>
                      <w:sz w:val="18"/>
                      <w:szCs w:val="18"/>
                      <w:lang w:val="ru-RU"/>
                    </w:rPr>
                    <w:t>(</w:t>
                  </w:r>
                  <w:proofErr w:type="spellStart"/>
                  <w:proofErr w:type="gramEnd"/>
                  <w:r w:rsidRPr="002831B7">
                    <w:rPr>
                      <w:rFonts w:asciiTheme="minorHAnsi" w:hAnsiTheme="minorHAnsi" w:cstheme="minorHAnsi"/>
                      <w:sz w:val="18"/>
                      <w:szCs w:val="18"/>
                      <w:lang w:val="en-GB"/>
                    </w:rPr>
                    <w:t>Mfx</w:t>
                  </w:r>
                  <w:proofErr w:type="spellEnd"/>
                  <w:r w:rsidRPr="002831B7">
                    <w:rPr>
                      <w:rFonts w:asciiTheme="minorHAnsi" w:hAnsiTheme="minorHAnsi" w:cstheme="minorHAnsi"/>
                      <w:sz w:val="18"/>
                      <w:szCs w:val="18"/>
                      <w:lang w:val="ru-RU"/>
                    </w:rPr>
                    <w:t>),</w:t>
                  </w:r>
                  <w:proofErr w:type="spellStart"/>
                  <w:r w:rsidRPr="002831B7">
                    <w:rPr>
                      <w:rFonts w:asciiTheme="minorHAnsi" w:hAnsiTheme="minorHAnsi" w:cstheme="minorHAnsi"/>
                      <w:sz w:val="18"/>
                      <w:szCs w:val="18"/>
                      <w:lang w:val="en-GB"/>
                    </w:rPr>
                    <w:t>Cfz</w:t>
                  </w:r>
                  <w:proofErr w:type="spellEnd"/>
                  <w:r w:rsidRPr="002831B7">
                    <w:rPr>
                      <w:rFonts w:asciiTheme="minorHAnsi" w:hAnsiTheme="minorHAnsi" w:cstheme="minorHAnsi"/>
                      <w:sz w:val="18"/>
                      <w:szCs w:val="18"/>
                      <w:lang w:val="ru-RU"/>
                    </w:rPr>
                    <w:t xml:space="preserve">  </w:t>
                  </w:r>
                  <w:r w:rsidRPr="002831B7">
                    <w:rPr>
                      <w:rFonts w:asciiTheme="minorHAnsi" w:hAnsiTheme="minorHAnsi" w:cstheme="minorHAnsi"/>
                      <w:sz w:val="18"/>
                      <w:szCs w:val="18"/>
                      <w:lang w:val="en-GB"/>
                    </w:rPr>
                    <w:t>E</w:t>
                  </w:r>
                  <w:r w:rsidRPr="002831B7">
                    <w:rPr>
                      <w:rFonts w:asciiTheme="minorHAnsi" w:hAnsiTheme="minorHAnsi" w:cstheme="minorHAnsi"/>
                      <w:sz w:val="18"/>
                      <w:szCs w:val="18"/>
                      <w:lang w:val="ru-RU"/>
                    </w:rPr>
                    <w:t xml:space="preserve"> </w:t>
                  </w:r>
                  <w:r w:rsidRPr="002831B7">
                    <w:rPr>
                      <w:rFonts w:asciiTheme="minorHAnsi" w:hAnsiTheme="minorHAnsi" w:cstheme="minorHAnsi"/>
                      <w:sz w:val="18"/>
                      <w:szCs w:val="18"/>
                      <w:lang w:val="en-GB"/>
                    </w:rPr>
                    <w:t>Z</w:t>
                  </w:r>
                  <w:r w:rsidRPr="002831B7">
                    <w:rPr>
                      <w:rFonts w:asciiTheme="minorHAnsi" w:hAnsiTheme="minorHAnsi" w:cstheme="minorHAnsi"/>
                      <w:sz w:val="18"/>
                      <w:szCs w:val="18"/>
                      <w:lang w:val="ru-RU"/>
                    </w:rPr>
                    <w:t xml:space="preserve"> </w:t>
                  </w:r>
                  <w:proofErr w:type="spellStart"/>
                  <w:r w:rsidRPr="002831B7">
                    <w:rPr>
                      <w:rFonts w:asciiTheme="minorHAnsi" w:hAnsiTheme="minorHAnsi" w:cstheme="minorHAnsi"/>
                      <w:sz w:val="18"/>
                      <w:szCs w:val="18"/>
                      <w:lang w:val="en-GB"/>
                    </w:rPr>
                    <w:t>Pto</w:t>
                  </w:r>
                  <w:proofErr w:type="spellEnd"/>
                </w:p>
              </w:tc>
              <w:tc>
                <w:tcPr>
                  <w:tcW w:w="668" w:type="dxa"/>
                  <w:tcBorders>
                    <w:top w:val="nil"/>
                    <w:left w:val="nil"/>
                    <w:bottom w:val="single" w:sz="4" w:space="0" w:color="auto"/>
                    <w:right w:val="single" w:sz="4" w:space="0" w:color="auto"/>
                  </w:tcBorders>
                  <w:shd w:val="clear" w:color="auto" w:fill="auto"/>
                  <w:noWrap/>
                  <w:tcMar>
                    <w:left w:w="57" w:type="dxa"/>
                    <w:right w:w="57" w:type="dxa"/>
                  </w:tcMar>
                  <w:hideMark/>
                </w:tcPr>
                <w:p w14:paraId="497D7646"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20</w:t>
                  </w:r>
                </w:p>
              </w:tc>
              <w:tc>
                <w:tcPr>
                  <w:tcW w:w="678" w:type="dxa"/>
                  <w:tcBorders>
                    <w:top w:val="nil"/>
                    <w:left w:val="nil"/>
                    <w:bottom w:val="single" w:sz="4" w:space="0" w:color="auto"/>
                    <w:right w:val="single" w:sz="4" w:space="0" w:color="auto"/>
                  </w:tcBorders>
                  <w:shd w:val="clear" w:color="auto" w:fill="auto"/>
                  <w:noWrap/>
                  <w:tcMar>
                    <w:left w:w="57" w:type="dxa"/>
                    <w:right w:w="57" w:type="dxa"/>
                  </w:tcMar>
                  <w:hideMark/>
                </w:tcPr>
                <w:p w14:paraId="6D2F3DE2"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20</w:t>
                  </w:r>
                </w:p>
              </w:tc>
              <w:tc>
                <w:tcPr>
                  <w:tcW w:w="665" w:type="dxa"/>
                  <w:tcBorders>
                    <w:top w:val="nil"/>
                    <w:left w:val="nil"/>
                    <w:bottom w:val="single" w:sz="4" w:space="0" w:color="auto"/>
                    <w:right w:val="single" w:sz="4" w:space="0" w:color="auto"/>
                  </w:tcBorders>
                  <w:noWrap/>
                  <w:tcMar>
                    <w:left w:w="57" w:type="dxa"/>
                    <w:right w:w="57" w:type="dxa"/>
                  </w:tcMar>
                  <w:hideMark/>
                </w:tcPr>
                <w:p w14:paraId="4865FADE"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20</w:t>
                  </w:r>
                </w:p>
              </w:tc>
              <w:tc>
                <w:tcPr>
                  <w:tcW w:w="668" w:type="dxa"/>
                  <w:tcBorders>
                    <w:top w:val="nil"/>
                    <w:left w:val="nil"/>
                    <w:bottom w:val="single" w:sz="4" w:space="0" w:color="auto"/>
                    <w:right w:val="single" w:sz="4" w:space="0" w:color="auto"/>
                  </w:tcBorders>
                  <w:noWrap/>
                  <w:tcMar>
                    <w:left w:w="57" w:type="dxa"/>
                    <w:right w:w="57" w:type="dxa"/>
                  </w:tcMar>
                  <w:hideMark/>
                </w:tcPr>
                <w:p w14:paraId="0B55E28E"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20</w:t>
                  </w:r>
                </w:p>
              </w:tc>
              <w:tc>
                <w:tcPr>
                  <w:tcW w:w="697" w:type="dxa"/>
                  <w:tcBorders>
                    <w:top w:val="nil"/>
                    <w:left w:val="nil"/>
                    <w:bottom w:val="single" w:sz="4" w:space="0" w:color="auto"/>
                    <w:right w:val="nil"/>
                  </w:tcBorders>
                  <w:noWrap/>
                  <w:tcMar>
                    <w:left w:w="57" w:type="dxa"/>
                    <w:right w:w="57" w:type="dxa"/>
                  </w:tcMar>
                  <w:hideMark/>
                </w:tcPr>
                <w:p w14:paraId="78E11522"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20</w:t>
                  </w:r>
                </w:p>
              </w:tc>
              <w:tc>
                <w:tcPr>
                  <w:tcW w:w="1002" w:type="dxa"/>
                  <w:tcBorders>
                    <w:top w:val="nil"/>
                    <w:left w:val="single" w:sz="4" w:space="0" w:color="auto"/>
                    <w:bottom w:val="single" w:sz="4" w:space="0" w:color="auto"/>
                    <w:right w:val="single" w:sz="4" w:space="0" w:color="auto"/>
                  </w:tcBorders>
                  <w:noWrap/>
                  <w:tcMar>
                    <w:left w:w="57" w:type="dxa"/>
                    <w:right w:w="57" w:type="dxa"/>
                  </w:tcMar>
                  <w:hideMark/>
                </w:tcPr>
                <w:p w14:paraId="6DF4B85A"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60</w:t>
                  </w:r>
                </w:p>
              </w:tc>
            </w:tr>
            <w:tr w:rsidR="00575754" w:rsidRPr="00575754" w14:paraId="285C403A" w14:textId="77777777" w:rsidTr="004A18A6">
              <w:trPr>
                <w:trHeight w:val="300"/>
              </w:trPr>
              <w:tc>
                <w:tcPr>
                  <w:tcW w:w="950" w:type="dxa"/>
                  <w:tcBorders>
                    <w:top w:val="nil"/>
                    <w:left w:val="single" w:sz="4" w:space="0" w:color="auto"/>
                    <w:bottom w:val="single" w:sz="4" w:space="0" w:color="auto"/>
                    <w:right w:val="single" w:sz="4" w:space="0" w:color="auto"/>
                  </w:tcBorders>
                  <w:tcMar>
                    <w:left w:w="57" w:type="dxa"/>
                    <w:right w:w="57" w:type="dxa"/>
                  </w:tcMar>
                  <w:hideMark/>
                </w:tcPr>
                <w:p w14:paraId="2A865510"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MDR (OI)</w:t>
                  </w:r>
                </w:p>
              </w:tc>
              <w:tc>
                <w:tcPr>
                  <w:tcW w:w="2718" w:type="dxa"/>
                  <w:tcBorders>
                    <w:top w:val="nil"/>
                    <w:left w:val="nil"/>
                    <w:bottom w:val="single" w:sz="4" w:space="0" w:color="auto"/>
                    <w:right w:val="single" w:sz="4" w:space="0" w:color="auto"/>
                  </w:tcBorders>
                  <w:noWrap/>
                  <w:tcMar>
                    <w:left w:w="57" w:type="dxa"/>
                    <w:right w:w="57" w:type="dxa"/>
                  </w:tcMar>
                  <w:hideMark/>
                </w:tcPr>
                <w:p w14:paraId="7E7A11E3"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modified 9 months:</w:t>
                  </w:r>
                </w:p>
                <w:p w14:paraId="2C0D31D2" w14:textId="77777777" w:rsidR="00575754" w:rsidRPr="002831B7" w:rsidRDefault="00575754" w:rsidP="002831B7">
                  <w:pPr>
                    <w:spacing w:after="0"/>
                    <w:jc w:val="both"/>
                    <w:rPr>
                      <w:rFonts w:asciiTheme="minorHAnsi" w:hAnsiTheme="minorHAnsi" w:cstheme="minorHAnsi"/>
                      <w:sz w:val="18"/>
                      <w:szCs w:val="18"/>
                      <w:lang w:val="en-GB"/>
                    </w:rPr>
                  </w:pPr>
                  <w:proofErr w:type="spellStart"/>
                  <w:r w:rsidRPr="002831B7">
                    <w:rPr>
                      <w:rFonts w:asciiTheme="minorHAnsi" w:hAnsiTheme="minorHAnsi" w:cstheme="minorHAnsi"/>
                      <w:sz w:val="18"/>
                      <w:szCs w:val="18"/>
                      <w:lang w:val="en-GB"/>
                    </w:rPr>
                    <w:t>Bdq</w:t>
                  </w:r>
                  <w:proofErr w:type="spellEnd"/>
                  <w:r w:rsidRPr="002831B7">
                    <w:rPr>
                      <w:rFonts w:asciiTheme="minorHAnsi" w:hAnsiTheme="minorHAnsi" w:cstheme="minorHAnsi"/>
                      <w:sz w:val="18"/>
                      <w:szCs w:val="18"/>
                      <w:lang w:val="en-GB"/>
                    </w:rPr>
                    <w:t xml:space="preserve"> (24 </w:t>
                  </w:r>
                  <w:proofErr w:type="spellStart"/>
                  <w:r w:rsidRPr="002831B7">
                    <w:rPr>
                      <w:rFonts w:asciiTheme="minorHAnsi" w:hAnsiTheme="minorHAnsi" w:cstheme="minorHAnsi"/>
                      <w:sz w:val="18"/>
                      <w:szCs w:val="18"/>
                      <w:lang w:val="en-GB"/>
                    </w:rPr>
                    <w:t>нед</w:t>
                  </w:r>
                  <w:proofErr w:type="spellEnd"/>
                  <w:r w:rsidRPr="002831B7">
                    <w:rPr>
                      <w:rFonts w:asciiTheme="minorHAnsi" w:hAnsiTheme="minorHAnsi" w:cstheme="minorHAnsi"/>
                      <w:sz w:val="18"/>
                      <w:szCs w:val="18"/>
                      <w:lang w:val="en-GB"/>
                    </w:rPr>
                    <w:t xml:space="preserve">) </w:t>
                  </w:r>
                </w:p>
                <w:p w14:paraId="113CFE9D" w14:textId="77777777" w:rsidR="00575754" w:rsidRPr="002831B7" w:rsidRDefault="00575754" w:rsidP="002831B7">
                  <w:pPr>
                    <w:spacing w:after="0"/>
                    <w:jc w:val="both"/>
                    <w:rPr>
                      <w:rFonts w:asciiTheme="minorHAnsi" w:hAnsiTheme="minorHAnsi" w:cstheme="minorHAnsi"/>
                      <w:sz w:val="18"/>
                      <w:szCs w:val="18"/>
                      <w:lang w:val="en-GB"/>
                    </w:rPr>
                  </w:pPr>
                  <w:proofErr w:type="spellStart"/>
                  <w:r w:rsidRPr="002831B7">
                    <w:rPr>
                      <w:rFonts w:asciiTheme="minorHAnsi" w:hAnsiTheme="minorHAnsi" w:cstheme="minorHAnsi"/>
                      <w:sz w:val="18"/>
                      <w:szCs w:val="18"/>
                      <w:lang w:val="en-GB"/>
                    </w:rPr>
                    <w:t>Lfx</w:t>
                  </w:r>
                  <w:proofErr w:type="spellEnd"/>
                  <w:r w:rsidRPr="002831B7">
                    <w:rPr>
                      <w:rFonts w:asciiTheme="minorHAnsi" w:hAnsiTheme="minorHAnsi" w:cstheme="minorHAnsi"/>
                      <w:sz w:val="18"/>
                      <w:szCs w:val="18"/>
                      <w:lang w:val="en-GB"/>
                    </w:rPr>
                    <w:t xml:space="preserve"> </w:t>
                  </w:r>
                  <w:proofErr w:type="spellStart"/>
                  <w:r w:rsidRPr="002831B7">
                    <w:rPr>
                      <w:rFonts w:asciiTheme="minorHAnsi" w:hAnsiTheme="minorHAnsi" w:cstheme="minorHAnsi"/>
                      <w:sz w:val="18"/>
                      <w:szCs w:val="18"/>
                      <w:lang w:val="en-GB"/>
                    </w:rPr>
                    <w:t>Cfz</w:t>
                  </w:r>
                  <w:proofErr w:type="spellEnd"/>
                  <w:r w:rsidRPr="002831B7">
                    <w:rPr>
                      <w:rFonts w:asciiTheme="minorHAnsi" w:hAnsiTheme="minorHAnsi" w:cstheme="minorHAnsi"/>
                      <w:sz w:val="18"/>
                      <w:szCs w:val="18"/>
                      <w:lang w:val="en-GB"/>
                    </w:rPr>
                    <w:t xml:space="preserve"> </w:t>
                  </w:r>
                  <w:proofErr w:type="spellStart"/>
                  <w:r w:rsidRPr="002831B7">
                    <w:rPr>
                      <w:rFonts w:asciiTheme="minorHAnsi" w:hAnsiTheme="minorHAnsi" w:cstheme="minorHAnsi"/>
                      <w:sz w:val="18"/>
                      <w:szCs w:val="18"/>
                      <w:lang w:val="en-GB"/>
                    </w:rPr>
                    <w:t>Lzd</w:t>
                  </w:r>
                  <w:proofErr w:type="spellEnd"/>
                  <w:r w:rsidRPr="002831B7">
                    <w:rPr>
                      <w:rFonts w:asciiTheme="minorHAnsi" w:hAnsiTheme="minorHAnsi" w:cstheme="minorHAnsi"/>
                      <w:sz w:val="18"/>
                      <w:szCs w:val="18"/>
                      <w:lang w:val="en-GB"/>
                    </w:rPr>
                    <w:t xml:space="preserve"> Cs (39 </w:t>
                  </w:r>
                  <w:proofErr w:type="spellStart"/>
                  <w:r w:rsidRPr="002831B7">
                    <w:rPr>
                      <w:rFonts w:asciiTheme="minorHAnsi" w:hAnsiTheme="minorHAnsi" w:cstheme="minorHAnsi"/>
                      <w:sz w:val="18"/>
                      <w:szCs w:val="18"/>
                      <w:lang w:val="en-GB"/>
                    </w:rPr>
                    <w:t>нед</w:t>
                  </w:r>
                  <w:proofErr w:type="spellEnd"/>
                  <w:r w:rsidRPr="002831B7">
                    <w:rPr>
                      <w:rFonts w:asciiTheme="minorHAnsi" w:hAnsiTheme="minorHAnsi" w:cstheme="minorHAnsi"/>
                      <w:sz w:val="18"/>
                      <w:szCs w:val="18"/>
                      <w:lang w:val="en-GB"/>
                    </w:rPr>
                    <w:t xml:space="preserve">.) </w:t>
                  </w:r>
                </w:p>
              </w:tc>
              <w:tc>
                <w:tcPr>
                  <w:tcW w:w="668" w:type="dxa"/>
                  <w:tcBorders>
                    <w:top w:val="nil"/>
                    <w:left w:val="nil"/>
                    <w:bottom w:val="single" w:sz="4" w:space="0" w:color="auto"/>
                    <w:right w:val="single" w:sz="4" w:space="0" w:color="auto"/>
                  </w:tcBorders>
                  <w:shd w:val="clear" w:color="auto" w:fill="auto"/>
                  <w:noWrap/>
                  <w:tcMar>
                    <w:left w:w="57" w:type="dxa"/>
                    <w:right w:w="57" w:type="dxa"/>
                  </w:tcMar>
                </w:tcPr>
                <w:p w14:paraId="6C007EC9" w14:textId="77777777" w:rsidR="00575754" w:rsidRPr="002831B7" w:rsidRDefault="00575754" w:rsidP="002831B7">
                  <w:pPr>
                    <w:spacing w:after="0"/>
                    <w:jc w:val="both"/>
                    <w:rPr>
                      <w:rFonts w:asciiTheme="minorHAnsi" w:hAnsiTheme="minorHAnsi" w:cstheme="minorHAnsi"/>
                      <w:sz w:val="18"/>
                      <w:szCs w:val="18"/>
                      <w:lang w:val="en-GB"/>
                    </w:rPr>
                  </w:pPr>
                </w:p>
              </w:tc>
              <w:tc>
                <w:tcPr>
                  <w:tcW w:w="678" w:type="dxa"/>
                  <w:tcBorders>
                    <w:top w:val="nil"/>
                    <w:left w:val="nil"/>
                    <w:bottom w:val="single" w:sz="4" w:space="0" w:color="auto"/>
                    <w:right w:val="single" w:sz="4" w:space="0" w:color="auto"/>
                  </w:tcBorders>
                  <w:shd w:val="clear" w:color="auto" w:fill="auto"/>
                  <w:noWrap/>
                  <w:tcMar>
                    <w:left w:w="57" w:type="dxa"/>
                    <w:right w:w="57" w:type="dxa"/>
                  </w:tcMar>
                </w:tcPr>
                <w:p w14:paraId="6A0CD63C" w14:textId="77777777" w:rsidR="00575754" w:rsidRPr="002831B7" w:rsidRDefault="00575754" w:rsidP="002831B7">
                  <w:pPr>
                    <w:spacing w:after="0"/>
                    <w:jc w:val="both"/>
                    <w:rPr>
                      <w:rFonts w:asciiTheme="minorHAnsi" w:hAnsiTheme="minorHAnsi" w:cstheme="minorHAnsi"/>
                      <w:sz w:val="18"/>
                      <w:szCs w:val="18"/>
                      <w:lang w:val="en-GB"/>
                    </w:rPr>
                  </w:pPr>
                </w:p>
              </w:tc>
              <w:tc>
                <w:tcPr>
                  <w:tcW w:w="665" w:type="dxa"/>
                  <w:tcBorders>
                    <w:top w:val="nil"/>
                    <w:left w:val="nil"/>
                    <w:bottom w:val="single" w:sz="4" w:space="0" w:color="auto"/>
                    <w:right w:val="single" w:sz="4" w:space="0" w:color="auto"/>
                  </w:tcBorders>
                  <w:noWrap/>
                  <w:tcMar>
                    <w:left w:w="57" w:type="dxa"/>
                    <w:right w:w="57" w:type="dxa"/>
                  </w:tcMar>
                </w:tcPr>
                <w:p w14:paraId="1AB6C15E" w14:textId="3289BC55"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100</w:t>
                  </w:r>
                </w:p>
              </w:tc>
              <w:tc>
                <w:tcPr>
                  <w:tcW w:w="668" w:type="dxa"/>
                  <w:tcBorders>
                    <w:top w:val="nil"/>
                    <w:left w:val="nil"/>
                    <w:bottom w:val="single" w:sz="4" w:space="0" w:color="auto"/>
                    <w:right w:val="single" w:sz="4" w:space="0" w:color="auto"/>
                  </w:tcBorders>
                  <w:noWrap/>
                  <w:tcMar>
                    <w:left w:w="57" w:type="dxa"/>
                    <w:right w:w="57" w:type="dxa"/>
                  </w:tcMar>
                </w:tcPr>
                <w:p w14:paraId="56596FA3" w14:textId="690ADDC5"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w:t>
                  </w:r>
                </w:p>
              </w:tc>
              <w:tc>
                <w:tcPr>
                  <w:tcW w:w="697" w:type="dxa"/>
                  <w:tcBorders>
                    <w:top w:val="nil"/>
                    <w:left w:val="nil"/>
                    <w:bottom w:val="single" w:sz="4" w:space="0" w:color="auto"/>
                    <w:right w:val="nil"/>
                  </w:tcBorders>
                  <w:noWrap/>
                  <w:tcMar>
                    <w:left w:w="57" w:type="dxa"/>
                    <w:right w:w="57" w:type="dxa"/>
                  </w:tcMar>
                </w:tcPr>
                <w:p w14:paraId="2420DED4" w14:textId="60EAC70D"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w:t>
                  </w:r>
                </w:p>
              </w:tc>
              <w:tc>
                <w:tcPr>
                  <w:tcW w:w="1002" w:type="dxa"/>
                  <w:tcBorders>
                    <w:top w:val="nil"/>
                    <w:left w:val="single" w:sz="4" w:space="0" w:color="auto"/>
                    <w:bottom w:val="single" w:sz="4" w:space="0" w:color="auto"/>
                    <w:right w:val="single" w:sz="4" w:space="0" w:color="auto"/>
                  </w:tcBorders>
                  <w:noWrap/>
                  <w:tcMar>
                    <w:left w:w="57" w:type="dxa"/>
                    <w:right w:w="57" w:type="dxa"/>
                  </w:tcMar>
                </w:tcPr>
                <w:p w14:paraId="5BDC2AA1" w14:textId="29E31A8F"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100</w:t>
                  </w:r>
                </w:p>
              </w:tc>
            </w:tr>
            <w:tr w:rsidR="00575754" w:rsidRPr="00575754" w14:paraId="1DB226F1" w14:textId="77777777" w:rsidTr="004A18A6">
              <w:trPr>
                <w:trHeight w:val="300"/>
              </w:trPr>
              <w:tc>
                <w:tcPr>
                  <w:tcW w:w="950" w:type="dxa"/>
                  <w:tcBorders>
                    <w:top w:val="nil"/>
                    <w:left w:val="single" w:sz="4" w:space="0" w:color="auto"/>
                    <w:bottom w:val="single" w:sz="4" w:space="0" w:color="000000"/>
                    <w:right w:val="single" w:sz="4" w:space="0" w:color="auto"/>
                  </w:tcBorders>
                  <w:noWrap/>
                  <w:tcMar>
                    <w:left w:w="57" w:type="dxa"/>
                    <w:right w:w="57" w:type="dxa"/>
                  </w:tcMar>
                  <w:hideMark/>
                </w:tcPr>
                <w:p w14:paraId="7618AD76" w14:textId="77777777" w:rsidR="00575754" w:rsidRPr="002831B7" w:rsidRDefault="00575754" w:rsidP="002831B7">
                  <w:pPr>
                    <w:spacing w:after="0"/>
                    <w:ind w:right="-162"/>
                    <w:jc w:val="both"/>
                    <w:rPr>
                      <w:rFonts w:asciiTheme="minorHAnsi" w:hAnsiTheme="minorHAnsi" w:cstheme="minorHAnsi"/>
                      <w:sz w:val="18"/>
                      <w:szCs w:val="18"/>
                      <w:lang w:val="en-GB"/>
                    </w:rPr>
                  </w:pPr>
                  <w:proofErr w:type="gramStart"/>
                  <w:r w:rsidRPr="002831B7">
                    <w:rPr>
                      <w:rFonts w:asciiTheme="minorHAnsi" w:hAnsiTheme="minorHAnsi" w:cstheme="minorHAnsi"/>
                      <w:sz w:val="18"/>
                      <w:szCs w:val="18"/>
                      <w:lang w:val="en-GB"/>
                    </w:rPr>
                    <w:t>pre XDR</w:t>
                  </w:r>
                  <w:proofErr w:type="gramEnd"/>
                  <w:r w:rsidRPr="002831B7">
                    <w:rPr>
                      <w:rFonts w:asciiTheme="minorHAnsi" w:hAnsiTheme="minorHAnsi" w:cstheme="minorHAnsi"/>
                      <w:sz w:val="18"/>
                      <w:szCs w:val="18"/>
                      <w:lang w:val="en-GB"/>
                    </w:rPr>
                    <w:t xml:space="preserve"> </w:t>
                  </w:r>
                  <w:proofErr w:type="spellStart"/>
                  <w:r w:rsidRPr="002831B7">
                    <w:rPr>
                      <w:rFonts w:asciiTheme="minorHAnsi" w:hAnsiTheme="minorHAnsi" w:cstheme="minorHAnsi"/>
                      <w:sz w:val="18"/>
                      <w:szCs w:val="18"/>
                      <w:lang w:val="en-GB"/>
                    </w:rPr>
                    <w:t>Фт</w:t>
                  </w:r>
                  <w:proofErr w:type="spellEnd"/>
                </w:p>
              </w:tc>
              <w:tc>
                <w:tcPr>
                  <w:tcW w:w="2718" w:type="dxa"/>
                  <w:tcBorders>
                    <w:top w:val="nil"/>
                    <w:left w:val="nil"/>
                    <w:bottom w:val="single" w:sz="4" w:space="0" w:color="auto"/>
                    <w:right w:val="single" w:sz="4" w:space="0" w:color="auto"/>
                  </w:tcBorders>
                  <w:noWrap/>
                  <w:tcMar>
                    <w:left w:w="57" w:type="dxa"/>
                    <w:right w:w="57" w:type="dxa"/>
                  </w:tcMar>
                  <w:hideMark/>
                </w:tcPr>
                <w:p w14:paraId="2BC37125" w14:textId="77777777" w:rsidR="00575754" w:rsidRPr="002831B7" w:rsidRDefault="00575754" w:rsidP="002831B7">
                  <w:pPr>
                    <w:spacing w:after="0"/>
                    <w:ind w:right="-162"/>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 xml:space="preserve">18-20 </w:t>
                  </w:r>
                  <w:proofErr w:type="spellStart"/>
                  <w:r w:rsidRPr="002831B7">
                    <w:rPr>
                      <w:rFonts w:asciiTheme="minorHAnsi" w:hAnsiTheme="minorHAnsi" w:cstheme="minorHAnsi"/>
                      <w:sz w:val="18"/>
                      <w:szCs w:val="18"/>
                      <w:lang w:val="en-GB"/>
                    </w:rPr>
                    <w:t>Bdq</w:t>
                  </w:r>
                  <w:proofErr w:type="spellEnd"/>
                  <w:r w:rsidRPr="002831B7">
                    <w:rPr>
                      <w:rFonts w:asciiTheme="minorHAnsi" w:hAnsiTheme="minorHAnsi" w:cstheme="minorHAnsi"/>
                      <w:sz w:val="18"/>
                      <w:szCs w:val="18"/>
                      <w:lang w:val="en-GB"/>
                    </w:rPr>
                    <w:t xml:space="preserve"> </w:t>
                  </w:r>
                  <w:proofErr w:type="spellStart"/>
                  <w:r w:rsidRPr="002831B7">
                    <w:rPr>
                      <w:rFonts w:asciiTheme="minorHAnsi" w:hAnsiTheme="minorHAnsi" w:cstheme="minorHAnsi"/>
                      <w:sz w:val="18"/>
                      <w:szCs w:val="18"/>
                      <w:lang w:val="en-GB"/>
                    </w:rPr>
                    <w:t>Dlm</w:t>
                  </w:r>
                  <w:proofErr w:type="spellEnd"/>
                  <w:r w:rsidRPr="002831B7">
                    <w:rPr>
                      <w:rFonts w:asciiTheme="minorHAnsi" w:hAnsiTheme="minorHAnsi" w:cstheme="minorHAnsi"/>
                      <w:sz w:val="18"/>
                      <w:szCs w:val="18"/>
                      <w:lang w:val="en-GB"/>
                    </w:rPr>
                    <w:t xml:space="preserve"> Imp </w:t>
                  </w:r>
                  <w:proofErr w:type="spellStart"/>
                  <w:r w:rsidRPr="002831B7">
                    <w:rPr>
                      <w:rFonts w:asciiTheme="minorHAnsi" w:hAnsiTheme="minorHAnsi" w:cstheme="minorHAnsi"/>
                      <w:sz w:val="18"/>
                      <w:szCs w:val="18"/>
                      <w:lang w:val="en-GB"/>
                    </w:rPr>
                    <w:t>Cfz</w:t>
                  </w:r>
                  <w:proofErr w:type="spellEnd"/>
                  <w:r w:rsidRPr="002831B7">
                    <w:rPr>
                      <w:rFonts w:asciiTheme="minorHAnsi" w:hAnsiTheme="minorHAnsi" w:cstheme="minorHAnsi"/>
                      <w:sz w:val="18"/>
                      <w:szCs w:val="18"/>
                      <w:lang w:val="en-GB"/>
                    </w:rPr>
                    <w:t xml:space="preserve"> </w:t>
                  </w:r>
                  <w:proofErr w:type="spellStart"/>
                  <w:r w:rsidRPr="002831B7">
                    <w:rPr>
                      <w:rFonts w:asciiTheme="minorHAnsi" w:hAnsiTheme="minorHAnsi" w:cstheme="minorHAnsi"/>
                      <w:sz w:val="18"/>
                      <w:szCs w:val="18"/>
                      <w:lang w:val="en-GB"/>
                    </w:rPr>
                    <w:t>Lzd</w:t>
                  </w:r>
                  <w:proofErr w:type="spellEnd"/>
                  <w:r w:rsidRPr="002831B7">
                    <w:rPr>
                      <w:rFonts w:asciiTheme="minorHAnsi" w:hAnsiTheme="minorHAnsi" w:cstheme="minorHAnsi"/>
                      <w:sz w:val="18"/>
                      <w:szCs w:val="18"/>
                      <w:lang w:val="en-GB"/>
                    </w:rPr>
                    <w:t xml:space="preserve"> Cs</w:t>
                  </w:r>
                </w:p>
                <w:p w14:paraId="03D853DD"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 xml:space="preserve"> </w:t>
                  </w:r>
                </w:p>
              </w:tc>
              <w:tc>
                <w:tcPr>
                  <w:tcW w:w="668" w:type="dxa"/>
                  <w:tcBorders>
                    <w:top w:val="nil"/>
                    <w:left w:val="nil"/>
                    <w:bottom w:val="single" w:sz="4" w:space="0" w:color="auto"/>
                    <w:right w:val="single" w:sz="4" w:space="0" w:color="auto"/>
                  </w:tcBorders>
                  <w:shd w:val="clear" w:color="auto" w:fill="auto"/>
                  <w:noWrap/>
                  <w:tcMar>
                    <w:left w:w="57" w:type="dxa"/>
                    <w:right w:w="57" w:type="dxa"/>
                  </w:tcMar>
                  <w:hideMark/>
                </w:tcPr>
                <w:p w14:paraId="1D15FA56"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195</w:t>
                  </w:r>
                </w:p>
              </w:tc>
              <w:tc>
                <w:tcPr>
                  <w:tcW w:w="678" w:type="dxa"/>
                  <w:tcBorders>
                    <w:top w:val="nil"/>
                    <w:left w:val="nil"/>
                    <w:bottom w:val="single" w:sz="4" w:space="0" w:color="auto"/>
                    <w:right w:val="single" w:sz="4" w:space="0" w:color="auto"/>
                  </w:tcBorders>
                  <w:shd w:val="clear" w:color="auto" w:fill="auto"/>
                  <w:noWrap/>
                  <w:tcMar>
                    <w:left w:w="57" w:type="dxa"/>
                    <w:right w:w="57" w:type="dxa"/>
                  </w:tcMar>
                  <w:hideMark/>
                </w:tcPr>
                <w:p w14:paraId="6F317FCB"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206</w:t>
                  </w:r>
                </w:p>
              </w:tc>
              <w:tc>
                <w:tcPr>
                  <w:tcW w:w="665" w:type="dxa"/>
                  <w:tcBorders>
                    <w:top w:val="nil"/>
                    <w:left w:val="nil"/>
                    <w:bottom w:val="single" w:sz="4" w:space="0" w:color="auto"/>
                    <w:right w:val="single" w:sz="4" w:space="0" w:color="auto"/>
                  </w:tcBorders>
                  <w:noWrap/>
                  <w:tcMar>
                    <w:left w:w="57" w:type="dxa"/>
                    <w:right w:w="57" w:type="dxa"/>
                  </w:tcMar>
                  <w:hideMark/>
                </w:tcPr>
                <w:p w14:paraId="590084AF"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211</w:t>
                  </w:r>
                </w:p>
              </w:tc>
              <w:tc>
                <w:tcPr>
                  <w:tcW w:w="668" w:type="dxa"/>
                  <w:tcBorders>
                    <w:top w:val="nil"/>
                    <w:left w:val="nil"/>
                    <w:bottom w:val="single" w:sz="4" w:space="0" w:color="auto"/>
                    <w:right w:val="single" w:sz="4" w:space="0" w:color="auto"/>
                  </w:tcBorders>
                  <w:noWrap/>
                  <w:tcMar>
                    <w:left w:w="57" w:type="dxa"/>
                    <w:right w:w="57" w:type="dxa"/>
                  </w:tcMar>
                  <w:hideMark/>
                </w:tcPr>
                <w:p w14:paraId="03EF03D2"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217</w:t>
                  </w:r>
                </w:p>
              </w:tc>
              <w:tc>
                <w:tcPr>
                  <w:tcW w:w="697" w:type="dxa"/>
                  <w:tcBorders>
                    <w:top w:val="nil"/>
                    <w:left w:val="nil"/>
                    <w:bottom w:val="single" w:sz="4" w:space="0" w:color="auto"/>
                    <w:right w:val="nil"/>
                  </w:tcBorders>
                  <w:noWrap/>
                  <w:tcMar>
                    <w:left w:w="57" w:type="dxa"/>
                    <w:right w:w="57" w:type="dxa"/>
                  </w:tcMar>
                  <w:hideMark/>
                </w:tcPr>
                <w:p w14:paraId="03724564"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222</w:t>
                  </w:r>
                </w:p>
              </w:tc>
              <w:tc>
                <w:tcPr>
                  <w:tcW w:w="1002" w:type="dxa"/>
                  <w:tcBorders>
                    <w:top w:val="nil"/>
                    <w:left w:val="single" w:sz="4" w:space="0" w:color="auto"/>
                    <w:bottom w:val="single" w:sz="4" w:space="0" w:color="auto"/>
                    <w:right w:val="single" w:sz="4" w:space="0" w:color="auto"/>
                  </w:tcBorders>
                  <w:noWrap/>
                  <w:tcMar>
                    <w:left w:w="57" w:type="dxa"/>
                    <w:right w:w="57" w:type="dxa"/>
                  </w:tcMar>
                  <w:hideMark/>
                </w:tcPr>
                <w:p w14:paraId="51DCC659"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650</w:t>
                  </w:r>
                </w:p>
              </w:tc>
            </w:tr>
            <w:tr w:rsidR="00575754" w:rsidRPr="00575754" w14:paraId="0F9396CD" w14:textId="77777777" w:rsidTr="004A18A6">
              <w:trPr>
                <w:trHeight w:val="300"/>
              </w:trPr>
              <w:tc>
                <w:tcPr>
                  <w:tcW w:w="3668" w:type="dxa"/>
                  <w:gridSpan w:val="2"/>
                  <w:tcBorders>
                    <w:top w:val="single" w:sz="4" w:space="0" w:color="auto"/>
                    <w:left w:val="single" w:sz="4" w:space="0" w:color="auto"/>
                    <w:bottom w:val="single" w:sz="4" w:space="0" w:color="auto"/>
                    <w:right w:val="single" w:sz="4" w:space="0" w:color="000000"/>
                  </w:tcBorders>
                  <w:shd w:val="clear" w:color="auto" w:fill="FDE9D9"/>
                  <w:noWrap/>
                  <w:tcMar>
                    <w:left w:w="57" w:type="dxa"/>
                    <w:right w:w="57" w:type="dxa"/>
                  </w:tcMar>
                  <w:hideMark/>
                </w:tcPr>
                <w:p w14:paraId="568CA086"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Out of them XDR-TB</w:t>
                  </w:r>
                </w:p>
              </w:tc>
              <w:tc>
                <w:tcPr>
                  <w:tcW w:w="668" w:type="dxa"/>
                  <w:tcBorders>
                    <w:top w:val="nil"/>
                    <w:left w:val="nil"/>
                    <w:bottom w:val="single" w:sz="4" w:space="0" w:color="auto"/>
                    <w:right w:val="single" w:sz="4" w:space="0" w:color="auto"/>
                  </w:tcBorders>
                  <w:shd w:val="clear" w:color="auto" w:fill="auto"/>
                  <w:noWrap/>
                  <w:tcMar>
                    <w:left w:w="57" w:type="dxa"/>
                    <w:right w:w="57" w:type="dxa"/>
                  </w:tcMar>
                  <w:hideMark/>
                </w:tcPr>
                <w:p w14:paraId="6BF71EA0"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100</w:t>
                  </w:r>
                </w:p>
              </w:tc>
              <w:tc>
                <w:tcPr>
                  <w:tcW w:w="678" w:type="dxa"/>
                  <w:tcBorders>
                    <w:top w:val="nil"/>
                    <w:left w:val="nil"/>
                    <w:bottom w:val="single" w:sz="4" w:space="0" w:color="auto"/>
                    <w:right w:val="single" w:sz="4" w:space="0" w:color="auto"/>
                  </w:tcBorders>
                  <w:shd w:val="clear" w:color="auto" w:fill="auto"/>
                  <w:noWrap/>
                  <w:tcMar>
                    <w:left w:w="57" w:type="dxa"/>
                    <w:right w:w="57" w:type="dxa"/>
                  </w:tcMar>
                  <w:hideMark/>
                </w:tcPr>
                <w:p w14:paraId="025EDA30"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105</w:t>
                  </w:r>
                </w:p>
              </w:tc>
              <w:tc>
                <w:tcPr>
                  <w:tcW w:w="665" w:type="dxa"/>
                  <w:tcBorders>
                    <w:top w:val="nil"/>
                    <w:left w:val="nil"/>
                    <w:bottom w:val="single" w:sz="4" w:space="0" w:color="auto"/>
                    <w:right w:val="single" w:sz="4" w:space="0" w:color="auto"/>
                  </w:tcBorders>
                  <w:shd w:val="clear" w:color="auto" w:fill="FDE9D9"/>
                  <w:noWrap/>
                  <w:tcMar>
                    <w:left w:w="57" w:type="dxa"/>
                    <w:right w:w="57" w:type="dxa"/>
                  </w:tcMar>
                  <w:hideMark/>
                </w:tcPr>
                <w:p w14:paraId="0BE512DF"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110</w:t>
                  </w:r>
                </w:p>
              </w:tc>
              <w:tc>
                <w:tcPr>
                  <w:tcW w:w="668" w:type="dxa"/>
                  <w:tcBorders>
                    <w:top w:val="nil"/>
                    <w:left w:val="nil"/>
                    <w:bottom w:val="single" w:sz="4" w:space="0" w:color="auto"/>
                    <w:right w:val="single" w:sz="4" w:space="0" w:color="auto"/>
                  </w:tcBorders>
                  <w:shd w:val="clear" w:color="auto" w:fill="FDE9D9"/>
                  <w:noWrap/>
                  <w:tcMar>
                    <w:left w:w="57" w:type="dxa"/>
                    <w:right w:w="57" w:type="dxa"/>
                  </w:tcMar>
                  <w:hideMark/>
                </w:tcPr>
                <w:p w14:paraId="6E11A7AA"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115</w:t>
                  </w:r>
                </w:p>
              </w:tc>
              <w:tc>
                <w:tcPr>
                  <w:tcW w:w="697" w:type="dxa"/>
                  <w:tcBorders>
                    <w:top w:val="nil"/>
                    <w:left w:val="nil"/>
                    <w:bottom w:val="single" w:sz="4" w:space="0" w:color="auto"/>
                    <w:right w:val="nil"/>
                  </w:tcBorders>
                  <w:shd w:val="clear" w:color="auto" w:fill="FDE9D9"/>
                  <w:noWrap/>
                  <w:tcMar>
                    <w:left w:w="57" w:type="dxa"/>
                    <w:right w:w="57" w:type="dxa"/>
                  </w:tcMar>
                  <w:hideMark/>
                </w:tcPr>
                <w:p w14:paraId="365A0D80"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120</w:t>
                  </w:r>
                </w:p>
              </w:tc>
              <w:tc>
                <w:tcPr>
                  <w:tcW w:w="1002" w:type="dxa"/>
                  <w:tcBorders>
                    <w:top w:val="nil"/>
                    <w:left w:val="single" w:sz="4" w:space="0" w:color="auto"/>
                    <w:bottom w:val="single" w:sz="4" w:space="0" w:color="auto"/>
                    <w:right w:val="single" w:sz="4" w:space="0" w:color="auto"/>
                  </w:tcBorders>
                  <w:shd w:val="clear" w:color="auto" w:fill="FDE9D9"/>
                  <w:noWrap/>
                  <w:tcMar>
                    <w:left w:w="57" w:type="dxa"/>
                    <w:right w:w="57" w:type="dxa"/>
                  </w:tcMar>
                  <w:hideMark/>
                </w:tcPr>
                <w:p w14:paraId="37C4AFA8"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345</w:t>
                  </w:r>
                </w:p>
              </w:tc>
            </w:tr>
            <w:tr w:rsidR="00575754" w:rsidRPr="00575754" w14:paraId="592E1F12" w14:textId="77777777" w:rsidTr="004A18A6">
              <w:trPr>
                <w:trHeight w:val="300"/>
              </w:trPr>
              <w:tc>
                <w:tcPr>
                  <w:tcW w:w="950" w:type="dxa"/>
                  <w:tcBorders>
                    <w:top w:val="nil"/>
                    <w:left w:val="single" w:sz="4" w:space="0" w:color="auto"/>
                    <w:bottom w:val="single" w:sz="4" w:space="0" w:color="auto"/>
                    <w:right w:val="single" w:sz="4" w:space="0" w:color="auto"/>
                  </w:tcBorders>
                  <w:noWrap/>
                  <w:tcMar>
                    <w:left w:w="57" w:type="dxa"/>
                    <w:right w:w="57" w:type="dxa"/>
                  </w:tcMar>
                  <w:hideMark/>
                </w:tcPr>
                <w:p w14:paraId="2C0CF6FD"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XDR</w:t>
                  </w:r>
                </w:p>
              </w:tc>
              <w:tc>
                <w:tcPr>
                  <w:tcW w:w="2718" w:type="dxa"/>
                  <w:tcBorders>
                    <w:top w:val="nil"/>
                    <w:left w:val="nil"/>
                    <w:bottom w:val="single" w:sz="4" w:space="0" w:color="auto"/>
                    <w:right w:val="single" w:sz="4" w:space="0" w:color="auto"/>
                  </w:tcBorders>
                  <w:noWrap/>
                  <w:tcMar>
                    <w:left w:w="57" w:type="dxa"/>
                    <w:right w:w="57" w:type="dxa"/>
                  </w:tcMar>
                  <w:hideMark/>
                </w:tcPr>
                <w:p w14:paraId="086C0A73"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 xml:space="preserve">6 </w:t>
                  </w:r>
                  <w:proofErr w:type="spellStart"/>
                  <w:r w:rsidRPr="002831B7">
                    <w:rPr>
                      <w:rFonts w:asciiTheme="minorHAnsi" w:hAnsiTheme="minorHAnsi" w:cstheme="minorHAnsi"/>
                      <w:sz w:val="18"/>
                      <w:szCs w:val="18"/>
                      <w:lang w:val="en-GB"/>
                    </w:rPr>
                    <w:t>Bdq</w:t>
                  </w:r>
                  <w:proofErr w:type="spellEnd"/>
                  <w:r w:rsidRPr="002831B7">
                    <w:rPr>
                      <w:rFonts w:asciiTheme="minorHAnsi" w:hAnsiTheme="minorHAnsi" w:cstheme="minorHAnsi"/>
                      <w:sz w:val="18"/>
                      <w:szCs w:val="18"/>
                      <w:lang w:val="en-GB"/>
                    </w:rPr>
                    <w:t xml:space="preserve"> Pa </w:t>
                  </w:r>
                  <w:proofErr w:type="spellStart"/>
                  <w:r w:rsidRPr="002831B7">
                    <w:rPr>
                      <w:rFonts w:asciiTheme="minorHAnsi" w:hAnsiTheme="minorHAnsi" w:cstheme="minorHAnsi"/>
                      <w:sz w:val="18"/>
                      <w:szCs w:val="18"/>
                      <w:lang w:val="en-GB"/>
                    </w:rPr>
                    <w:t>Lzd</w:t>
                  </w:r>
                  <w:proofErr w:type="spellEnd"/>
                </w:p>
              </w:tc>
              <w:tc>
                <w:tcPr>
                  <w:tcW w:w="668" w:type="dxa"/>
                  <w:tcBorders>
                    <w:top w:val="nil"/>
                    <w:left w:val="nil"/>
                    <w:bottom w:val="single" w:sz="4" w:space="0" w:color="auto"/>
                    <w:right w:val="single" w:sz="4" w:space="0" w:color="auto"/>
                  </w:tcBorders>
                  <w:shd w:val="clear" w:color="auto" w:fill="auto"/>
                  <w:noWrap/>
                  <w:tcMar>
                    <w:left w:w="57" w:type="dxa"/>
                    <w:right w:w="57" w:type="dxa"/>
                  </w:tcMar>
                  <w:hideMark/>
                </w:tcPr>
                <w:p w14:paraId="33D99CA5"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0</w:t>
                  </w:r>
                </w:p>
              </w:tc>
              <w:tc>
                <w:tcPr>
                  <w:tcW w:w="678" w:type="dxa"/>
                  <w:tcBorders>
                    <w:top w:val="nil"/>
                    <w:left w:val="nil"/>
                    <w:bottom w:val="single" w:sz="4" w:space="0" w:color="auto"/>
                    <w:right w:val="single" w:sz="4" w:space="0" w:color="auto"/>
                  </w:tcBorders>
                  <w:shd w:val="clear" w:color="auto" w:fill="auto"/>
                  <w:noWrap/>
                  <w:tcMar>
                    <w:left w:w="57" w:type="dxa"/>
                    <w:right w:w="57" w:type="dxa"/>
                  </w:tcMar>
                  <w:hideMark/>
                </w:tcPr>
                <w:p w14:paraId="3E5B28A1"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50</w:t>
                  </w:r>
                </w:p>
              </w:tc>
              <w:tc>
                <w:tcPr>
                  <w:tcW w:w="665" w:type="dxa"/>
                  <w:tcBorders>
                    <w:top w:val="nil"/>
                    <w:left w:val="nil"/>
                    <w:bottom w:val="single" w:sz="4" w:space="0" w:color="auto"/>
                    <w:right w:val="single" w:sz="4" w:space="0" w:color="auto"/>
                  </w:tcBorders>
                  <w:noWrap/>
                  <w:tcMar>
                    <w:left w:w="57" w:type="dxa"/>
                    <w:right w:w="57" w:type="dxa"/>
                  </w:tcMar>
                  <w:hideMark/>
                </w:tcPr>
                <w:p w14:paraId="4A32754A"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50</w:t>
                  </w:r>
                </w:p>
              </w:tc>
              <w:tc>
                <w:tcPr>
                  <w:tcW w:w="668" w:type="dxa"/>
                  <w:tcBorders>
                    <w:top w:val="nil"/>
                    <w:left w:val="nil"/>
                    <w:bottom w:val="single" w:sz="4" w:space="0" w:color="auto"/>
                    <w:right w:val="single" w:sz="4" w:space="0" w:color="auto"/>
                  </w:tcBorders>
                  <w:noWrap/>
                  <w:tcMar>
                    <w:left w:w="57" w:type="dxa"/>
                    <w:right w:w="57" w:type="dxa"/>
                  </w:tcMar>
                  <w:hideMark/>
                </w:tcPr>
                <w:p w14:paraId="0CCA78B2"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60</w:t>
                  </w:r>
                </w:p>
              </w:tc>
              <w:tc>
                <w:tcPr>
                  <w:tcW w:w="697" w:type="dxa"/>
                  <w:tcBorders>
                    <w:top w:val="nil"/>
                    <w:left w:val="nil"/>
                    <w:bottom w:val="single" w:sz="4" w:space="0" w:color="auto"/>
                    <w:right w:val="nil"/>
                  </w:tcBorders>
                  <w:noWrap/>
                  <w:tcMar>
                    <w:left w:w="57" w:type="dxa"/>
                    <w:right w:w="57" w:type="dxa"/>
                  </w:tcMar>
                  <w:hideMark/>
                </w:tcPr>
                <w:p w14:paraId="4E84EBDA"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70</w:t>
                  </w:r>
                </w:p>
              </w:tc>
              <w:tc>
                <w:tcPr>
                  <w:tcW w:w="1002" w:type="dxa"/>
                  <w:tcBorders>
                    <w:top w:val="nil"/>
                    <w:left w:val="single" w:sz="4" w:space="0" w:color="auto"/>
                    <w:bottom w:val="single" w:sz="4" w:space="0" w:color="auto"/>
                    <w:right w:val="single" w:sz="4" w:space="0" w:color="auto"/>
                  </w:tcBorders>
                  <w:noWrap/>
                  <w:tcMar>
                    <w:left w:w="57" w:type="dxa"/>
                    <w:right w:w="57" w:type="dxa"/>
                  </w:tcMar>
                  <w:hideMark/>
                </w:tcPr>
                <w:p w14:paraId="5C58E3F5"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180</w:t>
                  </w:r>
                </w:p>
              </w:tc>
            </w:tr>
            <w:tr w:rsidR="00575754" w:rsidRPr="00575754" w14:paraId="5B7E8A55" w14:textId="77777777" w:rsidTr="004A18A6">
              <w:trPr>
                <w:trHeight w:val="300"/>
              </w:trPr>
              <w:tc>
                <w:tcPr>
                  <w:tcW w:w="950" w:type="dxa"/>
                  <w:tcBorders>
                    <w:top w:val="nil"/>
                    <w:left w:val="single" w:sz="4" w:space="0" w:color="auto"/>
                    <w:bottom w:val="single" w:sz="4" w:space="0" w:color="auto"/>
                    <w:right w:val="single" w:sz="4" w:space="0" w:color="auto"/>
                  </w:tcBorders>
                  <w:noWrap/>
                  <w:tcMar>
                    <w:left w:w="57" w:type="dxa"/>
                    <w:right w:w="57" w:type="dxa"/>
                  </w:tcMar>
                  <w:hideMark/>
                </w:tcPr>
                <w:p w14:paraId="596AD30C"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 </w:t>
                  </w:r>
                </w:p>
              </w:tc>
              <w:tc>
                <w:tcPr>
                  <w:tcW w:w="2718" w:type="dxa"/>
                  <w:tcBorders>
                    <w:top w:val="nil"/>
                    <w:left w:val="nil"/>
                    <w:bottom w:val="single" w:sz="4" w:space="0" w:color="auto"/>
                    <w:right w:val="single" w:sz="4" w:space="0" w:color="auto"/>
                  </w:tcBorders>
                  <w:noWrap/>
                  <w:tcMar>
                    <w:left w:w="57" w:type="dxa"/>
                    <w:right w:w="57" w:type="dxa"/>
                  </w:tcMar>
                  <w:hideMark/>
                </w:tcPr>
                <w:p w14:paraId="722F6792" w14:textId="77777777" w:rsidR="00575754" w:rsidRPr="002831B7" w:rsidRDefault="00575754" w:rsidP="002831B7">
                  <w:pPr>
                    <w:spacing w:after="0"/>
                    <w:ind w:right="-86"/>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 xml:space="preserve">18-20 </w:t>
                  </w:r>
                  <w:proofErr w:type="spellStart"/>
                  <w:r w:rsidRPr="002831B7">
                    <w:rPr>
                      <w:rFonts w:asciiTheme="minorHAnsi" w:hAnsiTheme="minorHAnsi" w:cstheme="minorHAnsi"/>
                      <w:sz w:val="18"/>
                      <w:szCs w:val="18"/>
                      <w:lang w:val="en-GB"/>
                    </w:rPr>
                    <w:t>Bdq</w:t>
                  </w:r>
                  <w:proofErr w:type="spellEnd"/>
                  <w:r w:rsidRPr="002831B7">
                    <w:rPr>
                      <w:rFonts w:asciiTheme="minorHAnsi" w:hAnsiTheme="minorHAnsi" w:cstheme="minorHAnsi"/>
                      <w:sz w:val="18"/>
                      <w:szCs w:val="18"/>
                      <w:lang w:val="en-GB"/>
                    </w:rPr>
                    <w:t xml:space="preserve"> </w:t>
                  </w:r>
                  <w:proofErr w:type="spellStart"/>
                  <w:r w:rsidRPr="002831B7">
                    <w:rPr>
                      <w:rFonts w:asciiTheme="minorHAnsi" w:hAnsiTheme="minorHAnsi" w:cstheme="minorHAnsi"/>
                      <w:sz w:val="18"/>
                      <w:szCs w:val="18"/>
                      <w:lang w:val="en-GB"/>
                    </w:rPr>
                    <w:t>Dlm</w:t>
                  </w:r>
                  <w:proofErr w:type="spellEnd"/>
                  <w:r w:rsidRPr="002831B7">
                    <w:rPr>
                      <w:rFonts w:asciiTheme="minorHAnsi" w:hAnsiTheme="minorHAnsi" w:cstheme="minorHAnsi"/>
                      <w:sz w:val="18"/>
                      <w:szCs w:val="18"/>
                      <w:lang w:val="en-GB"/>
                    </w:rPr>
                    <w:t xml:space="preserve"> Imp </w:t>
                  </w:r>
                  <w:proofErr w:type="spellStart"/>
                  <w:r w:rsidRPr="002831B7">
                    <w:rPr>
                      <w:rFonts w:asciiTheme="minorHAnsi" w:hAnsiTheme="minorHAnsi" w:cstheme="minorHAnsi"/>
                      <w:sz w:val="18"/>
                      <w:szCs w:val="18"/>
                      <w:lang w:val="en-GB"/>
                    </w:rPr>
                    <w:t>Cfz</w:t>
                  </w:r>
                  <w:proofErr w:type="spellEnd"/>
                  <w:r w:rsidRPr="002831B7">
                    <w:rPr>
                      <w:rFonts w:asciiTheme="minorHAnsi" w:hAnsiTheme="minorHAnsi" w:cstheme="minorHAnsi"/>
                      <w:sz w:val="18"/>
                      <w:szCs w:val="18"/>
                      <w:lang w:val="en-GB"/>
                    </w:rPr>
                    <w:t xml:space="preserve"> </w:t>
                  </w:r>
                  <w:proofErr w:type="spellStart"/>
                  <w:r w:rsidRPr="002831B7">
                    <w:rPr>
                      <w:rFonts w:asciiTheme="minorHAnsi" w:hAnsiTheme="minorHAnsi" w:cstheme="minorHAnsi"/>
                      <w:sz w:val="18"/>
                      <w:szCs w:val="18"/>
                      <w:lang w:val="en-GB"/>
                    </w:rPr>
                    <w:t>Lzd</w:t>
                  </w:r>
                  <w:proofErr w:type="spellEnd"/>
                  <w:r w:rsidRPr="002831B7">
                    <w:rPr>
                      <w:rFonts w:asciiTheme="minorHAnsi" w:hAnsiTheme="minorHAnsi" w:cstheme="minorHAnsi"/>
                      <w:sz w:val="18"/>
                      <w:szCs w:val="18"/>
                      <w:lang w:val="en-GB"/>
                    </w:rPr>
                    <w:t xml:space="preserve"> Cs </w:t>
                  </w:r>
                </w:p>
              </w:tc>
              <w:tc>
                <w:tcPr>
                  <w:tcW w:w="668" w:type="dxa"/>
                  <w:tcBorders>
                    <w:top w:val="nil"/>
                    <w:left w:val="nil"/>
                    <w:bottom w:val="single" w:sz="4" w:space="0" w:color="auto"/>
                    <w:right w:val="single" w:sz="4" w:space="0" w:color="auto"/>
                  </w:tcBorders>
                  <w:shd w:val="clear" w:color="auto" w:fill="auto"/>
                  <w:noWrap/>
                  <w:tcMar>
                    <w:left w:w="57" w:type="dxa"/>
                    <w:right w:w="57" w:type="dxa"/>
                  </w:tcMar>
                  <w:hideMark/>
                </w:tcPr>
                <w:p w14:paraId="1FA541AE"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100</w:t>
                  </w:r>
                </w:p>
              </w:tc>
              <w:tc>
                <w:tcPr>
                  <w:tcW w:w="678" w:type="dxa"/>
                  <w:tcBorders>
                    <w:top w:val="nil"/>
                    <w:left w:val="nil"/>
                    <w:bottom w:val="single" w:sz="4" w:space="0" w:color="auto"/>
                    <w:right w:val="single" w:sz="4" w:space="0" w:color="auto"/>
                  </w:tcBorders>
                  <w:shd w:val="clear" w:color="auto" w:fill="auto"/>
                  <w:noWrap/>
                  <w:tcMar>
                    <w:left w:w="57" w:type="dxa"/>
                    <w:right w:w="57" w:type="dxa"/>
                  </w:tcMar>
                  <w:hideMark/>
                </w:tcPr>
                <w:p w14:paraId="21D56A95"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105</w:t>
                  </w:r>
                </w:p>
              </w:tc>
              <w:tc>
                <w:tcPr>
                  <w:tcW w:w="665" w:type="dxa"/>
                  <w:tcBorders>
                    <w:top w:val="nil"/>
                    <w:left w:val="nil"/>
                    <w:bottom w:val="single" w:sz="4" w:space="0" w:color="auto"/>
                    <w:right w:val="single" w:sz="4" w:space="0" w:color="auto"/>
                  </w:tcBorders>
                  <w:noWrap/>
                  <w:tcMar>
                    <w:left w:w="57" w:type="dxa"/>
                    <w:right w:w="57" w:type="dxa"/>
                  </w:tcMar>
                  <w:hideMark/>
                </w:tcPr>
                <w:p w14:paraId="13669CB7"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60</w:t>
                  </w:r>
                </w:p>
              </w:tc>
              <w:tc>
                <w:tcPr>
                  <w:tcW w:w="668" w:type="dxa"/>
                  <w:tcBorders>
                    <w:top w:val="nil"/>
                    <w:left w:val="nil"/>
                    <w:bottom w:val="single" w:sz="4" w:space="0" w:color="auto"/>
                    <w:right w:val="single" w:sz="4" w:space="0" w:color="auto"/>
                  </w:tcBorders>
                  <w:noWrap/>
                  <w:tcMar>
                    <w:left w:w="57" w:type="dxa"/>
                    <w:right w:w="57" w:type="dxa"/>
                  </w:tcMar>
                  <w:hideMark/>
                </w:tcPr>
                <w:p w14:paraId="6296D000"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55</w:t>
                  </w:r>
                </w:p>
              </w:tc>
              <w:tc>
                <w:tcPr>
                  <w:tcW w:w="697" w:type="dxa"/>
                  <w:tcBorders>
                    <w:top w:val="nil"/>
                    <w:left w:val="nil"/>
                    <w:bottom w:val="single" w:sz="4" w:space="0" w:color="auto"/>
                    <w:right w:val="nil"/>
                  </w:tcBorders>
                  <w:noWrap/>
                  <w:tcMar>
                    <w:left w:w="57" w:type="dxa"/>
                    <w:right w:w="57" w:type="dxa"/>
                  </w:tcMar>
                  <w:hideMark/>
                </w:tcPr>
                <w:p w14:paraId="4EB680B1"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50</w:t>
                  </w:r>
                </w:p>
              </w:tc>
              <w:tc>
                <w:tcPr>
                  <w:tcW w:w="1002" w:type="dxa"/>
                  <w:tcBorders>
                    <w:top w:val="nil"/>
                    <w:left w:val="single" w:sz="4" w:space="0" w:color="auto"/>
                    <w:bottom w:val="single" w:sz="4" w:space="0" w:color="auto"/>
                    <w:right w:val="single" w:sz="4" w:space="0" w:color="auto"/>
                  </w:tcBorders>
                  <w:noWrap/>
                  <w:tcMar>
                    <w:left w:w="57" w:type="dxa"/>
                    <w:right w:w="57" w:type="dxa"/>
                  </w:tcMar>
                  <w:hideMark/>
                </w:tcPr>
                <w:p w14:paraId="4A73E755" w14:textId="77777777" w:rsidR="00575754" w:rsidRPr="002831B7" w:rsidRDefault="00575754" w:rsidP="002831B7">
                  <w:pPr>
                    <w:spacing w:after="0"/>
                    <w:jc w:val="both"/>
                    <w:rPr>
                      <w:rFonts w:asciiTheme="minorHAnsi" w:hAnsiTheme="minorHAnsi" w:cstheme="minorHAnsi"/>
                      <w:sz w:val="18"/>
                      <w:szCs w:val="18"/>
                      <w:lang w:val="en-GB"/>
                    </w:rPr>
                  </w:pPr>
                  <w:r w:rsidRPr="002831B7">
                    <w:rPr>
                      <w:rFonts w:asciiTheme="minorHAnsi" w:hAnsiTheme="minorHAnsi" w:cstheme="minorHAnsi"/>
                      <w:sz w:val="18"/>
                      <w:szCs w:val="18"/>
                      <w:lang w:val="en-GB"/>
                    </w:rPr>
                    <w:t>165</w:t>
                  </w:r>
                </w:p>
              </w:tc>
            </w:tr>
          </w:tbl>
          <w:p w14:paraId="14FF5278" w14:textId="77777777" w:rsidR="004A18A6" w:rsidRDefault="004A18A6" w:rsidP="002831B7">
            <w:pPr>
              <w:jc w:val="both"/>
              <w:rPr>
                <w:rFonts w:cs="Calibri"/>
                <w:sz w:val="20"/>
                <w:lang w:val="en-GB"/>
              </w:rPr>
            </w:pPr>
          </w:p>
          <w:p w14:paraId="7BD6CFC4" w14:textId="3E566F79" w:rsidR="00575754" w:rsidRPr="004A18A6" w:rsidRDefault="00575754" w:rsidP="002831B7">
            <w:pPr>
              <w:jc w:val="both"/>
              <w:rPr>
                <w:rFonts w:cs="Calibri"/>
                <w:sz w:val="20"/>
                <w:lang w:val="en-GB"/>
              </w:rPr>
            </w:pPr>
            <w:r w:rsidRPr="004A18A6">
              <w:rPr>
                <w:rFonts w:cs="Calibri"/>
                <w:sz w:val="20"/>
                <w:lang w:val="en-GB"/>
              </w:rPr>
              <w:t xml:space="preserve">The set of drugs </w:t>
            </w:r>
            <w:proofErr w:type="gramStart"/>
            <w:r w:rsidRPr="004A18A6">
              <w:rPr>
                <w:rFonts w:cs="Calibri"/>
                <w:sz w:val="20"/>
                <w:lang w:val="en-GB"/>
              </w:rPr>
              <w:t>is estimated</w:t>
            </w:r>
            <w:proofErr w:type="gramEnd"/>
            <w:r w:rsidRPr="004A18A6">
              <w:rPr>
                <w:rFonts w:cs="Calibri"/>
                <w:sz w:val="20"/>
                <w:lang w:val="en-GB"/>
              </w:rPr>
              <w:t xml:space="preserve"> based on actual trends in detection and treatment of DR-TB. </w:t>
            </w:r>
            <w:proofErr w:type="gramStart"/>
            <w:r w:rsidRPr="004A18A6">
              <w:rPr>
                <w:rFonts w:cs="Calibri"/>
                <w:sz w:val="20"/>
                <w:lang w:val="en-GB"/>
              </w:rPr>
              <w:t>In order to</w:t>
            </w:r>
            <w:proofErr w:type="gramEnd"/>
            <w:r w:rsidRPr="004A18A6">
              <w:rPr>
                <w:rFonts w:cs="Calibri"/>
                <w:sz w:val="20"/>
                <w:lang w:val="en-GB"/>
              </w:rPr>
              <w:t xml:space="preserve"> achieve UN targets the number of patients to be identified and treated with the support of partners will be requested under PAAR.</w:t>
            </w:r>
          </w:p>
          <w:p w14:paraId="7AED8B82" w14:textId="77777777" w:rsidR="00575754" w:rsidRPr="00575754" w:rsidRDefault="00575754" w:rsidP="002831B7">
            <w:pPr>
              <w:jc w:val="both"/>
              <w:rPr>
                <w:rFonts w:cs="Calibri"/>
                <w:sz w:val="20"/>
                <w:lang w:val="en-GB"/>
              </w:rPr>
            </w:pPr>
            <w:r w:rsidRPr="00575754">
              <w:rPr>
                <w:rFonts w:cs="Calibri"/>
                <w:sz w:val="20"/>
                <w:lang w:val="en-GB"/>
              </w:rPr>
              <w:t xml:space="preserve">2. Procurement of reagents, chemical agents and consumables. External quality control of laboratories. Maintenance of laboratory equipment. </w:t>
            </w:r>
          </w:p>
          <w:p w14:paraId="060DFD6E" w14:textId="77777777" w:rsidR="00575754" w:rsidRPr="00575754" w:rsidRDefault="00575754" w:rsidP="002831B7">
            <w:pPr>
              <w:jc w:val="both"/>
              <w:rPr>
                <w:rFonts w:cs="Calibri"/>
                <w:sz w:val="20"/>
                <w:lang w:val="en-GB"/>
              </w:rPr>
            </w:pPr>
            <w:r w:rsidRPr="00575754">
              <w:rPr>
                <w:rFonts w:cs="Calibri"/>
                <w:sz w:val="20"/>
                <w:lang w:val="en-GB"/>
              </w:rPr>
              <w:t xml:space="preserve">3. System for transportation of biological material and TB drugs. The transportation system will ensure timely delivery of biological material and early initiation of tests and obtaining results for timely prescription of adequate therapy. </w:t>
            </w:r>
          </w:p>
          <w:p w14:paraId="61C01A88" w14:textId="77777777" w:rsidR="00575754" w:rsidRPr="00575754" w:rsidRDefault="00575754" w:rsidP="002831B7">
            <w:pPr>
              <w:jc w:val="both"/>
              <w:rPr>
                <w:rFonts w:cs="Calibri"/>
                <w:sz w:val="20"/>
                <w:lang w:val="en-GB"/>
              </w:rPr>
            </w:pPr>
            <w:r w:rsidRPr="00575754">
              <w:rPr>
                <w:rFonts w:cs="Calibri"/>
                <w:sz w:val="20"/>
                <w:lang w:val="en-GB"/>
              </w:rPr>
              <w:t xml:space="preserve">4. Conducting training sessions, seminars, trainings on patients' rights and counselling for health workers in PHC settings. </w:t>
            </w:r>
          </w:p>
          <w:p w14:paraId="0A05811D" w14:textId="412DE283" w:rsidR="00575754" w:rsidRPr="00575754" w:rsidRDefault="00575754" w:rsidP="002831B7">
            <w:pPr>
              <w:spacing w:after="0"/>
              <w:jc w:val="both"/>
              <w:rPr>
                <w:rFonts w:ascii="Calibri" w:hAnsi="Calibri" w:cs="Times New Roman"/>
              </w:rPr>
            </w:pPr>
            <w:r w:rsidRPr="00575754">
              <w:rPr>
                <w:rFonts w:cs="Calibri"/>
                <w:sz w:val="20"/>
                <w:lang w:val="en-GB"/>
              </w:rPr>
              <w:t xml:space="preserve">5. Enhancing the efficacy of MDR-TB treatment. Following the positive outcomes of previously implemented activities with involvement of case managers, it is necessary to continue and expand this practice and support case managers by including them in the staff of health organisations and continue rolling out the model of care delivery to DR-TB patients in Bishkek city and in each oblast. It </w:t>
            </w:r>
            <w:proofErr w:type="gramStart"/>
            <w:r w:rsidRPr="00575754">
              <w:rPr>
                <w:rFonts w:cs="Calibri"/>
                <w:sz w:val="20"/>
                <w:lang w:val="en-GB"/>
              </w:rPr>
              <w:t>is intended</w:t>
            </w:r>
            <w:proofErr w:type="gramEnd"/>
            <w:r w:rsidRPr="00575754">
              <w:rPr>
                <w:rFonts w:cs="Calibri"/>
                <w:sz w:val="20"/>
                <w:lang w:val="en-GB"/>
              </w:rPr>
              <w:t xml:space="preserve"> to involve civil society organizations/NGOs specialized in countering TB to advise patients and their environment, deliver TB drugs to patients and follow-up the treatment as well as to provide psycho-social counselling to patients. To continue promoting adherence to treatment of DR-TB patients (MDR and XDR </w:t>
            </w:r>
            <w:r w:rsidRPr="00575754">
              <w:rPr>
                <w:rFonts w:cs="Calibri"/>
                <w:sz w:val="20"/>
                <w:lang w:val="en-GB"/>
              </w:rPr>
              <w:lastRenderedPageBreak/>
              <w:t>only) through monthly motivational payments worth of 1,000 KGS which includes travel costs to the venue of regular check-up and internet access fees for video DOT</w:t>
            </w:r>
            <w:r w:rsidR="00EF218A">
              <w:rPr>
                <w:rStyle w:val="af"/>
                <w:rFonts w:cs="Calibri"/>
                <w:sz w:val="20"/>
              </w:rPr>
              <w:footnoteReference w:id="40"/>
            </w:r>
            <w:r w:rsidRPr="00575754">
              <w:rPr>
                <w:rFonts w:cs="Calibri"/>
                <w:sz w:val="20"/>
                <w:lang w:val="en-GB"/>
              </w:rPr>
              <w:t xml:space="preserve">. </w:t>
            </w:r>
          </w:p>
        </w:tc>
      </w:tr>
      <w:tr w:rsidR="00575754" w:rsidRPr="00BF4BEE" w14:paraId="1096BDD3" w14:textId="77777777" w:rsidTr="00245DCD">
        <w:trPr>
          <w:trHeight w:val="431"/>
        </w:trPr>
        <w:tc>
          <w:tcPr>
            <w:tcW w:w="2448" w:type="dxa"/>
            <w:shd w:val="clear" w:color="auto" w:fill="F2F2F2"/>
            <w:vAlign w:val="center"/>
          </w:tcPr>
          <w:p w14:paraId="256DAB93" w14:textId="77777777" w:rsidR="00575754" w:rsidRPr="00BF4BEE" w:rsidRDefault="00575754" w:rsidP="00575754">
            <w:pPr>
              <w:spacing w:after="0"/>
            </w:pPr>
            <w:r w:rsidRPr="00BF4BEE">
              <w:lastRenderedPageBreak/>
              <w:t>Expected Outcome</w:t>
            </w:r>
          </w:p>
        </w:tc>
        <w:tc>
          <w:tcPr>
            <w:tcW w:w="7902" w:type="dxa"/>
          </w:tcPr>
          <w:p w14:paraId="03F3A872" w14:textId="77777777" w:rsidR="00575754" w:rsidRPr="00912C27" w:rsidRDefault="00575754" w:rsidP="002831B7">
            <w:pPr>
              <w:jc w:val="both"/>
              <w:rPr>
                <w:rFonts w:cs="Calibri"/>
                <w:sz w:val="20"/>
                <w:lang w:val="en-GB"/>
              </w:rPr>
            </w:pPr>
            <w:r w:rsidRPr="00912C27">
              <w:rPr>
                <w:rFonts w:cs="Calibri"/>
                <w:sz w:val="20"/>
                <w:lang w:val="en-GB"/>
              </w:rPr>
              <w:t>Improved access to new TB drugs and modern approaches in DR-TB diagnosis and treatment. Involvement of the civil sector.</w:t>
            </w:r>
          </w:p>
          <w:p w14:paraId="7B5BECC2" w14:textId="3591C534" w:rsidR="00575754" w:rsidRPr="00BF4BEE" w:rsidRDefault="00575754" w:rsidP="002831B7">
            <w:pPr>
              <w:spacing w:after="0"/>
              <w:jc w:val="both"/>
              <w:rPr>
                <w:rFonts w:ascii="Calibri" w:hAnsi="Calibri" w:cs="Times New Roman"/>
              </w:rPr>
            </w:pPr>
            <w:r w:rsidRPr="00912C27">
              <w:rPr>
                <w:rFonts w:cs="Calibri"/>
                <w:sz w:val="20"/>
                <w:lang w:val="en-GB"/>
              </w:rPr>
              <w:t>Increasing the coverage by testing and treatment, reducing the number of patients lost to follow-up by up to 10%, increasing MDR TB treatment efficacy up to 75%, reducing TB caused mortality rate down to 4.6 and reducing the incidence rate to 106 per 100,000 population.</w:t>
            </w:r>
          </w:p>
        </w:tc>
      </w:tr>
    </w:tbl>
    <w:p w14:paraId="59511E01" w14:textId="77777777" w:rsidR="00575754" w:rsidRDefault="00575754" w:rsidP="00BE0F0C">
      <w:pPr>
        <w:spacing w:after="0"/>
        <w:rPr>
          <w:i/>
          <w:sz w:val="16"/>
          <w:szCs w:val="16"/>
        </w:rPr>
      </w:pPr>
    </w:p>
    <w:tbl>
      <w:tblPr>
        <w:tblStyle w:val="TableGrid3"/>
        <w:tblW w:w="10350" w:type="dxa"/>
        <w:tblInd w:w="-5" w:type="dxa"/>
        <w:tblLook w:val="04A0" w:firstRow="1" w:lastRow="0" w:firstColumn="1" w:lastColumn="0" w:noHBand="0" w:noVBand="1"/>
      </w:tblPr>
      <w:tblGrid>
        <w:gridCol w:w="2268"/>
        <w:gridCol w:w="8082"/>
      </w:tblGrid>
      <w:tr w:rsidR="00575754" w:rsidRPr="00BF4BEE" w14:paraId="1ECDB322" w14:textId="77777777" w:rsidTr="004A18A6">
        <w:trPr>
          <w:trHeight w:val="422"/>
        </w:trPr>
        <w:tc>
          <w:tcPr>
            <w:tcW w:w="2268" w:type="dxa"/>
            <w:shd w:val="clear" w:color="auto" w:fill="F2F2F2"/>
            <w:vAlign w:val="center"/>
          </w:tcPr>
          <w:p w14:paraId="63B43C60" w14:textId="77777777" w:rsidR="00575754" w:rsidRPr="00BF4BEE" w:rsidRDefault="00575754" w:rsidP="00575754">
            <w:pPr>
              <w:spacing w:after="0"/>
            </w:pPr>
            <w:r>
              <w:t xml:space="preserve">Component </w:t>
            </w:r>
          </w:p>
        </w:tc>
        <w:tc>
          <w:tcPr>
            <w:tcW w:w="8082" w:type="dxa"/>
          </w:tcPr>
          <w:p w14:paraId="147D1CFC" w14:textId="01C7878B" w:rsidR="00575754" w:rsidRPr="00BF4BEE" w:rsidRDefault="00575754" w:rsidP="004A18A6">
            <w:pPr>
              <w:spacing w:after="0"/>
              <w:jc w:val="both"/>
              <w:rPr>
                <w:rFonts w:ascii="Calibri" w:hAnsi="Calibri" w:cs="Times New Roman"/>
              </w:rPr>
            </w:pPr>
            <w:r w:rsidRPr="00912C27">
              <w:rPr>
                <w:sz w:val="20"/>
                <w:lang w:val="en-GB"/>
              </w:rPr>
              <w:t>TB/HIV</w:t>
            </w:r>
          </w:p>
        </w:tc>
      </w:tr>
      <w:tr w:rsidR="00575754" w:rsidRPr="00BF4BEE" w14:paraId="02977651" w14:textId="77777777" w:rsidTr="004A18A6">
        <w:trPr>
          <w:trHeight w:val="440"/>
        </w:trPr>
        <w:tc>
          <w:tcPr>
            <w:tcW w:w="2268" w:type="dxa"/>
            <w:shd w:val="clear" w:color="auto" w:fill="F2F2F2"/>
            <w:vAlign w:val="center"/>
          </w:tcPr>
          <w:p w14:paraId="545DF30C" w14:textId="77777777" w:rsidR="00575754" w:rsidRPr="00BF4BEE" w:rsidRDefault="00575754" w:rsidP="00575754">
            <w:pPr>
              <w:spacing w:after="0"/>
            </w:pPr>
            <w:r>
              <w:t>Module/i</w:t>
            </w:r>
            <w:r w:rsidRPr="00BF4BEE">
              <w:t>nterventions</w:t>
            </w:r>
          </w:p>
        </w:tc>
        <w:tc>
          <w:tcPr>
            <w:tcW w:w="8082" w:type="dxa"/>
          </w:tcPr>
          <w:p w14:paraId="6B0B7FA4" w14:textId="77777777" w:rsidR="00575754" w:rsidRPr="0055174C" w:rsidRDefault="00575754" w:rsidP="0055174C">
            <w:pPr>
              <w:pStyle w:val="affff3"/>
              <w:numPr>
                <w:ilvl w:val="0"/>
                <w:numId w:val="28"/>
              </w:numPr>
              <w:spacing w:after="0" w:line="240" w:lineRule="auto"/>
              <w:jc w:val="both"/>
              <w:rPr>
                <w:rFonts w:cs="Calibri"/>
                <w:sz w:val="20"/>
                <w:lang w:val="en-GB"/>
              </w:rPr>
            </w:pPr>
            <w:r w:rsidRPr="0055174C">
              <w:rPr>
                <w:rFonts w:cs="Calibri"/>
                <w:sz w:val="20"/>
                <w:lang w:val="en-GB"/>
              </w:rPr>
              <w:t xml:space="preserve">Joint efforts to respond to TB/HIV </w:t>
            </w:r>
          </w:p>
          <w:p w14:paraId="332C9870" w14:textId="77777777" w:rsidR="00575754" w:rsidRPr="0055174C" w:rsidRDefault="00575754" w:rsidP="0055174C">
            <w:pPr>
              <w:pStyle w:val="affff3"/>
              <w:numPr>
                <w:ilvl w:val="0"/>
                <w:numId w:val="28"/>
              </w:numPr>
              <w:spacing w:after="0" w:line="240" w:lineRule="auto"/>
              <w:jc w:val="both"/>
              <w:rPr>
                <w:rFonts w:cs="Calibri"/>
                <w:sz w:val="20"/>
                <w:lang w:val="en-GB"/>
              </w:rPr>
            </w:pPr>
            <w:r w:rsidRPr="0055174C">
              <w:rPr>
                <w:rFonts w:cs="Calibri"/>
                <w:sz w:val="20"/>
                <w:lang w:val="en-GB"/>
              </w:rPr>
              <w:t xml:space="preserve">Screening, testing and diagnosis </w:t>
            </w:r>
          </w:p>
          <w:p w14:paraId="50E0BCDB" w14:textId="77777777" w:rsidR="00575754" w:rsidRPr="0055174C" w:rsidRDefault="00575754" w:rsidP="0055174C">
            <w:pPr>
              <w:pStyle w:val="affff3"/>
              <w:numPr>
                <w:ilvl w:val="0"/>
                <w:numId w:val="28"/>
              </w:numPr>
              <w:spacing w:after="0" w:line="240" w:lineRule="auto"/>
              <w:jc w:val="both"/>
              <w:rPr>
                <w:rFonts w:cs="Calibri"/>
                <w:sz w:val="20"/>
                <w:lang w:val="en-GB"/>
              </w:rPr>
            </w:pPr>
            <w:r w:rsidRPr="0055174C">
              <w:rPr>
                <w:rFonts w:cs="Calibri"/>
                <w:sz w:val="20"/>
                <w:lang w:val="en-GB"/>
              </w:rPr>
              <w:t>Prevention and treatment</w:t>
            </w:r>
          </w:p>
          <w:p w14:paraId="3341E914" w14:textId="58B9F1ED" w:rsidR="00575754" w:rsidRPr="00BF4BEE" w:rsidRDefault="00575754" w:rsidP="0055174C">
            <w:pPr>
              <w:pStyle w:val="affff3"/>
              <w:numPr>
                <w:ilvl w:val="0"/>
                <w:numId w:val="28"/>
              </w:numPr>
              <w:spacing w:after="0" w:line="240" w:lineRule="auto"/>
              <w:jc w:val="both"/>
              <w:rPr>
                <w:rFonts w:ascii="Calibri" w:hAnsi="Calibri" w:cs="Times New Roman"/>
              </w:rPr>
            </w:pPr>
            <w:r w:rsidRPr="0055174C">
              <w:rPr>
                <w:rFonts w:cs="Calibri"/>
                <w:sz w:val="20"/>
                <w:lang w:val="en-GB"/>
              </w:rPr>
              <w:t>Delivery of community-based care to patients with TB/HIV</w:t>
            </w:r>
          </w:p>
        </w:tc>
      </w:tr>
      <w:tr w:rsidR="00575754" w:rsidRPr="00BF4BEE" w14:paraId="1AE84C09" w14:textId="77777777" w:rsidTr="004A18A6">
        <w:trPr>
          <w:trHeight w:val="440"/>
        </w:trPr>
        <w:tc>
          <w:tcPr>
            <w:tcW w:w="2268" w:type="dxa"/>
            <w:shd w:val="clear" w:color="auto" w:fill="F2F2F2"/>
            <w:vAlign w:val="center"/>
          </w:tcPr>
          <w:p w14:paraId="07A2B0EF" w14:textId="77777777" w:rsidR="00575754" w:rsidRPr="00BF4BEE" w:rsidRDefault="00575754" w:rsidP="00575754">
            <w:pPr>
              <w:spacing w:after="0"/>
            </w:pPr>
            <w:r w:rsidRPr="00BF4BEE">
              <w:t>Priority populations</w:t>
            </w:r>
          </w:p>
        </w:tc>
        <w:tc>
          <w:tcPr>
            <w:tcW w:w="8082" w:type="dxa"/>
          </w:tcPr>
          <w:p w14:paraId="076A7A73" w14:textId="6C83E7F0" w:rsidR="00575754" w:rsidRPr="00BF4BEE" w:rsidRDefault="00575754" w:rsidP="004A18A6">
            <w:pPr>
              <w:spacing w:after="0"/>
              <w:jc w:val="both"/>
              <w:rPr>
                <w:rFonts w:ascii="Calibri" w:hAnsi="Calibri" w:cs="Times New Roman"/>
              </w:rPr>
            </w:pPr>
            <w:r w:rsidRPr="00912C27">
              <w:rPr>
                <w:sz w:val="20"/>
                <w:lang w:val="en-GB"/>
              </w:rPr>
              <w:t xml:space="preserve">Patients with HIV/TB co-infection, HIV positive patients, TB patients </w:t>
            </w:r>
          </w:p>
        </w:tc>
      </w:tr>
      <w:tr w:rsidR="00575754" w:rsidRPr="00BF4BEE" w14:paraId="0168D0BE" w14:textId="77777777" w:rsidTr="004A18A6">
        <w:trPr>
          <w:trHeight w:val="440"/>
        </w:trPr>
        <w:tc>
          <w:tcPr>
            <w:tcW w:w="2268" w:type="dxa"/>
            <w:shd w:val="clear" w:color="auto" w:fill="F2F2F2"/>
            <w:vAlign w:val="center"/>
          </w:tcPr>
          <w:p w14:paraId="5CB9BDAD" w14:textId="77777777" w:rsidR="00575754" w:rsidRPr="00633BBC" w:rsidRDefault="00575754" w:rsidP="00575754">
            <w:pPr>
              <w:spacing w:after="0"/>
            </w:pPr>
            <w:r>
              <w:t>Barriers and i</w:t>
            </w:r>
            <w:r w:rsidRPr="009A1DC8">
              <w:t>nequities</w:t>
            </w:r>
          </w:p>
        </w:tc>
        <w:tc>
          <w:tcPr>
            <w:tcW w:w="8082" w:type="dxa"/>
          </w:tcPr>
          <w:p w14:paraId="125C7E5F" w14:textId="2E93E91C" w:rsidR="00575754" w:rsidRPr="00BF4BEE" w:rsidRDefault="00575754" w:rsidP="004A18A6">
            <w:pPr>
              <w:jc w:val="both"/>
              <w:rPr>
                <w:rFonts w:ascii="Calibri" w:hAnsi="Calibri" w:cs="Times New Roman"/>
              </w:rPr>
            </w:pPr>
            <w:r w:rsidRPr="004A18A6">
              <w:rPr>
                <w:rFonts w:cs="Calibri"/>
                <w:sz w:val="20"/>
                <w:lang w:val="en-GB"/>
              </w:rPr>
              <w:t xml:space="preserve">Mortality caused by TB remains the first cause of death in PLHIV and accounted for 30% of all deaths in PLHIV in 2019. However, in </w:t>
            </w:r>
            <w:proofErr w:type="gramStart"/>
            <w:r w:rsidRPr="004A18A6">
              <w:rPr>
                <w:rFonts w:cs="Calibri"/>
                <w:sz w:val="20"/>
                <w:lang w:val="en-GB"/>
              </w:rPr>
              <w:t>the majority of</w:t>
            </w:r>
            <w:proofErr w:type="gramEnd"/>
            <w:r w:rsidRPr="004A18A6">
              <w:rPr>
                <w:rFonts w:cs="Calibri"/>
                <w:sz w:val="20"/>
                <w:lang w:val="en-GB"/>
              </w:rPr>
              <w:t xml:space="preserve"> cases delayed seek of care indicates a lack of knowledge of their HIV status at the time of seeking care. There </w:t>
            </w:r>
            <w:proofErr w:type="gramStart"/>
            <w:r w:rsidRPr="004A18A6">
              <w:rPr>
                <w:rFonts w:cs="Calibri"/>
                <w:sz w:val="20"/>
                <w:lang w:val="en-GB"/>
              </w:rPr>
              <w:t>are reported</w:t>
            </w:r>
            <w:proofErr w:type="gramEnd"/>
            <w:r w:rsidRPr="004A18A6">
              <w:rPr>
                <w:rFonts w:cs="Calibri"/>
                <w:sz w:val="20"/>
                <w:lang w:val="en-GB"/>
              </w:rPr>
              <w:t xml:space="preserve"> cases that during the patient's first visit to a PHC facility; due to feeling unwell, they are not screened for HIV, which testifies to either poor clinical alertness or poor capacity of PHC professionals.</w:t>
            </w:r>
          </w:p>
        </w:tc>
      </w:tr>
      <w:tr w:rsidR="00575754" w:rsidRPr="00BF4BEE" w14:paraId="239994C2" w14:textId="77777777" w:rsidTr="004A18A6">
        <w:trPr>
          <w:trHeight w:val="440"/>
        </w:trPr>
        <w:tc>
          <w:tcPr>
            <w:tcW w:w="2268" w:type="dxa"/>
            <w:shd w:val="clear" w:color="auto" w:fill="F2F2F2"/>
            <w:vAlign w:val="center"/>
          </w:tcPr>
          <w:p w14:paraId="2D1CAE6A" w14:textId="77777777" w:rsidR="00575754" w:rsidRPr="00BF4BEE" w:rsidRDefault="00575754" w:rsidP="00575754">
            <w:pPr>
              <w:spacing w:after="0"/>
            </w:pPr>
            <w:r w:rsidRPr="00BF4BEE">
              <w:t>Rationale</w:t>
            </w:r>
          </w:p>
        </w:tc>
        <w:tc>
          <w:tcPr>
            <w:tcW w:w="8082" w:type="dxa"/>
          </w:tcPr>
          <w:p w14:paraId="1458AFD3" w14:textId="77777777" w:rsidR="00575754" w:rsidRPr="00575754" w:rsidRDefault="00575754" w:rsidP="004A18A6">
            <w:pPr>
              <w:jc w:val="both"/>
              <w:rPr>
                <w:sz w:val="20"/>
                <w:lang w:val="en-GB"/>
              </w:rPr>
            </w:pPr>
            <w:r w:rsidRPr="00575754">
              <w:rPr>
                <w:sz w:val="20"/>
                <w:lang w:val="en-GB"/>
              </w:rPr>
              <w:t>Implementation of rapid HIV testing in TB facilities.</w:t>
            </w:r>
          </w:p>
          <w:p w14:paraId="295DF3AA" w14:textId="77777777" w:rsidR="00575754" w:rsidRPr="00575754" w:rsidRDefault="00575754" w:rsidP="004A18A6">
            <w:pPr>
              <w:jc w:val="both"/>
              <w:rPr>
                <w:sz w:val="20"/>
                <w:lang w:val="en-GB"/>
              </w:rPr>
            </w:pPr>
            <w:r w:rsidRPr="00575754">
              <w:rPr>
                <w:sz w:val="20"/>
                <w:lang w:val="en-GB"/>
              </w:rPr>
              <w:t xml:space="preserve">Encouraging patients with presumptive TB to go for HIV testing. </w:t>
            </w:r>
          </w:p>
          <w:p w14:paraId="14599B93" w14:textId="77777777" w:rsidR="00575754" w:rsidRPr="00575754" w:rsidRDefault="00575754" w:rsidP="004A18A6">
            <w:pPr>
              <w:jc w:val="both"/>
              <w:rPr>
                <w:sz w:val="20"/>
                <w:lang w:val="en-GB"/>
              </w:rPr>
            </w:pPr>
            <w:r w:rsidRPr="00575754">
              <w:rPr>
                <w:sz w:val="20"/>
                <w:lang w:val="en-GB"/>
              </w:rPr>
              <w:t>New diagnostic methods of TB (LAM tests) - procurement, training, implementation and monitoring.</w:t>
            </w:r>
          </w:p>
          <w:p w14:paraId="4CB20F92" w14:textId="77777777" w:rsidR="00575754" w:rsidRPr="00575754" w:rsidRDefault="00575754" w:rsidP="004A18A6">
            <w:pPr>
              <w:jc w:val="both"/>
              <w:rPr>
                <w:sz w:val="20"/>
                <w:lang w:val="en-GB"/>
              </w:rPr>
            </w:pPr>
            <w:r w:rsidRPr="00575754">
              <w:rPr>
                <w:sz w:val="20"/>
                <w:lang w:val="en-GB"/>
              </w:rPr>
              <w:t xml:space="preserve">Ensuring availability of ARV drugs and </w:t>
            </w:r>
            <w:r w:rsidRPr="00575754">
              <w:rPr>
                <w:bCs/>
                <w:sz w:val="20"/>
                <w:lang w:val="en-GB"/>
              </w:rPr>
              <w:t>cotrimoxazole</w:t>
            </w:r>
            <w:r w:rsidRPr="00575754">
              <w:rPr>
                <w:sz w:val="20"/>
                <w:lang w:val="en-GB"/>
              </w:rPr>
              <w:t xml:space="preserve"> preventive therapy (CPT), use directly observed treatment approaches while using ART and KPT (</w:t>
            </w:r>
            <w:r w:rsidRPr="00575754">
              <w:rPr>
                <w:bCs/>
                <w:sz w:val="20"/>
                <w:lang w:val="en-GB"/>
              </w:rPr>
              <w:t>cotrimoxazole preventive therapy)</w:t>
            </w:r>
            <w:r w:rsidRPr="00575754">
              <w:rPr>
                <w:sz w:val="20"/>
                <w:lang w:val="en-GB"/>
              </w:rPr>
              <w:t xml:space="preserve"> (ART and Isoniazid DOT PT) along with TB and DR-TB in TB facilities with training and monitoring </w:t>
            </w:r>
            <w:proofErr w:type="gramStart"/>
            <w:r w:rsidRPr="00575754">
              <w:rPr>
                <w:sz w:val="20"/>
                <w:lang w:val="en-GB"/>
              </w:rPr>
              <w:t>is included</w:t>
            </w:r>
            <w:proofErr w:type="gramEnd"/>
            <w:r w:rsidRPr="00575754">
              <w:rPr>
                <w:sz w:val="20"/>
                <w:lang w:val="en-GB"/>
              </w:rPr>
              <w:t xml:space="preserve"> in HIV component. </w:t>
            </w:r>
          </w:p>
          <w:p w14:paraId="660C4494" w14:textId="77777777" w:rsidR="00575754" w:rsidRPr="00575754" w:rsidRDefault="00575754" w:rsidP="004A18A6">
            <w:pPr>
              <w:jc w:val="both"/>
              <w:rPr>
                <w:sz w:val="20"/>
                <w:lang w:val="en-GB"/>
              </w:rPr>
            </w:pPr>
            <w:r w:rsidRPr="00575754">
              <w:rPr>
                <w:sz w:val="20"/>
                <w:lang w:val="en-GB"/>
              </w:rPr>
              <w:t>Monitoring of joint activities of vertical services by expert civil sector organisations.</w:t>
            </w:r>
          </w:p>
          <w:p w14:paraId="029B8713" w14:textId="7FAFDB39" w:rsidR="00575754" w:rsidRPr="00575754" w:rsidRDefault="00575754" w:rsidP="004A18A6">
            <w:pPr>
              <w:spacing w:after="0"/>
              <w:jc w:val="both"/>
              <w:rPr>
                <w:rFonts w:ascii="Calibri" w:hAnsi="Calibri" w:cs="Times New Roman"/>
              </w:rPr>
            </w:pPr>
            <w:r w:rsidRPr="00575754">
              <w:rPr>
                <w:sz w:val="20"/>
                <w:lang w:val="en-GB"/>
              </w:rPr>
              <w:t>Annual cross-training of doctors of both services.</w:t>
            </w:r>
          </w:p>
        </w:tc>
      </w:tr>
      <w:tr w:rsidR="00575754" w:rsidRPr="00BF4BEE" w14:paraId="79C23319" w14:textId="77777777" w:rsidTr="004A18A6">
        <w:trPr>
          <w:trHeight w:val="431"/>
        </w:trPr>
        <w:tc>
          <w:tcPr>
            <w:tcW w:w="2268" w:type="dxa"/>
            <w:shd w:val="clear" w:color="auto" w:fill="F2F2F2"/>
            <w:vAlign w:val="center"/>
          </w:tcPr>
          <w:p w14:paraId="55EC9A70" w14:textId="77777777" w:rsidR="00575754" w:rsidRPr="00BF4BEE" w:rsidRDefault="00575754" w:rsidP="00595CA8">
            <w:pPr>
              <w:spacing w:after="0"/>
            </w:pPr>
            <w:r w:rsidRPr="00BF4BEE">
              <w:t>Expected Outcome</w:t>
            </w:r>
          </w:p>
        </w:tc>
        <w:tc>
          <w:tcPr>
            <w:tcW w:w="8082" w:type="dxa"/>
          </w:tcPr>
          <w:p w14:paraId="494ADAF5" w14:textId="77777777" w:rsidR="00575754" w:rsidRPr="0055174C" w:rsidRDefault="00575754" w:rsidP="004A18A6">
            <w:pPr>
              <w:jc w:val="both"/>
              <w:rPr>
                <w:sz w:val="20"/>
                <w:lang w:val="en-GB"/>
              </w:rPr>
            </w:pPr>
            <w:r w:rsidRPr="0055174C">
              <w:rPr>
                <w:sz w:val="20"/>
                <w:lang w:val="en-GB"/>
              </w:rPr>
              <w:t xml:space="preserve">100% of TB patients will </w:t>
            </w:r>
            <w:proofErr w:type="gramStart"/>
            <w:r w:rsidRPr="0055174C">
              <w:rPr>
                <w:sz w:val="20"/>
                <w:lang w:val="en-GB"/>
              </w:rPr>
              <w:t>be tested</w:t>
            </w:r>
            <w:proofErr w:type="gramEnd"/>
            <w:r w:rsidRPr="0055174C">
              <w:rPr>
                <w:sz w:val="20"/>
                <w:lang w:val="en-GB"/>
              </w:rPr>
              <w:t xml:space="preserve"> for HIV and 90% of PLHIV will be tested for TB.</w:t>
            </w:r>
          </w:p>
          <w:p w14:paraId="57BEC218" w14:textId="77777777" w:rsidR="00575754" w:rsidRPr="0055174C" w:rsidRDefault="00575754" w:rsidP="004A18A6">
            <w:pPr>
              <w:jc w:val="both"/>
              <w:rPr>
                <w:sz w:val="20"/>
                <w:lang w:val="en-GB"/>
              </w:rPr>
            </w:pPr>
            <w:r w:rsidRPr="0055174C">
              <w:rPr>
                <w:sz w:val="20"/>
                <w:lang w:val="en-GB"/>
              </w:rPr>
              <w:t>80% of PLHIV with diagnosed latent TB will receive TB treatment.</w:t>
            </w:r>
          </w:p>
          <w:p w14:paraId="1C83723C" w14:textId="4C28EB6F" w:rsidR="00575754" w:rsidRPr="0055174C" w:rsidRDefault="00575754" w:rsidP="004A18A6">
            <w:pPr>
              <w:spacing w:after="0"/>
              <w:jc w:val="both"/>
              <w:rPr>
                <w:sz w:val="20"/>
                <w:lang w:val="en-GB"/>
              </w:rPr>
            </w:pPr>
            <w:r w:rsidRPr="0055174C">
              <w:rPr>
                <w:sz w:val="20"/>
                <w:lang w:val="en-GB"/>
              </w:rPr>
              <w:t>The mortality of PLHIV due to TB will have decreased by 50% in 2023 compared to 2019.</w:t>
            </w:r>
          </w:p>
        </w:tc>
      </w:tr>
    </w:tbl>
    <w:p w14:paraId="436D6183" w14:textId="77777777" w:rsidR="00575754" w:rsidRDefault="00575754" w:rsidP="00BE0F0C">
      <w:pPr>
        <w:spacing w:after="0"/>
        <w:rPr>
          <w:i/>
          <w:sz w:val="16"/>
          <w:szCs w:val="16"/>
        </w:rPr>
      </w:pPr>
    </w:p>
    <w:tbl>
      <w:tblPr>
        <w:tblStyle w:val="TableGrid3"/>
        <w:tblW w:w="10350" w:type="dxa"/>
        <w:tblInd w:w="-5" w:type="dxa"/>
        <w:tblLook w:val="04A0" w:firstRow="1" w:lastRow="0" w:firstColumn="1" w:lastColumn="0" w:noHBand="0" w:noVBand="1"/>
      </w:tblPr>
      <w:tblGrid>
        <w:gridCol w:w="2268"/>
        <w:gridCol w:w="8082"/>
      </w:tblGrid>
      <w:tr w:rsidR="00CD7EE9" w:rsidRPr="00BF4BEE" w14:paraId="61B9DFF9" w14:textId="77777777" w:rsidTr="00204941">
        <w:trPr>
          <w:trHeight w:val="422"/>
        </w:trPr>
        <w:tc>
          <w:tcPr>
            <w:tcW w:w="2268" w:type="dxa"/>
            <w:shd w:val="clear" w:color="auto" w:fill="F2F2F2"/>
            <w:vAlign w:val="center"/>
          </w:tcPr>
          <w:p w14:paraId="139706A5" w14:textId="77777777" w:rsidR="00CD7EE9" w:rsidRPr="00BF4BEE" w:rsidRDefault="00CD7EE9" w:rsidP="00CD7EE9">
            <w:pPr>
              <w:spacing w:after="0"/>
            </w:pPr>
            <w:r>
              <w:t xml:space="preserve">Component </w:t>
            </w:r>
          </w:p>
        </w:tc>
        <w:tc>
          <w:tcPr>
            <w:tcW w:w="8082" w:type="dxa"/>
          </w:tcPr>
          <w:p w14:paraId="23E6A0F7" w14:textId="369092A1" w:rsidR="00CD7EE9" w:rsidRPr="00BF4BEE" w:rsidRDefault="00CD7EE9" w:rsidP="00CD7EE9">
            <w:pPr>
              <w:spacing w:after="0"/>
              <w:rPr>
                <w:rFonts w:ascii="Calibri" w:hAnsi="Calibri" w:cs="Times New Roman"/>
              </w:rPr>
            </w:pPr>
            <w:r w:rsidRPr="00436195">
              <w:rPr>
                <w:rFonts w:cs="Calibri"/>
                <w:sz w:val="20"/>
                <w:lang w:val="en-GB"/>
              </w:rPr>
              <w:t xml:space="preserve">Health system strengthening </w:t>
            </w:r>
          </w:p>
        </w:tc>
      </w:tr>
      <w:tr w:rsidR="00CD7EE9" w:rsidRPr="00BF4BEE" w14:paraId="00D8EE7F" w14:textId="77777777" w:rsidTr="00204941">
        <w:trPr>
          <w:trHeight w:val="440"/>
        </w:trPr>
        <w:tc>
          <w:tcPr>
            <w:tcW w:w="2268" w:type="dxa"/>
            <w:shd w:val="clear" w:color="auto" w:fill="F2F2F2"/>
            <w:vAlign w:val="center"/>
          </w:tcPr>
          <w:p w14:paraId="32D22ECC" w14:textId="77777777" w:rsidR="00CD7EE9" w:rsidRPr="00BF4BEE" w:rsidRDefault="00CD7EE9" w:rsidP="00CD7EE9">
            <w:pPr>
              <w:spacing w:after="0"/>
            </w:pPr>
            <w:r>
              <w:t>Module/i</w:t>
            </w:r>
            <w:r w:rsidRPr="00BF4BEE">
              <w:t>nterventions</w:t>
            </w:r>
          </w:p>
        </w:tc>
        <w:tc>
          <w:tcPr>
            <w:tcW w:w="8082" w:type="dxa"/>
          </w:tcPr>
          <w:p w14:paraId="36B3D73D" w14:textId="3DADC7E3" w:rsidR="00CD7EE9" w:rsidRPr="00436195" w:rsidRDefault="00CD7EE9" w:rsidP="004802D4">
            <w:pPr>
              <w:pStyle w:val="affff3"/>
              <w:numPr>
                <w:ilvl w:val="0"/>
                <w:numId w:val="28"/>
              </w:numPr>
              <w:spacing w:after="0" w:line="240" w:lineRule="auto"/>
              <w:jc w:val="both"/>
              <w:rPr>
                <w:rFonts w:cs="Calibri"/>
                <w:sz w:val="20"/>
                <w:lang w:val="en-GB"/>
              </w:rPr>
            </w:pPr>
            <w:r w:rsidRPr="004802D4">
              <w:rPr>
                <w:rFonts w:cs="Calibri"/>
                <w:sz w:val="20"/>
                <w:lang w:val="en-GB"/>
              </w:rPr>
              <w:t>Management of</w:t>
            </w:r>
            <w:r w:rsidRPr="00436195">
              <w:rPr>
                <w:rFonts w:cs="Calibri"/>
                <w:sz w:val="20"/>
                <w:lang w:val="en-GB"/>
              </w:rPr>
              <w:t xml:space="preserve"> </w:t>
            </w:r>
            <w:r w:rsidRPr="004802D4">
              <w:rPr>
                <w:rFonts w:cs="Calibri"/>
                <w:sz w:val="20"/>
                <w:lang w:val="en-GB"/>
              </w:rPr>
              <w:t>health products and strengthening systems</w:t>
            </w:r>
            <w:r w:rsidR="004802D4">
              <w:rPr>
                <w:rFonts w:cs="Calibri"/>
                <w:sz w:val="20"/>
                <w:lang w:val="en-GB"/>
              </w:rPr>
              <w:t>.</w:t>
            </w:r>
          </w:p>
          <w:p w14:paraId="2C551FF8" w14:textId="796A425D" w:rsidR="00CD7EE9" w:rsidRPr="00436195" w:rsidRDefault="00CD7EE9" w:rsidP="0055174C">
            <w:pPr>
              <w:pStyle w:val="affff3"/>
              <w:numPr>
                <w:ilvl w:val="0"/>
                <w:numId w:val="28"/>
              </w:numPr>
              <w:spacing w:after="0" w:line="240" w:lineRule="auto"/>
              <w:jc w:val="both"/>
              <w:rPr>
                <w:rFonts w:cs="Calibri"/>
                <w:sz w:val="20"/>
                <w:lang w:val="en-GB"/>
              </w:rPr>
            </w:pPr>
            <w:r w:rsidRPr="00436195">
              <w:rPr>
                <w:rFonts w:cs="Calibri"/>
                <w:sz w:val="20"/>
                <w:lang w:val="en-GB"/>
              </w:rPr>
              <w:t xml:space="preserve">Health Management Information Systems and M&amp;E. </w:t>
            </w:r>
          </w:p>
          <w:p w14:paraId="58B83AA5" w14:textId="7C80D754" w:rsidR="00CD7EE9" w:rsidRPr="00436195" w:rsidRDefault="00CD7EE9" w:rsidP="0055174C">
            <w:pPr>
              <w:pStyle w:val="affff3"/>
              <w:numPr>
                <w:ilvl w:val="0"/>
                <w:numId w:val="28"/>
              </w:numPr>
              <w:spacing w:after="0" w:line="240" w:lineRule="auto"/>
              <w:jc w:val="both"/>
              <w:rPr>
                <w:rFonts w:cs="Calibri"/>
                <w:sz w:val="20"/>
                <w:lang w:val="en-GB"/>
              </w:rPr>
            </w:pPr>
            <w:r w:rsidRPr="00436195">
              <w:rPr>
                <w:rFonts w:cs="Calibri"/>
                <w:sz w:val="20"/>
                <w:lang w:val="en-GB"/>
              </w:rPr>
              <w:t xml:space="preserve">Human resources for health sector including health workers. </w:t>
            </w:r>
          </w:p>
          <w:p w14:paraId="2EAEA5B5" w14:textId="0617CE90" w:rsidR="00CD7EE9" w:rsidRPr="00436195" w:rsidRDefault="00CD7EE9" w:rsidP="0055174C">
            <w:pPr>
              <w:pStyle w:val="affff3"/>
              <w:numPr>
                <w:ilvl w:val="0"/>
                <w:numId w:val="28"/>
              </w:numPr>
              <w:spacing w:after="0" w:line="240" w:lineRule="auto"/>
              <w:jc w:val="both"/>
              <w:rPr>
                <w:rFonts w:cs="Calibri"/>
                <w:sz w:val="20"/>
                <w:lang w:val="en-GB"/>
              </w:rPr>
            </w:pPr>
            <w:r w:rsidRPr="00436195">
              <w:rPr>
                <w:rFonts w:cs="Calibri"/>
                <w:sz w:val="20"/>
                <w:lang w:val="en-GB"/>
              </w:rPr>
              <w:t>Strengthening community</w:t>
            </w:r>
            <w:r>
              <w:rPr>
                <w:rFonts w:cs="Calibri"/>
                <w:sz w:val="20"/>
                <w:lang w:val="en-GB"/>
              </w:rPr>
              <w:t>-</w:t>
            </w:r>
            <w:r w:rsidRPr="00436195">
              <w:rPr>
                <w:rFonts w:cs="Calibri"/>
                <w:sz w:val="20"/>
                <w:lang w:val="en-GB"/>
              </w:rPr>
              <w:t xml:space="preserve">based systems. </w:t>
            </w:r>
          </w:p>
          <w:p w14:paraId="2235B120" w14:textId="1C48908A" w:rsidR="00CD7EE9" w:rsidRPr="00BF4BEE" w:rsidRDefault="00CD7EE9" w:rsidP="0055174C">
            <w:pPr>
              <w:pStyle w:val="affff3"/>
              <w:numPr>
                <w:ilvl w:val="0"/>
                <w:numId w:val="28"/>
              </w:numPr>
              <w:spacing w:after="0" w:line="240" w:lineRule="auto"/>
              <w:jc w:val="both"/>
              <w:rPr>
                <w:rFonts w:ascii="Calibri" w:hAnsi="Calibri" w:cs="Times New Roman"/>
              </w:rPr>
            </w:pPr>
            <w:r w:rsidRPr="00436195">
              <w:rPr>
                <w:rFonts w:cs="Calibri"/>
                <w:sz w:val="20"/>
                <w:lang w:val="en-GB"/>
              </w:rPr>
              <w:t>Laboratory systems. National laboratories: laboratories management and management structure.</w:t>
            </w:r>
          </w:p>
        </w:tc>
      </w:tr>
      <w:tr w:rsidR="00CD7EE9" w:rsidRPr="00BF4BEE" w14:paraId="151F60AF" w14:textId="77777777" w:rsidTr="00204941">
        <w:trPr>
          <w:trHeight w:val="440"/>
        </w:trPr>
        <w:tc>
          <w:tcPr>
            <w:tcW w:w="2268" w:type="dxa"/>
            <w:shd w:val="clear" w:color="auto" w:fill="F2F2F2"/>
            <w:vAlign w:val="center"/>
          </w:tcPr>
          <w:p w14:paraId="1D4237C2" w14:textId="77777777" w:rsidR="00CD7EE9" w:rsidRPr="00BF4BEE" w:rsidRDefault="00CD7EE9" w:rsidP="00CD7EE9">
            <w:pPr>
              <w:spacing w:after="0"/>
            </w:pPr>
            <w:r w:rsidRPr="00BF4BEE">
              <w:t>Priority populations</w:t>
            </w:r>
          </w:p>
        </w:tc>
        <w:tc>
          <w:tcPr>
            <w:tcW w:w="8082" w:type="dxa"/>
          </w:tcPr>
          <w:p w14:paraId="1061DB1B" w14:textId="57FC479C" w:rsidR="00CD7EE9" w:rsidRPr="00BF4BEE" w:rsidRDefault="00CD7EE9" w:rsidP="00CD7EE9">
            <w:pPr>
              <w:spacing w:after="0"/>
              <w:rPr>
                <w:rFonts w:ascii="Calibri" w:hAnsi="Calibri" w:cs="Times New Roman"/>
              </w:rPr>
            </w:pPr>
            <w:r w:rsidRPr="00436195">
              <w:rPr>
                <w:rFonts w:cs="Calibri"/>
                <w:sz w:val="20"/>
                <w:lang w:val="en-GB"/>
              </w:rPr>
              <w:t xml:space="preserve">All people living with HIV, HIV/TB, TB, key populations (PWID, SW, MSM, prisoners) </w:t>
            </w:r>
          </w:p>
        </w:tc>
      </w:tr>
      <w:tr w:rsidR="00CD7EE9" w:rsidRPr="00BF4BEE" w14:paraId="10CCB4EC" w14:textId="77777777" w:rsidTr="00204941">
        <w:trPr>
          <w:trHeight w:val="440"/>
        </w:trPr>
        <w:tc>
          <w:tcPr>
            <w:tcW w:w="2268" w:type="dxa"/>
            <w:shd w:val="clear" w:color="auto" w:fill="F2F2F2"/>
            <w:vAlign w:val="center"/>
          </w:tcPr>
          <w:p w14:paraId="6FCCC870" w14:textId="77777777" w:rsidR="00CD7EE9" w:rsidRPr="00633BBC" w:rsidRDefault="00CD7EE9" w:rsidP="00CD7EE9">
            <w:pPr>
              <w:spacing w:after="0"/>
            </w:pPr>
            <w:r>
              <w:t>Barriers and i</w:t>
            </w:r>
            <w:r w:rsidRPr="009A1DC8">
              <w:t>nequities</w:t>
            </w:r>
          </w:p>
        </w:tc>
        <w:tc>
          <w:tcPr>
            <w:tcW w:w="8082" w:type="dxa"/>
          </w:tcPr>
          <w:p w14:paraId="3D594CAC" w14:textId="77777777" w:rsidR="00CD7EE9" w:rsidRPr="004766DD" w:rsidRDefault="00CD7EE9" w:rsidP="008B5FE3">
            <w:pPr>
              <w:pStyle w:val="affff3"/>
              <w:numPr>
                <w:ilvl w:val="0"/>
                <w:numId w:val="28"/>
              </w:numPr>
              <w:spacing w:after="0" w:line="240" w:lineRule="auto"/>
              <w:jc w:val="both"/>
              <w:rPr>
                <w:rFonts w:cs="Calibri"/>
                <w:sz w:val="20"/>
                <w:szCs w:val="20"/>
                <w:lang w:val="en-GB"/>
              </w:rPr>
            </w:pPr>
            <w:r w:rsidRPr="004766DD">
              <w:rPr>
                <w:rFonts w:cs="Calibri"/>
                <w:sz w:val="20"/>
                <w:szCs w:val="20"/>
                <w:lang w:val="en-GB"/>
              </w:rPr>
              <w:t>The shortage of human resources in health care, in rural areas, is one of the critical reasons for low treatment adherence.</w:t>
            </w:r>
          </w:p>
          <w:p w14:paraId="25DF3FC6" w14:textId="77777777" w:rsidR="00CD7EE9" w:rsidRPr="004766DD" w:rsidRDefault="00CD7EE9" w:rsidP="008B5FE3">
            <w:pPr>
              <w:pStyle w:val="affff3"/>
              <w:numPr>
                <w:ilvl w:val="0"/>
                <w:numId w:val="28"/>
              </w:numPr>
              <w:spacing w:after="0" w:line="240" w:lineRule="auto"/>
              <w:jc w:val="both"/>
              <w:rPr>
                <w:rFonts w:cs="Calibri"/>
                <w:sz w:val="20"/>
                <w:szCs w:val="20"/>
                <w:lang w:val="en-GB"/>
              </w:rPr>
            </w:pPr>
            <w:r w:rsidRPr="004766DD">
              <w:rPr>
                <w:rFonts w:cs="Calibri"/>
                <w:sz w:val="20"/>
                <w:szCs w:val="20"/>
                <w:lang w:val="en-GB"/>
              </w:rPr>
              <w:t>The number of trained professionals on HIV rapid testing and their skills is low.</w:t>
            </w:r>
          </w:p>
          <w:p w14:paraId="009E47E1" w14:textId="77777777" w:rsidR="00CD7EE9" w:rsidRPr="004766DD" w:rsidRDefault="00CD7EE9" w:rsidP="008B5FE3">
            <w:pPr>
              <w:pStyle w:val="affff3"/>
              <w:numPr>
                <w:ilvl w:val="0"/>
                <w:numId w:val="28"/>
              </w:numPr>
              <w:spacing w:after="0" w:line="240" w:lineRule="auto"/>
              <w:jc w:val="both"/>
              <w:rPr>
                <w:rFonts w:cs="Calibri"/>
                <w:sz w:val="20"/>
                <w:szCs w:val="20"/>
                <w:lang w:val="en-GB"/>
              </w:rPr>
            </w:pPr>
            <w:r w:rsidRPr="004766DD">
              <w:rPr>
                <w:rFonts w:cs="Calibri"/>
                <w:sz w:val="20"/>
                <w:szCs w:val="20"/>
                <w:lang w:val="en-GB"/>
              </w:rPr>
              <w:lastRenderedPageBreak/>
              <w:t xml:space="preserve">The lack of regular maintenance of HIV and TB diagnostic equipment affects the quality and timeliness of the diagnosis. There is a shortage of trained technicians to maintain this equipment. </w:t>
            </w:r>
          </w:p>
          <w:p w14:paraId="53383803" w14:textId="12663CAC" w:rsidR="00CD7EE9" w:rsidRPr="004766DD" w:rsidRDefault="00626D7A" w:rsidP="008B5FE3">
            <w:pPr>
              <w:pStyle w:val="affff3"/>
              <w:numPr>
                <w:ilvl w:val="0"/>
                <w:numId w:val="28"/>
              </w:numPr>
              <w:spacing w:after="0" w:line="240" w:lineRule="auto"/>
              <w:jc w:val="both"/>
              <w:rPr>
                <w:rFonts w:cs="Calibri"/>
                <w:sz w:val="20"/>
                <w:szCs w:val="20"/>
                <w:lang w:val="en-GB"/>
              </w:rPr>
            </w:pPr>
            <w:r>
              <w:rPr>
                <w:rFonts w:cs="Calibri"/>
                <w:sz w:val="20"/>
                <w:szCs w:val="20"/>
                <w:lang w:val="en-GB"/>
              </w:rPr>
              <w:t>The lack of</w:t>
            </w:r>
            <w:r w:rsidR="004766DD" w:rsidRPr="004766DD">
              <w:rPr>
                <w:sz w:val="20"/>
                <w:szCs w:val="20"/>
              </w:rPr>
              <w:t xml:space="preserve"> reliable mechanisms </w:t>
            </w:r>
            <w:r>
              <w:rPr>
                <w:sz w:val="20"/>
                <w:szCs w:val="20"/>
              </w:rPr>
              <w:t xml:space="preserve">at the republican level </w:t>
            </w:r>
            <w:r w:rsidR="004766DD" w:rsidRPr="004766DD">
              <w:rPr>
                <w:sz w:val="20"/>
                <w:szCs w:val="20"/>
              </w:rPr>
              <w:t xml:space="preserve">for </w:t>
            </w:r>
            <w:r>
              <w:rPr>
                <w:sz w:val="20"/>
                <w:szCs w:val="20"/>
              </w:rPr>
              <w:t xml:space="preserve">sputum </w:t>
            </w:r>
            <w:r w:rsidR="004766DD" w:rsidRPr="004766DD">
              <w:rPr>
                <w:sz w:val="20"/>
                <w:szCs w:val="20"/>
              </w:rPr>
              <w:t>transportation</w:t>
            </w:r>
            <w:r w:rsidR="00CD7EE9" w:rsidRPr="004766DD">
              <w:rPr>
                <w:rFonts w:cs="Calibri"/>
                <w:sz w:val="20"/>
                <w:szCs w:val="20"/>
                <w:lang w:val="en-GB"/>
              </w:rPr>
              <w:t>, limited government resources pose risks for timely diagnosis and initiation of treatment.</w:t>
            </w:r>
          </w:p>
          <w:p w14:paraId="2EC9AA8D" w14:textId="094508AB" w:rsidR="00CD7EE9" w:rsidRPr="004766DD" w:rsidRDefault="00CD7EE9" w:rsidP="008B5FE3">
            <w:pPr>
              <w:pStyle w:val="affff3"/>
              <w:numPr>
                <w:ilvl w:val="0"/>
                <w:numId w:val="28"/>
              </w:numPr>
              <w:spacing w:after="0" w:line="240" w:lineRule="auto"/>
              <w:jc w:val="both"/>
              <w:rPr>
                <w:rFonts w:cs="Calibri"/>
                <w:sz w:val="20"/>
                <w:szCs w:val="20"/>
                <w:lang w:val="en-GB"/>
              </w:rPr>
            </w:pPr>
            <w:r w:rsidRPr="004766DD">
              <w:rPr>
                <w:rFonts w:cs="Calibri"/>
                <w:sz w:val="20"/>
                <w:szCs w:val="20"/>
                <w:lang w:val="en-GB"/>
              </w:rPr>
              <w:t>High stigma and discrimination towards patients with HIV and TB at PHC level creates barriers to service delivery.</w:t>
            </w:r>
          </w:p>
          <w:p w14:paraId="1E32755A" w14:textId="1ADB1DDF" w:rsidR="00CD7EE9" w:rsidRPr="004766DD" w:rsidRDefault="00A94F93" w:rsidP="00A94F93">
            <w:pPr>
              <w:pStyle w:val="affff3"/>
              <w:numPr>
                <w:ilvl w:val="0"/>
                <w:numId w:val="28"/>
              </w:numPr>
              <w:spacing w:after="0" w:line="240" w:lineRule="auto"/>
              <w:jc w:val="both"/>
              <w:rPr>
                <w:rFonts w:cs="Calibri"/>
                <w:sz w:val="20"/>
                <w:szCs w:val="20"/>
                <w:lang w:val="en-GB"/>
              </w:rPr>
            </w:pPr>
            <w:r w:rsidRPr="004766DD">
              <w:rPr>
                <w:rFonts w:cs="Calibri"/>
                <w:sz w:val="20"/>
                <w:szCs w:val="20"/>
                <w:lang w:val="en-GB"/>
              </w:rPr>
              <w:t>The country's legislation prevents from using domestic resources to access international markets and procurement through international platforms</w:t>
            </w:r>
            <w:r w:rsidR="00CD7EE9" w:rsidRPr="004766DD">
              <w:rPr>
                <w:rFonts w:cs="Calibri"/>
                <w:sz w:val="20"/>
                <w:szCs w:val="20"/>
                <w:lang w:val="en-GB"/>
              </w:rPr>
              <w:t>.</w:t>
            </w:r>
          </w:p>
        </w:tc>
      </w:tr>
      <w:tr w:rsidR="00CD7EE9" w:rsidRPr="00BF4BEE" w14:paraId="62B712DB" w14:textId="77777777" w:rsidTr="00204941">
        <w:trPr>
          <w:trHeight w:val="440"/>
        </w:trPr>
        <w:tc>
          <w:tcPr>
            <w:tcW w:w="2268" w:type="dxa"/>
            <w:shd w:val="clear" w:color="auto" w:fill="F2F2F2"/>
            <w:vAlign w:val="center"/>
          </w:tcPr>
          <w:p w14:paraId="18457031" w14:textId="77777777" w:rsidR="00CD7EE9" w:rsidRPr="00BF4BEE" w:rsidRDefault="00CD7EE9" w:rsidP="00CD7EE9">
            <w:pPr>
              <w:spacing w:after="0"/>
            </w:pPr>
            <w:r w:rsidRPr="00BF4BEE">
              <w:lastRenderedPageBreak/>
              <w:t>Rationale</w:t>
            </w:r>
          </w:p>
        </w:tc>
        <w:tc>
          <w:tcPr>
            <w:tcW w:w="8082" w:type="dxa"/>
          </w:tcPr>
          <w:p w14:paraId="265ADA0C" w14:textId="77777777" w:rsidR="00CD7EE9" w:rsidRPr="00A94F93" w:rsidRDefault="00CD7EE9" w:rsidP="008B5FE3">
            <w:pPr>
              <w:pStyle w:val="affff3"/>
              <w:numPr>
                <w:ilvl w:val="0"/>
                <w:numId w:val="28"/>
              </w:numPr>
              <w:spacing w:after="0" w:line="240" w:lineRule="auto"/>
              <w:jc w:val="both"/>
              <w:rPr>
                <w:rFonts w:cs="Calibri"/>
                <w:sz w:val="20"/>
                <w:lang w:val="en-GB"/>
              </w:rPr>
            </w:pPr>
            <w:r w:rsidRPr="00A94F93">
              <w:rPr>
                <w:rFonts w:cs="Calibri"/>
                <w:sz w:val="20"/>
                <w:lang w:val="en-GB"/>
              </w:rPr>
              <w:t>Furnishing PHC facilities with equipment to ensure better services with uninterrupted supply of drugs and diagnostics.</w:t>
            </w:r>
          </w:p>
          <w:p w14:paraId="066BD581" w14:textId="77777777" w:rsidR="00CD7EE9" w:rsidRPr="00A94F93" w:rsidRDefault="00CD7EE9" w:rsidP="008B5FE3">
            <w:pPr>
              <w:pStyle w:val="affff3"/>
              <w:numPr>
                <w:ilvl w:val="0"/>
                <w:numId w:val="28"/>
              </w:numPr>
              <w:spacing w:after="0" w:line="240" w:lineRule="auto"/>
              <w:jc w:val="both"/>
              <w:rPr>
                <w:rFonts w:cs="Calibri"/>
                <w:sz w:val="20"/>
                <w:lang w:val="en-GB"/>
              </w:rPr>
            </w:pPr>
            <w:r w:rsidRPr="00A94F93">
              <w:rPr>
                <w:rFonts w:cs="Calibri"/>
                <w:sz w:val="20"/>
                <w:lang w:val="en-GB"/>
              </w:rPr>
              <w:t>Capacity development of laboratory staff of PHC and civil society organisations.</w:t>
            </w:r>
          </w:p>
          <w:p w14:paraId="71EA72DA" w14:textId="77777777" w:rsidR="00CD7EE9" w:rsidRPr="00A94F93" w:rsidRDefault="00CD7EE9" w:rsidP="008B5FE3">
            <w:pPr>
              <w:pStyle w:val="affff3"/>
              <w:numPr>
                <w:ilvl w:val="0"/>
                <w:numId w:val="28"/>
              </w:numPr>
              <w:spacing w:after="0" w:line="240" w:lineRule="auto"/>
              <w:jc w:val="both"/>
              <w:rPr>
                <w:rFonts w:cs="Calibri"/>
                <w:sz w:val="20"/>
                <w:lang w:val="en-GB"/>
              </w:rPr>
            </w:pPr>
            <w:r w:rsidRPr="00A94F93">
              <w:rPr>
                <w:rFonts w:cs="Calibri"/>
                <w:sz w:val="20"/>
                <w:lang w:val="en-GB"/>
              </w:rPr>
              <w:t>Strengthening the transportation system for delivery of TB and HIV tests.</w:t>
            </w:r>
          </w:p>
          <w:p w14:paraId="4A450FDA" w14:textId="77777777" w:rsidR="00CD7EE9" w:rsidRPr="00A94F93" w:rsidRDefault="00CD7EE9" w:rsidP="008B5FE3">
            <w:pPr>
              <w:pStyle w:val="affff3"/>
              <w:numPr>
                <w:ilvl w:val="0"/>
                <w:numId w:val="28"/>
              </w:numPr>
              <w:spacing w:after="0" w:line="240" w:lineRule="auto"/>
              <w:jc w:val="both"/>
              <w:rPr>
                <w:rFonts w:cs="Calibri"/>
                <w:sz w:val="20"/>
                <w:lang w:val="en-GB"/>
              </w:rPr>
            </w:pPr>
            <w:r w:rsidRPr="00A94F93">
              <w:rPr>
                <w:rFonts w:cs="Calibri"/>
                <w:sz w:val="20"/>
                <w:lang w:val="en-GB"/>
              </w:rPr>
              <w:t>Improving electronic HIV surveillance system to include a module on tracking the ARV stock.</w:t>
            </w:r>
          </w:p>
          <w:p w14:paraId="567E055F" w14:textId="77777777" w:rsidR="00CD7EE9" w:rsidRPr="00A94F93" w:rsidRDefault="00CD7EE9" w:rsidP="008B5FE3">
            <w:pPr>
              <w:pStyle w:val="affff3"/>
              <w:numPr>
                <w:ilvl w:val="0"/>
                <w:numId w:val="28"/>
              </w:numPr>
              <w:spacing w:after="0" w:line="240" w:lineRule="auto"/>
              <w:jc w:val="both"/>
              <w:rPr>
                <w:rFonts w:cs="Calibri"/>
                <w:sz w:val="20"/>
                <w:lang w:val="en-GB"/>
              </w:rPr>
            </w:pPr>
            <w:r w:rsidRPr="00A94F93">
              <w:rPr>
                <w:rFonts w:cs="Calibri"/>
                <w:sz w:val="20"/>
                <w:lang w:val="en-GB"/>
              </w:rPr>
              <w:t>Introducing external quality assurance mechanisms for procured drugs as part of domestic funding.</w:t>
            </w:r>
          </w:p>
          <w:p w14:paraId="3BA0EBEC" w14:textId="576E541B" w:rsidR="00CD7EE9" w:rsidRPr="00A94F93" w:rsidRDefault="00CD7EE9" w:rsidP="008B5FE3">
            <w:pPr>
              <w:pStyle w:val="affff3"/>
              <w:numPr>
                <w:ilvl w:val="0"/>
                <w:numId w:val="28"/>
              </w:numPr>
              <w:spacing w:after="0" w:line="240" w:lineRule="auto"/>
              <w:jc w:val="both"/>
              <w:rPr>
                <w:rFonts w:cs="Calibri"/>
                <w:sz w:val="20"/>
                <w:lang w:val="en-GB"/>
              </w:rPr>
            </w:pPr>
            <w:r w:rsidRPr="00A94F93">
              <w:rPr>
                <w:rFonts w:cs="Calibri"/>
                <w:sz w:val="20"/>
                <w:lang w:val="en-GB"/>
              </w:rPr>
              <w:t xml:space="preserve">Implementing the laboratory quality management system in accordance with ISO 15189 in laboratories of RAC and Osh AIDS </w:t>
            </w:r>
            <w:r w:rsidR="004D5D39" w:rsidRPr="00A94F93">
              <w:rPr>
                <w:rFonts w:cs="Calibri"/>
                <w:sz w:val="20"/>
                <w:lang w:val="en-GB"/>
              </w:rPr>
              <w:t>Centre</w:t>
            </w:r>
            <w:r w:rsidRPr="00A94F93">
              <w:rPr>
                <w:rFonts w:cs="Calibri"/>
                <w:sz w:val="20"/>
                <w:lang w:val="en-GB"/>
              </w:rPr>
              <w:t>.</w:t>
            </w:r>
          </w:p>
          <w:p w14:paraId="2787917B" w14:textId="77777777" w:rsidR="00CD7EE9" w:rsidRPr="00A94F93" w:rsidRDefault="00CD7EE9" w:rsidP="008B5FE3">
            <w:pPr>
              <w:pStyle w:val="affff3"/>
              <w:numPr>
                <w:ilvl w:val="0"/>
                <w:numId w:val="28"/>
              </w:numPr>
              <w:spacing w:after="0" w:line="240" w:lineRule="auto"/>
              <w:jc w:val="both"/>
              <w:rPr>
                <w:rFonts w:cs="Calibri"/>
                <w:sz w:val="20"/>
                <w:lang w:val="en-GB"/>
              </w:rPr>
            </w:pPr>
            <w:r w:rsidRPr="00A94F93">
              <w:rPr>
                <w:rFonts w:cs="Calibri"/>
                <w:sz w:val="20"/>
                <w:lang w:val="en-GB"/>
              </w:rPr>
              <w:t>Scaling up the contracting of NGOs for HIV and TB services using the state social contracting mechanism.</w:t>
            </w:r>
          </w:p>
          <w:p w14:paraId="16E4DFDF" w14:textId="497A6999" w:rsidR="00CD7EE9" w:rsidRPr="00A94F93" w:rsidRDefault="00CD7EE9" w:rsidP="008B5FE3">
            <w:pPr>
              <w:pStyle w:val="affff3"/>
              <w:numPr>
                <w:ilvl w:val="0"/>
                <w:numId w:val="28"/>
              </w:numPr>
              <w:spacing w:after="0" w:line="240" w:lineRule="auto"/>
              <w:jc w:val="both"/>
              <w:rPr>
                <w:rFonts w:cs="Calibri"/>
                <w:sz w:val="20"/>
                <w:lang w:val="en-GB"/>
              </w:rPr>
            </w:pPr>
            <w:r w:rsidRPr="00A94F93">
              <w:rPr>
                <w:rFonts w:cs="Calibri"/>
                <w:sz w:val="20"/>
                <w:lang w:val="en-GB"/>
              </w:rPr>
              <w:t xml:space="preserve">Monitoring </w:t>
            </w:r>
            <w:r w:rsidR="00185264">
              <w:rPr>
                <w:rFonts w:cs="Calibri"/>
                <w:sz w:val="20"/>
                <w:lang w:val="en-GB"/>
              </w:rPr>
              <w:t>by the</w:t>
            </w:r>
            <w:r w:rsidR="00185264" w:rsidRPr="00185264">
              <w:rPr>
                <w:rFonts w:cs="Calibri"/>
                <w:sz w:val="20"/>
                <w:lang w:val="en-GB"/>
              </w:rPr>
              <w:t xml:space="preserve"> CSO the national response</w:t>
            </w:r>
            <w:r w:rsidR="00185264" w:rsidRPr="00A94F93">
              <w:rPr>
                <w:rFonts w:cs="Calibri"/>
                <w:sz w:val="20"/>
                <w:lang w:val="en-GB"/>
              </w:rPr>
              <w:t xml:space="preserve"> </w:t>
            </w:r>
            <w:r w:rsidR="00185264">
              <w:rPr>
                <w:rFonts w:cs="Calibri"/>
                <w:sz w:val="20"/>
                <w:lang w:val="en-GB"/>
              </w:rPr>
              <w:t>by</w:t>
            </w:r>
            <w:r w:rsidRPr="00A94F93">
              <w:rPr>
                <w:rFonts w:cs="Calibri"/>
                <w:sz w:val="20"/>
                <w:lang w:val="en-GB"/>
              </w:rPr>
              <w:t xml:space="preserve"> extending activities of boards of trustees, operation of the website «pereboi.kg», monitoring of procurement.</w:t>
            </w:r>
          </w:p>
          <w:p w14:paraId="656D2CBA" w14:textId="77777777" w:rsidR="00CD7EE9" w:rsidRPr="00A94F93" w:rsidRDefault="00CD7EE9" w:rsidP="008B5FE3">
            <w:pPr>
              <w:pStyle w:val="affff3"/>
              <w:numPr>
                <w:ilvl w:val="0"/>
                <w:numId w:val="28"/>
              </w:numPr>
              <w:spacing w:after="0" w:line="240" w:lineRule="auto"/>
              <w:jc w:val="both"/>
              <w:rPr>
                <w:rFonts w:cs="Calibri"/>
                <w:sz w:val="20"/>
                <w:lang w:val="en-GB"/>
              </w:rPr>
            </w:pPr>
            <w:r w:rsidRPr="00A94F93">
              <w:rPr>
                <w:rFonts w:cs="Calibri"/>
                <w:sz w:val="20"/>
                <w:lang w:val="en-GB"/>
              </w:rPr>
              <w:t xml:space="preserve">Advocating for amendment of the procurement legislation to facilitate the access to international mechanisms and benefiting from the TRIPS flexibilities. </w:t>
            </w:r>
          </w:p>
          <w:p w14:paraId="2859B6AF" w14:textId="38EAAB78" w:rsidR="00CD7EE9" w:rsidRPr="00A94F93" w:rsidRDefault="00CD7EE9" w:rsidP="008B5FE3">
            <w:pPr>
              <w:pStyle w:val="affff3"/>
              <w:numPr>
                <w:ilvl w:val="0"/>
                <w:numId w:val="28"/>
              </w:numPr>
              <w:spacing w:after="0" w:line="240" w:lineRule="auto"/>
              <w:jc w:val="both"/>
              <w:rPr>
                <w:rFonts w:cs="Calibri"/>
                <w:sz w:val="20"/>
                <w:lang w:val="en-GB"/>
              </w:rPr>
            </w:pPr>
            <w:r w:rsidRPr="00A94F93">
              <w:rPr>
                <w:rFonts w:cs="Calibri"/>
                <w:sz w:val="20"/>
                <w:lang w:val="en-GB"/>
              </w:rPr>
              <w:t xml:space="preserve">Supporting the interagency monitoring groups (MHIF, NTP and AIDS </w:t>
            </w:r>
            <w:r w:rsidR="004D5D39" w:rsidRPr="00A94F93">
              <w:rPr>
                <w:rFonts w:cs="Calibri"/>
                <w:sz w:val="20"/>
                <w:lang w:val="en-GB"/>
              </w:rPr>
              <w:t>Centres</w:t>
            </w:r>
            <w:r w:rsidRPr="00A94F93">
              <w:rPr>
                <w:rFonts w:cs="Calibri"/>
                <w:sz w:val="20"/>
                <w:lang w:val="en-GB"/>
              </w:rPr>
              <w:t>) to conduct regular monitoring and mentoring visits to all HIV and TB service delivery sites at least twice a year.</w:t>
            </w:r>
          </w:p>
          <w:p w14:paraId="14C22C9F" w14:textId="77777777" w:rsidR="00CD7EE9" w:rsidRPr="00A94F93" w:rsidRDefault="00CD7EE9" w:rsidP="008B5FE3">
            <w:pPr>
              <w:pStyle w:val="affff3"/>
              <w:numPr>
                <w:ilvl w:val="0"/>
                <w:numId w:val="28"/>
              </w:numPr>
              <w:spacing w:after="0" w:line="240" w:lineRule="auto"/>
              <w:jc w:val="both"/>
              <w:rPr>
                <w:rFonts w:cs="Calibri"/>
                <w:sz w:val="20"/>
                <w:lang w:val="en-GB"/>
              </w:rPr>
            </w:pPr>
            <w:r w:rsidRPr="00A94F93">
              <w:rPr>
                <w:rFonts w:cs="Calibri"/>
                <w:sz w:val="20"/>
                <w:lang w:val="en-GB"/>
              </w:rPr>
              <w:t xml:space="preserve">National HIV testing algorithm will </w:t>
            </w:r>
            <w:proofErr w:type="gramStart"/>
            <w:r w:rsidRPr="00A94F93">
              <w:rPr>
                <w:rFonts w:cs="Calibri"/>
                <w:sz w:val="20"/>
                <w:lang w:val="en-GB"/>
              </w:rPr>
              <w:t>be updated</w:t>
            </w:r>
            <w:proofErr w:type="gramEnd"/>
            <w:r w:rsidRPr="00A94F93">
              <w:rPr>
                <w:rFonts w:cs="Calibri"/>
                <w:sz w:val="20"/>
                <w:lang w:val="en-GB"/>
              </w:rPr>
              <w:t xml:space="preserve"> to include prescription of HIV testing as a routine approach.</w:t>
            </w:r>
          </w:p>
          <w:p w14:paraId="3077103F" w14:textId="78368974" w:rsidR="00CD7EE9" w:rsidRPr="00A94F93" w:rsidRDefault="00CD7EE9" w:rsidP="004D5D39">
            <w:pPr>
              <w:pStyle w:val="affff3"/>
              <w:numPr>
                <w:ilvl w:val="0"/>
                <w:numId w:val="28"/>
              </w:numPr>
              <w:spacing w:after="0" w:line="240" w:lineRule="auto"/>
              <w:jc w:val="both"/>
              <w:rPr>
                <w:rFonts w:cs="Calibri"/>
                <w:sz w:val="20"/>
                <w:lang w:val="en-GB"/>
              </w:rPr>
            </w:pPr>
            <w:r w:rsidRPr="00A94F93">
              <w:rPr>
                <w:rFonts w:cs="Calibri"/>
                <w:sz w:val="20"/>
                <w:lang w:val="en-GB"/>
              </w:rPr>
              <w:t>Supporting civil society and NGO representatives to address stigma and discrimination through advocacy, patient support, and adherence support.</w:t>
            </w:r>
          </w:p>
        </w:tc>
      </w:tr>
      <w:tr w:rsidR="00040646" w:rsidRPr="00BF4BEE" w14:paraId="6AFADA05" w14:textId="77777777" w:rsidTr="00204941">
        <w:trPr>
          <w:trHeight w:val="431"/>
        </w:trPr>
        <w:tc>
          <w:tcPr>
            <w:tcW w:w="2268" w:type="dxa"/>
            <w:shd w:val="clear" w:color="auto" w:fill="F2F2F2"/>
            <w:vAlign w:val="center"/>
          </w:tcPr>
          <w:p w14:paraId="245B50D3" w14:textId="77777777" w:rsidR="00040646" w:rsidRPr="00BF4BEE" w:rsidRDefault="00040646" w:rsidP="00595CA8">
            <w:pPr>
              <w:spacing w:after="0"/>
            </w:pPr>
            <w:r w:rsidRPr="00BF4BEE">
              <w:t>Expected Outcome</w:t>
            </w:r>
          </w:p>
        </w:tc>
        <w:tc>
          <w:tcPr>
            <w:tcW w:w="8082" w:type="dxa"/>
          </w:tcPr>
          <w:p w14:paraId="1B24FBA7" w14:textId="77777777" w:rsidR="00CD7EE9" w:rsidRPr="00436195" w:rsidRDefault="00CD7EE9" w:rsidP="008B5FE3">
            <w:pPr>
              <w:pStyle w:val="affff3"/>
              <w:numPr>
                <w:ilvl w:val="0"/>
                <w:numId w:val="28"/>
              </w:numPr>
              <w:spacing w:after="0" w:line="240" w:lineRule="auto"/>
              <w:jc w:val="both"/>
              <w:rPr>
                <w:sz w:val="20"/>
                <w:lang w:val="en-GB"/>
              </w:rPr>
            </w:pPr>
            <w:proofErr w:type="gramStart"/>
            <w:r w:rsidRPr="00436195">
              <w:rPr>
                <w:rFonts w:cs="Calibri"/>
                <w:sz w:val="20"/>
                <w:lang w:val="en-GB"/>
              </w:rPr>
              <w:t xml:space="preserve">As </w:t>
            </w:r>
            <w:r w:rsidRPr="00436195">
              <w:rPr>
                <w:sz w:val="20"/>
                <w:lang w:val="en-GB"/>
              </w:rPr>
              <w:t>a result of</w:t>
            </w:r>
            <w:proofErr w:type="gramEnd"/>
            <w:r w:rsidRPr="00436195">
              <w:rPr>
                <w:sz w:val="20"/>
                <w:lang w:val="en-GB"/>
              </w:rPr>
              <w:t xml:space="preserve"> decentrali</w:t>
            </w:r>
            <w:r>
              <w:rPr>
                <w:sz w:val="20"/>
                <w:lang w:val="en-GB"/>
              </w:rPr>
              <w:t>s</w:t>
            </w:r>
            <w:r w:rsidRPr="00436195">
              <w:rPr>
                <w:sz w:val="20"/>
                <w:lang w:val="en-GB"/>
              </w:rPr>
              <w:t xml:space="preserve">ation of services all PLHIV and TB patients will access services at </w:t>
            </w:r>
            <w:r>
              <w:rPr>
                <w:sz w:val="20"/>
                <w:lang w:val="en-GB"/>
              </w:rPr>
              <w:t>PHC</w:t>
            </w:r>
            <w:r w:rsidRPr="00436195">
              <w:rPr>
                <w:sz w:val="20"/>
                <w:lang w:val="en-GB"/>
              </w:rPr>
              <w:t xml:space="preserve"> level.</w:t>
            </w:r>
          </w:p>
          <w:p w14:paraId="74D6E5EB" w14:textId="77777777" w:rsidR="00CD7EE9" w:rsidRPr="00436195" w:rsidRDefault="00CD7EE9" w:rsidP="008B5FE3">
            <w:pPr>
              <w:pStyle w:val="affff3"/>
              <w:numPr>
                <w:ilvl w:val="0"/>
                <w:numId w:val="28"/>
              </w:numPr>
              <w:spacing w:after="0" w:line="240" w:lineRule="auto"/>
              <w:jc w:val="both"/>
              <w:rPr>
                <w:sz w:val="20"/>
                <w:lang w:val="en-GB"/>
              </w:rPr>
            </w:pPr>
            <w:r w:rsidRPr="00436195">
              <w:rPr>
                <w:sz w:val="20"/>
                <w:lang w:val="en-GB"/>
              </w:rPr>
              <w:t>Improved skills and quality of services provided by health professionals involved in provision of HIV and TB services.</w:t>
            </w:r>
          </w:p>
          <w:p w14:paraId="733F67AC" w14:textId="77777777" w:rsidR="00CD7EE9" w:rsidRPr="00436195" w:rsidRDefault="00CD7EE9" w:rsidP="008B5FE3">
            <w:pPr>
              <w:pStyle w:val="affff3"/>
              <w:numPr>
                <w:ilvl w:val="0"/>
                <w:numId w:val="28"/>
              </w:numPr>
              <w:spacing w:after="0" w:line="240" w:lineRule="auto"/>
              <w:jc w:val="both"/>
              <w:rPr>
                <w:sz w:val="20"/>
                <w:lang w:val="en-GB"/>
              </w:rPr>
            </w:pPr>
            <w:r w:rsidRPr="00436195">
              <w:rPr>
                <w:sz w:val="20"/>
                <w:lang w:val="en-GB"/>
              </w:rPr>
              <w:t xml:space="preserve">Functional Electronic HIV surveillance system and the module to track drug inventory </w:t>
            </w:r>
            <w:proofErr w:type="gramStart"/>
            <w:r w:rsidRPr="00436195">
              <w:rPr>
                <w:sz w:val="20"/>
                <w:lang w:val="en-GB"/>
              </w:rPr>
              <w:t>is introduced</w:t>
            </w:r>
            <w:proofErr w:type="gramEnd"/>
            <w:r w:rsidRPr="00436195">
              <w:rPr>
                <w:sz w:val="20"/>
                <w:lang w:val="en-GB"/>
              </w:rPr>
              <w:t xml:space="preserve"> at all </w:t>
            </w:r>
            <w:r>
              <w:rPr>
                <w:sz w:val="20"/>
                <w:lang w:val="en-GB"/>
              </w:rPr>
              <w:t>PHC</w:t>
            </w:r>
            <w:r w:rsidRPr="00436195">
              <w:rPr>
                <w:sz w:val="20"/>
                <w:lang w:val="en-GB"/>
              </w:rPr>
              <w:t xml:space="preserve"> sites providing services to PLHIV.</w:t>
            </w:r>
          </w:p>
          <w:p w14:paraId="627922B3" w14:textId="553A26D1" w:rsidR="00CD7EE9" w:rsidRDefault="00CD7EE9" w:rsidP="008B5FE3">
            <w:pPr>
              <w:pStyle w:val="affff3"/>
              <w:numPr>
                <w:ilvl w:val="0"/>
                <w:numId w:val="28"/>
              </w:numPr>
              <w:spacing w:after="0" w:line="240" w:lineRule="auto"/>
              <w:jc w:val="both"/>
              <w:rPr>
                <w:sz w:val="20"/>
                <w:lang w:val="en-GB"/>
              </w:rPr>
            </w:pPr>
            <w:r w:rsidRPr="00436195">
              <w:rPr>
                <w:sz w:val="20"/>
                <w:lang w:val="en-GB"/>
              </w:rPr>
              <w:t>Decreased time from diagnosis to treatment.</w:t>
            </w:r>
          </w:p>
          <w:p w14:paraId="4FD9A0CE" w14:textId="42C7F2B7" w:rsidR="00040646" w:rsidRPr="00933977" w:rsidRDefault="00CD7EE9" w:rsidP="008B5FE3">
            <w:pPr>
              <w:pStyle w:val="affff3"/>
              <w:numPr>
                <w:ilvl w:val="0"/>
                <w:numId w:val="28"/>
              </w:numPr>
              <w:spacing w:after="0"/>
              <w:rPr>
                <w:rFonts w:ascii="Calibri" w:hAnsi="Calibri" w:cs="Times New Roman"/>
              </w:rPr>
            </w:pPr>
            <w:r w:rsidRPr="00933977">
              <w:rPr>
                <w:sz w:val="20"/>
                <w:lang w:val="en-GB"/>
              </w:rPr>
              <w:t>90% of HIV and TB laboratory accredited through EQA</w:t>
            </w:r>
          </w:p>
        </w:tc>
      </w:tr>
    </w:tbl>
    <w:p w14:paraId="559C48CF" w14:textId="77777777" w:rsidR="00575754" w:rsidRDefault="00575754" w:rsidP="00BE0F0C">
      <w:pPr>
        <w:spacing w:after="0"/>
        <w:rPr>
          <w:i/>
          <w:sz w:val="16"/>
          <w:szCs w:val="16"/>
        </w:rPr>
      </w:pPr>
    </w:p>
    <w:tbl>
      <w:tblPr>
        <w:tblStyle w:val="TableGrid3"/>
        <w:tblW w:w="10350" w:type="dxa"/>
        <w:tblLook w:val="04A0" w:firstRow="1" w:lastRow="0" w:firstColumn="1" w:lastColumn="0" w:noHBand="0" w:noVBand="1"/>
      </w:tblPr>
      <w:tblGrid>
        <w:gridCol w:w="2263"/>
        <w:gridCol w:w="8087"/>
      </w:tblGrid>
      <w:tr w:rsidR="00C7748C" w:rsidRPr="00A94F93" w14:paraId="122AE16D" w14:textId="77777777" w:rsidTr="00204941">
        <w:trPr>
          <w:trHeight w:val="422"/>
        </w:trPr>
        <w:tc>
          <w:tcPr>
            <w:tcW w:w="2263" w:type="dxa"/>
            <w:shd w:val="clear" w:color="auto" w:fill="F2F2F2"/>
            <w:vAlign w:val="center"/>
          </w:tcPr>
          <w:p w14:paraId="67DA119C" w14:textId="77777777" w:rsidR="00C7748C" w:rsidRPr="00A94F93" w:rsidRDefault="00C7748C" w:rsidP="00C7748C">
            <w:pPr>
              <w:spacing w:after="0"/>
              <w:rPr>
                <w:rFonts w:cstheme="minorHAnsi"/>
              </w:rPr>
            </w:pPr>
            <w:r w:rsidRPr="00A94F93">
              <w:rPr>
                <w:rFonts w:cstheme="minorHAnsi"/>
              </w:rPr>
              <w:t xml:space="preserve">Component </w:t>
            </w:r>
          </w:p>
        </w:tc>
        <w:tc>
          <w:tcPr>
            <w:tcW w:w="8087" w:type="dxa"/>
          </w:tcPr>
          <w:p w14:paraId="33E27839" w14:textId="0545CEA3" w:rsidR="00C7748C" w:rsidRPr="00A94F93" w:rsidRDefault="00C7748C" w:rsidP="0038000C">
            <w:pPr>
              <w:jc w:val="both"/>
              <w:rPr>
                <w:rFonts w:cstheme="minorHAnsi"/>
                <w:sz w:val="20"/>
                <w:szCs w:val="20"/>
              </w:rPr>
            </w:pPr>
            <w:r w:rsidRPr="00A94F93">
              <w:rPr>
                <w:rFonts w:cstheme="minorHAnsi"/>
                <w:sz w:val="20"/>
                <w:szCs w:val="20"/>
                <w:lang w:val="en-GB"/>
              </w:rPr>
              <w:t xml:space="preserve">Reducing barriers to HIV/TB related service delivery associated with human rights </w:t>
            </w:r>
          </w:p>
        </w:tc>
      </w:tr>
      <w:tr w:rsidR="00C7748C" w:rsidRPr="00A94F93" w14:paraId="293B92BB" w14:textId="77777777" w:rsidTr="00204941">
        <w:trPr>
          <w:trHeight w:val="440"/>
        </w:trPr>
        <w:tc>
          <w:tcPr>
            <w:tcW w:w="2263" w:type="dxa"/>
            <w:shd w:val="clear" w:color="auto" w:fill="F2F2F2"/>
            <w:vAlign w:val="center"/>
          </w:tcPr>
          <w:p w14:paraId="1216C75A" w14:textId="77777777" w:rsidR="00C7748C" w:rsidRPr="00A94F93" w:rsidRDefault="00C7748C" w:rsidP="00C7748C">
            <w:pPr>
              <w:spacing w:after="0"/>
              <w:rPr>
                <w:rFonts w:cstheme="minorHAnsi"/>
              </w:rPr>
            </w:pPr>
            <w:r w:rsidRPr="00A94F93">
              <w:rPr>
                <w:rFonts w:cstheme="minorHAnsi"/>
              </w:rPr>
              <w:t>Module/interventions</w:t>
            </w:r>
          </w:p>
        </w:tc>
        <w:tc>
          <w:tcPr>
            <w:tcW w:w="8087" w:type="dxa"/>
          </w:tcPr>
          <w:p w14:paraId="5B2FA6A9" w14:textId="77777777" w:rsidR="00C7748C" w:rsidRPr="00A94F93" w:rsidRDefault="00C7748C" w:rsidP="0038000C">
            <w:pPr>
              <w:numPr>
                <w:ilvl w:val="0"/>
                <w:numId w:val="29"/>
              </w:numPr>
              <w:spacing w:after="0" w:line="240" w:lineRule="auto"/>
              <w:ind w:left="317" w:hanging="317"/>
              <w:contextualSpacing/>
              <w:jc w:val="both"/>
              <w:rPr>
                <w:rFonts w:cstheme="minorHAnsi"/>
                <w:sz w:val="20"/>
                <w:szCs w:val="20"/>
                <w:lang w:val="en-GB"/>
              </w:rPr>
            </w:pPr>
            <w:r w:rsidRPr="00A94F93">
              <w:rPr>
                <w:rFonts w:cstheme="minorHAnsi"/>
                <w:sz w:val="20"/>
                <w:szCs w:val="20"/>
                <w:lang w:val="en-GB"/>
              </w:rPr>
              <w:t xml:space="preserve">Monitoring and reforming HIV and TB related laws, regulations and policies to improve responsiveness of law makers and law enforcement agencies. </w:t>
            </w:r>
          </w:p>
          <w:p w14:paraId="4E19875F" w14:textId="77777777" w:rsidR="00C7748C" w:rsidRPr="00A94F93" w:rsidRDefault="00C7748C" w:rsidP="0038000C">
            <w:pPr>
              <w:numPr>
                <w:ilvl w:val="0"/>
                <w:numId w:val="29"/>
              </w:numPr>
              <w:spacing w:after="0" w:line="240" w:lineRule="auto"/>
              <w:ind w:left="317" w:hanging="317"/>
              <w:contextualSpacing/>
              <w:jc w:val="both"/>
              <w:rPr>
                <w:rFonts w:cstheme="minorHAnsi"/>
                <w:sz w:val="20"/>
                <w:szCs w:val="20"/>
                <w:lang w:val="en-GB"/>
              </w:rPr>
            </w:pPr>
            <w:r w:rsidRPr="00A94F93">
              <w:rPr>
                <w:rFonts w:cstheme="minorHAnsi"/>
                <w:sz w:val="20"/>
                <w:szCs w:val="20"/>
                <w:lang w:val="en-GB"/>
              </w:rPr>
              <w:t>Provision of legal aid including improvement of legal literacy of community leaders and representatives.</w:t>
            </w:r>
          </w:p>
          <w:p w14:paraId="446B2985" w14:textId="77777777" w:rsidR="00C7748C" w:rsidRPr="00A94F93" w:rsidRDefault="00C7748C" w:rsidP="0038000C">
            <w:pPr>
              <w:numPr>
                <w:ilvl w:val="0"/>
                <w:numId w:val="29"/>
              </w:numPr>
              <w:spacing w:after="0" w:line="240" w:lineRule="auto"/>
              <w:ind w:left="317" w:hanging="317"/>
              <w:contextualSpacing/>
              <w:jc w:val="both"/>
              <w:rPr>
                <w:rFonts w:cstheme="minorHAnsi"/>
                <w:sz w:val="20"/>
                <w:szCs w:val="20"/>
                <w:lang w:val="en-GB"/>
              </w:rPr>
            </w:pPr>
            <w:r w:rsidRPr="00A94F93">
              <w:rPr>
                <w:rFonts w:cstheme="minorHAnsi"/>
                <w:sz w:val="20"/>
                <w:szCs w:val="20"/>
                <w:lang w:val="en-GB"/>
              </w:rPr>
              <w:t xml:space="preserve">Training health care providers on human rights and code of medical ethics. </w:t>
            </w:r>
          </w:p>
          <w:p w14:paraId="189BBA02" w14:textId="5E249D45" w:rsidR="00C7748C" w:rsidRPr="00A94F93" w:rsidRDefault="00C7748C" w:rsidP="0038000C">
            <w:pPr>
              <w:spacing w:after="0"/>
              <w:jc w:val="both"/>
              <w:rPr>
                <w:rFonts w:cstheme="minorHAnsi"/>
                <w:sz w:val="20"/>
                <w:szCs w:val="20"/>
              </w:rPr>
            </w:pPr>
            <w:r w:rsidRPr="00A94F93">
              <w:rPr>
                <w:rFonts w:cstheme="minorHAnsi"/>
                <w:b/>
                <w:sz w:val="20"/>
                <w:szCs w:val="20"/>
                <w:lang w:val="en-GB"/>
              </w:rPr>
              <w:t xml:space="preserve">Modules: </w:t>
            </w:r>
            <w:r w:rsidRPr="00A94F93">
              <w:rPr>
                <w:rFonts w:cstheme="minorHAnsi"/>
                <w:sz w:val="20"/>
                <w:szCs w:val="20"/>
                <w:lang w:val="en-GB"/>
              </w:rPr>
              <w:t xml:space="preserve">Reducing stigma and discrimination; reducing discrimination against women </w:t>
            </w:r>
          </w:p>
        </w:tc>
      </w:tr>
      <w:tr w:rsidR="00C7748C" w:rsidRPr="00A94F93" w14:paraId="3681E809" w14:textId="77777777" w:rsidTr="00204941">
        <w:trPr>
          <w:trHeight w:val="440"/>
        </w:trPr>
        <w:tc>
          <w:tcPr>
            <w:tcW w:w="2263" w:type="dxa"/>
            <w:shd w:val="clear" w:color="auto" w:fill="F2F2F2"/>
            <w:vAlign w:val="center"/>
          </w:tcPr>
          <w:p w14:paraId="6D78C5A8" w14:textId="77777777" w:rsidR="00C7748C" w:rsidRPr="00A94F93" w:rsidRDefault="00C7748C" w:rsidP="00C7748C">
            <w:pPr>
              <w:spacing w:after="0"/>
              <w:rPr>
                <w:rFonts w:cstheme="minorHAnsi"/>
              </w:rPr>
            </w:pPr>
            <w:r w:rsidRPr="00A94F93">
              <w:rPr>
                <w:rFonts w:cstheme="minorHAnsi"/>
              </w:rPr>
              <w:t>Priority populations</w:t>
            </w:r>
          </w:p>
        </w:tc>
        <w:tc>
          <w:tcPr>
            <w:tcW w:w="8087" w:type="dxa"/>
          </w:tcPr>
          <w:p w14:paraId="4D43A0F0" w14:textId="7AFF5875" w:rsidR="00C7748C" w:rsidRPr="00A94F93" w:rsidRDefault="00C7748C" w:rsidP="0038000C">
            <w:pPr>
              <w:spacing w:after="0"/>
              <w:jc w:val="both"/>
              <w:rPr>
                <w:rFonts w:cstheme="minorHAnsi"/>
                <w:sz w:val="20"/>
                <w:szCs w:val="20"/>
              </w:rPr>
            </w:pPr>
            <w:r w:rsidRPr="00A94F93">
              <w:rPr>
                <w:rFonts w:cstheme="minorHAnsi"/>
                <w:sz w:val="20"/>
                <w:szCs w:val="20"/>
                <w:lang w:val="en-GB"/>
              </w:rPr>
              <w:t>People living with HIV and TB; key populations (PWID, SW, LGBT, prisoners); women from key populations being victims of violence.</w:t>
            </w:r>
          </w:p>
        </w:tc>
      </w:tr>
      <w:tr w:rsidR="00C7748C" w:rsidRPr="00A94F93" w14:paraId="12048A17" w14:textId="77777777" w:rsidTr="00204941">
        <w:trPr>
          <w:trHeight w:val="440"/>
        </w:trPr>
        <w:tc>
          <w:tcPr>
            <w:tcW w:w="2263" w:type="dxa"/>
            <w:shd w:val="clear" w:color="auto" w:fill="F2F2F2"/>
            <w:vAlign w:val="center"/>
          </w:tcPr>
          <w:p w14:paraId="30AF7ABC" w14:textId="77777777" w:rsidR="00C7748C" w:rsidRPr="00A94F93" w:rsidRDefault="00C7748C" w:rsidP="00C7748C">
            <w:pPr>
              <w:spacing w:after="0"/>
              <w:rPr>
                <w:rFonts w:cstheme="minorHAnsi"/>
              </w:rPr>
            </w:pPr>
            <w:r w:rsidRPr="00A94F93">
              <w:rPr>
                <w:rFonts w:cstheme="minorHAnsi"/>
              </w:rPr>
              <w:t>Barriers and inequities</w:t>
            </w:r>
          </w:p>
        </w:tc>
        <w:tc>
          <w:tcPr>
            <w:tcW w:w="8087" w:type="dxa"/>
          </w:tcPr>
          <w:p w14:paraId="5F210D35" w14:textId="58FA3ADF" w:rsidR="00C7748C" w:rsidRPr="00A94F93" w:rsidRDefault="00C7748C" w:rsidP="0038000C">
            <w:pPr>
              <w:spacing w:after="0"/>
              <w:jc w:val="both"/>
              <w:rPr>
                <w:rFonts w:cstheme="minorHAnsi"/>
                <w:sz w:val="20"/>
                <w:szCs w:val="20"/>
              </w:rPr>
            </w:pPr>
            <w:r w:rsidRPr="00A94F93">
              <w:rPr>
                <w:rFonts w:cstheme="minorHAnsi"/>
                <w:sz w:val="20"/>
                <w:szCs w:val="20"/>
                <w:lang w:val="en-GB"/>
              </w:rPr>
              <w:t xml:space="preserve">High levels of stigma and discrimination; legal nihilism: discrepancies between Kyrgyz legislation and law enforcement practices; lack of access to justice for those facing unlawful actions of law enforcement agencies; acceptance of violence against key populations and women at policy and community levels; limited access to prevention, diagnosis, care and treatment services </w:t>
            </w:r>
            <w:proofErr w:type="gramStart"/>
            <w:r w:rsidRPr="00A94F93">
              <w:rPr>
                <w:rFonts w:cstheme="minorHAnsi"/>
                <w:sz w:val="20"/>
                <w:szCs w:val="20"/>
                <w:lang w:val="en-GB"/>
              </w:rPr>
              <w:t>as a result of</w:t>
            </w:r>
            <w:proofErr w:type="gramEnd"/>
            <w:r w:rsidRPr="00A94F93">
              <w:rPr>
                <w:rFonts w:cstheme="minorHAnsi"/>
                <w:sz w:val="20"/>
                <w:szCs w:val="20"/>
                <w:lang w:val="en-GB"/>
              </w:rPr>
              <w:t xml:space="preserve"> stigma and discrimination against people living with HIV and TB as well as key populations. </w:t>
            </w:r>
          </w:p>
        </w:tc>
      </w:tr>
      <w:tr w:rsidR="00C7748C" w:rsidRPr="00A94F93" w14:paraId="321286D4" w14:textId="77777777" w:rsidTr="00204941">
        <w:trPr>
          <w:trHeight w:val="440"/>
        </w:trPr>
        <w:tc>
          <w:tcPr>
            <w:tcW w:w="2263" w:type="dxa"/>
            <w:shd w:val="clear" w:color="auto" w:fill="F2F2F2"/>
            <w:vAlign w:val="center"/>
          </w:tcPr>
          <w:p w14:paraId="5332540B" w14:textId="77777777" w:rsidR="00C7748C" w:rsidRPr="00A94F93" w:rsidRDefault="00C7748C" w:rsidP="00C7748C">
            <w:pPr>
              <w:spacing w:after="0"/>
              <w:rPr>
                <w:rFonts w:cstheme="minorHAnsi"/>
              </w:rPr>
            </w:pPr>
            <w:r w:rsidRPr="00A94F93">
              <w:rPr>
                <w:rFonts w:cstheme="minorHAnsi"/>
              </w:rPr>
              <w:t>Rationale</w:t>
            </w:r>
          </w:p>
        </w:tc>
        <w:tc>
          <w:tcPr>
            <w:tcW w:w="8087" w:type="dxa"/>
          </w:tcPr>
          <w:p w14:paraId="008CBC46" w14:textId="77777777" w:rsidR="00C7748C" w:rsidRPr="00A94F93" w:rsidRDefault="00C7748C" w:rsidP="0038000C">
            <w:pPr>
              <w:jc w:val="both"/>
              <w:rPr>
                <w:rFonts w:cstheme="minorHAnsi"/>
                <w:sz w:val="20"/>
                <w:szCs w:val="20"/>
                <w:lang w:val="en-GB"/>
              </w:rPr>
            </w:pPr>
            <w:r w:rsidRPr="00A94F93">
              <w:rPr>
                <w:rFonts w:cstheme="minorHAnsi"/>
                <w:sz w:val="20"/>
                <w:szCs w:val="20"/>
                <w:lang w:val="en-GB"/>
              </w:rPr>
              <w:t xml:space="preserve">Under this module a whole range of activities will </w:t>
            </w:r>
            <w:proofErr w:type="gramStart"/>
            <w:r w:rsidRPr="00A94F93">
              <w:rPr>
                <w:rFonts w:cstheme="minorHAnsi"/>
                <w:sz w:val="20"/>
                <w:szCs w:val="20"/>
                <w:lang w:val="en-GB"/>
              </w:rPr>
              <w:t>be implemented</w:t>
            </w:r>
            <w:proofErr w:type="gramEnd"/>
            <w:r w:rsidRPr="00A94F93">
              <w:rPr>
                <w:rFonts w:cstheme="minorHAnsi"/>
                <w:sz w:val="20"/>
                <w:szCs w:val="20"/>
                <w:lang w:val="en-GB"/>
              </w:rPr>
              <w:t xml:space="preserve"> varying from performance assessment actions to measures aimed at making a difference.</w:t>
            </w:r>
          </w:p>
          <w:p w14:paraId="321F829A" w14:textId="77777777" w:rsidR="00C7748C" w:rsidRPr="00A94F93" w:rsidRDefault="00C7748C" w:rsidP="0038000C">
            <w:pPr>
              <w:numPr>
                <w:ilvl w:val="0"/>
                <w:numId w:val="30"/>
              </w:numPr>
              <w:spacing w:after="0" w:line="240" w:lineRule="auto"/>
              <w:ind w:left="317" w:hanging="317"/>
              <w:contextualSpacing/>
              <w:jc w:val="both"/>
              <w:rPr>
                <w:rFonts w:cstheme="minorHAnsi"/>
                <w:sz w:val="20"/>
                <w:szCs w:val="20"/>
                <w:lang w:val="en-GB"/>
              </w:rPr>
            </w:pPr>
            <w:r w:rsidRPr="00A94F93">
              <w:rPr>
                <w:rFonts w:cstheme="minorHAnsi"/>
                <w:sz w:val="20"/>
                <w:szCs w:val="20"/>
                <w:lang w:val="en-GB"/>
              </w:rPr>
              <w:t xml:space="preserve">To implement an Assessment of Laws and regulations and the implementation of the legal reforms to date. This will provide data for recommendations and advocacy among </w:t>
            </w:r>
            <w:r w:rsidRPr="00A94F93">
              <w:rPr>
                <w:rFonts w:cstheme="minorHAnsi"/>
                <w:sz w:val="20"/>
                <w:szCs w:val="20"/>
                <w:lang w:val="en-GB"/>
              </w:rPr>
              <w:lastRenderedPageBreak/>
              <w:t xml:space="preserve">the law enforcing mechanisms to respect the rights of people living with HIV and TB and key populations to support improved access to prevention programmes and health care. Evidence-based law, policy, draft government decrees and departmental regulations will </w:t>
            </w:r>
            <w:proofErr w:type="gramStart"/>
            <w:r w:rsidRPr="00A94F93">
              <w:rPr>
                <w:rFonts w:cstheme="minorHAnsi"/>
                <w:sz w:val="20"/>
                <w:szCs w:val="20"/>
                <w:lang w:val="en-GB"/>
              </w:rPr>
              <w:t>be developed</w:t>
            </w:r>
            <w:proofErr w:type="gramEnd"/>
            <w:r w:rsidRPr="00A94F93">
              <w:rPr>
                <w:rFonts w:cstheme="minorHAnsi"/>
                <w:sz w:val="20"/>
                <w:szCs w:val="20"/>
                <w:lang w:val="en-GB"/>
              </w:rPr>
              <w:t xml:space="preserve">. </w:t>
            </w:r>
          </w:p>
          <w:p w14:paraId="7DE2181F" w14:textId="77777777" w:rsidR="00C7748C" w:rsidRPr="00A94F93" w:rsidRDefault="00C7748C" w:rsidP="0038000C">
            <w:pPr>
              <w:numPr>
                <w:ilvl w:val="0"/>
                <w:numId w:val="30"/>
              </w:numPr>
              <w:spacing w:after="0" w:line="240" w:lineRule="auto"/>
              <w:ind w:left="317" w:hanging="317"/>
              <w:contextualSpacing/>
              <w:jc w:val="both"/>
              <w:rPr>
                <w:rFonts w:cstheme="minorHAnsi"/>
                <w:sz w:val="20"/>
                <w:szCs w:val="20"/>
                <w:lang w:val="en-GB"/>
              </w:rPr>
            </w:pPr>
            <w:r w:rsidRPr="00A94F93">
              <w:rPr>
                <w:rFonts w:cstheme="minorHAnsi"/>
                <w:sz w:val="20"/>
                <w:szCs w:val="20"/>
                <w:lang w:val="en-GB"/>
              </w:rPr>
              <w:t xml:space="preserve">To assess the impact of the reforms of the Ministry of Interior on reducing the number of cases of key populations rights violations and to continue documenting the cases of violations through the React electronic system. This activity will facilitate the representation of NGOs and communities in public councils under the </w:t>
            </w:r>
            <w:proofErr w:type="spellStart"/>
            <w:r w:rsidRPr="00A94F93">
              <w:rPr>
                <w:rFonts w:cstheme="minorHAnsi"/>
                <w:sz w:val="20"/>
                <w:szCs w:val="20"/>
                <w:lang w:val="en-GB"/>
              </w:rPr>
              <w:t>MoI</w:t>
            </w:r>
            <w:proofErr w:type="spellEnd"/>
            <w:r w:rsidRPr="00A94F93">
              <w:rPr>
                <w:rFonts w:cstheme="minorHAnsi"/>
                <w:sz w:val="20"/>
                <w:szCs w:val="20"/>
                <w:lang w:val="en-GB"/>
              </w:rPr>
              <w:t>, Ministry of Justice, and State Penitentiary Service.</w:t>
            </w:r>
          </w:p>
          <w:p w14:paraId="65C46238" w14:textId="77777777" w:rsidR="00C7748C" w:rsidRPr="00A94F93" w:rsidRDefault="00C7748C" w:rsidP="0038000C">
            <w:pPr>
              <w:numPr>
                <w:ilvl w:val="0"/>
                <w:numId w:val="30"/>
              </w:numPr>
              <w:spacing w:after="0" w:line="240" w:lineRule="auto"/>
              <w:ind w:left="317" w:hanging="317"/>
              <w:contextualSpacing/>
              <w:jc w:val="both"/>
              <w:rPr>
                <w:rFonts w:cstheme="minorHAnsi"/>
                <w:sz w:val="20"/>
                <w:szCs w:val="20"/>
                <w:lang w:val="en-GB"/>
              </w:rPr>
            </w:pPr>
            <w:r w:rsidRPr="00A94F93">
              <w:rPr>
                <w:rFonts w:cstheme="minorHAnsi"/>
                <w:sz w:val="20"/>
                <w:szCs w:val="20"/>
                <w:lang w:val="en-GB"/>
              </w:rPr>
              <w:t xml:space="preserve">To assess the impact of unlawful actions of law enforcement agencies on the reduced coverage of prevention programmes and increasing the risk of HIV in key populations. The assessment findings will </w:t>
            </w:r>
            <w:proofErr w:type="gramStart"/>
            <w:r w:rsidRPr="00A94F93">
              <w:rPr>
                <w:rFonts w:cstheme="minorHAnsi"/>
                <w:sz w:val="20"/>
                <w:szCs w:val="20"/>
                <w:lang w:val="en-GB"/>
              </w:rPr>
              <w:t>be widely addressed</w:t>
            </w:r>
            <w:proofErr w:type="gramEnd"/>
            <w:r w:rsidRPr="00A94F93">
              <w:rPr>
                <w:rFonts w:cstheme="minorHAnsi"/>
                <w:sz w:val="20"/>
                <w:szCs w:val="20"/>
                <w:lang w:val="en-GB"/>
              </w:rPr>
              <w:t xml:space="preserve"> at various platforms.</w:t>
            </w:r>
          </w:p>
          <w:p w14:paraId="39F8F7CE" w14:textId="77777777" w:rsidR="00C7748C" w:rsidRPr="00A94F93" w:rsidRDefault="00C7748C" w:rsidP="0038000C">
            <w:pPr>
              <w:numPr>
                <w:ilvl w:val="0"/>
                <w:numId w:val="30"/>
              </w:numPr>
              <w:spacing w:after="0" w:line="240" w:lineRule="auto"/>
              <w:ind w:left="317" w:hanging="317"/>
              <w:contextualSpacing/>
              <w:jc w:val="both"/>
              <w:rPr>
                <w:rFonts w:cstheme="minorHAnsi"/>
                <w:sz w:val="20"/>
                <w:szCs w:val="20"/>
                <w:lang w:val="en-GB"/>
              </w:rPr>
            </w:pPr>
            <w:r w:rsidRPr="00A94F93">
              <w:rPr>
                <w:rFonts w:cstheme="minorHAnsi"/>
                <w:sz w:val="20"/>
                <w:szCs w:val="20"/>
                <w:lang w:val="en-GB"/>
              </w:rPr>
              <w:t>To initiate legal proceedings against officers of law enforcement agencies, which have committed unlawful acts against representatives of key populations.</w:t>
            </w:r>
          </w:p>
          <w:p w14:paraId="1F475E2C" w14:textId="77777777" w:rsidR="00C7748C" w:rsidRPr="00A94F93" w:rsidRDefault="00C7748C" w:rsidP="0038000C">
            <w:pPr>
              <w:numPr>
                <w:ilvl w:val="0"/>
                <w:numId w:val="30"/>
              </w:numPr>
              <w:spacing w:after="0" w:line="240" w:lineRule="auto"/>
              <w:ind w:left="317" w:hanging="317"/>
              <w:contextualSpacing/>
              <w:jc w:val="both"/>
              <w:rPr>
                <w:rFonts w:cstheme="minorHAnsi"/>
                <w:sz w:val="20"/>
                <w:szCs w:val="20"/>
                <w:lang w:val="en-GB"/>
              </w:rPr>
            </w:pPr>
            <w:r w:rsidRPr="00A94F93">
              <w:rPr>
                <w:rFonts w:cstheme="minorHAnsi"/>
                <w:sz w:val="20"/>
                <w:szCs w:val="20"/>
                <w:lang w:val="en-GB"/>
              </w:rPr>
              <w:t xml:space="preserve">To advocate for the abolition of unlawful law enforcement practices by law enforcement agencies. To disseminate letters, addressing public, holding multilateral meetings at the level of the Government, Parliament and </w:t>
            </w:r>
            <w:proofErr w:type="spellStart"/>
            <w:r w:rsidRPr="00A94F93">
              <w:rPr>
                <w:rFonts w:cstheme="minorHAnsi"/>
                <w:sz w:val="20"/>
                <w:szCs w:val="20"/>
                <w:lang w:val="en-GB"/>
              </w:rPr>
              <w:t>MoI</w:t>
            </w:r>
            <w:proofErr w:type="spellEnd"/>
            <w:r w:rsidRPr="00A94F93">
              <w:rPr>
                <w:rFonts w:cstheme="minorHAnsi"/>
                <w:sz w:val="20"/>
                <w:szCs w:val="20"/>
                <w:lang w:val="en-GB"/>
              </w:rPr>
              <w:t xml:space="preserve"> together with civil sector to reach consensus on joint actions to increase coverage of key populations by HIV and TB prevention and treatment programmes. </w:t>
            </w:r>
          </w:p>
          <w:p w14:paraId="0FF48AA4" w14:textId="4E9BE131" w:rsidR="00C7748C" w:rsidRPr="00A94F93" w:rsidRDefault="00C7748C" w:rsidP="0038000C">
            <w:pPr>
              <w:numPr>
                <w:ilvl w:val="0"/>
                <w:numId w:val="30"/>
              </w:numPr>
              <w:spacing w:after="0" w:line="240" w:lineRule="auto"/>
              <w:ind w:left="317" w:hanging="317"/>
              <w:contextualSpacing/>
              <w:jc w:val="both"/>
              <w:rPr>
                <w:rFonts w:cstheme="minorHAnsi"/>
                <w:sz w:val="20"/>
                <w:szCs w:val="20"/>
                <w:lang w:val="en-GB"/>
              </w:rPr>
            </w:pPr>
            <w:r w:rsidRPr="00A94F93">
              <w:rPr>
                <w:rFonts w:cstheme="minorHAnsi"/>
                <w:sz w:val="20"/>
                <w:szCs w:val="20"/>
                <w:lang w:val="en-GB"/>
              </w:rPr>
              <w:t xml:space="preserve">To facilitate the implementation of the interagency plan to reduce legal barriers to HIV and TB services including regular reporting by the </w:t>
            </w:r>
            <w:proofErr w:type="spellStart"/>
            <w:r w:rsidRPr="00A94F93">
              <w:rPr>
                <w:rFonts w:cstheme="minorHAnsi"/>
                <w:sz w:val="20"/>
                <w:szCs w:val="20"/>
                <w:lang w:val="en-GB"/>
              </w:rPr>
              <w:t>MoI</w:t>
            </w:r>
            <w:proofErr w:type="spellEnd"/>
            <w:r w:rsidRPr="00A94F93">
              <w:rPr>
                <w:rFonts w:cstheme="minorHAnsi"/>
                <w:sz w:val="20"/>
                <w:szCs w:val="20"/>
                <w:lang w:val="en-GB"/>
              </w:rPr>
              <w:t>, State Penitentiary Service</w:t>
            </w:r>
            <w:r w:rsidR="004A210F">
              <w:rPr>
                <w:rFonts w:cstheme="minorHAnsi"/>
                <w:sz w:val="20"/>
                <w:szCs w:val="20"/>
                <w:lang w:val="en-GB"/>
              </w:rPr>
              <w:t xml:space="preserve"> </w:t>
            </w:r>
            <w:r w:rsidRPr="00A94F93">
              <w:rPr>
                <w:rFonts w:cstheme="minorHAnsi"/>
                <w:sz w:val="20"/>
                <w:szCs w:val="20"/>
                <w:lang w:val="en-GB"/>
              </w:rPr>
              <w:t>to CCPH, Parliament.</w:t>
            </w:r>
          </w:p>
          <w:p w14:paraId="33776216" w14:textId="77777777" w:rsidR="00C7748C" w:rsidRPr="00A94F93" w:rsidRDefault="00C7748C" w:rsidP="0038000C">
            <w:pPr>
              <w:numPr>
                <w:ilvl w:val="0"/>
                <w:numId w:val="30"/>
              </w:numPr>
              <w:spacing w:after="0" w:line="240" w:lineRule="auto"/>
              <w:ind w:left="317" w:hanging="317"/>
              <w:contextualSpacing/>
              <w:jc w:val="both"/>
              <w:rPr>
                <w:rFonts w:cstheme="minorHAnsi"/>
                <w:sz w:val="20"/>
                <w:szCs w:val="20"/>
                <w:lang w:val="en-GB"/>
              </w:rPr>
            </w:pPr>
            <w:r w:rsidRPr="00A94F93">
              <w:rPr>
                <w:rFonts w:cstheme="minorHAnsi"/>
                <w:sz w:val="20"/>
                <w:szCs w:val="20"/>
                <w:lang w:val="en-GB"/>
              </w:rPr>
              <w:t xml:space="preserve">To conduct the stigma index among PLHIV, TB patients and key populations. </w:t>
            </w:r>
          </w:p>
          <w:p w14:paraId="05FABBCA" w14:textId="4E808F15" w:rsidR="00C7748C" w:rsidRPr="00A94F93" w:rsidRDefault="00C7748C" w:rsidP="0038000C">
            <w:pPr>
              <w:numPr>
                <w:ilvl w:val="0"/>
                <w:numId w:val="30"/>
              </w:numPr>
              <w:spacing w:after="0" w:line="240" w:lineRule="auto"/>
              <w:ind w:left="317" w:hanging="317"/>
              <w:contextualSpacing/>
              <w:jc w:val="both"/>
              <w:rPr>
                <w:rFonts w:cstheme="minorHAnsi"/>
                <w:sz w:val="20"/>
                <w:szCs w:val="20"/>
                <w:lang w:val="en-GB"/>
              </w:rPr>
            </w:pPr>
            <w:r w:rsidRPr="00A94F93">
              <w:rPr>
                <w:rFonts w:cstheme="minorHAnsi"/>
                <w:sz w:val="20"/>
                <w:szCs w:val="20"/>
                <w:lang w:val="en-GB"/>
              </w:rPr>
              <w:t xml:space="preserve">To expand advocacy for increased government funding of HIV and TB programmes, implementation of social support guarantees for TB patients and PLHIV. </w:t>
            </w:r>
          </w:p>
          <w:p w14:paraId="7F02E708" w14:textId="77777777" w:rsidR="00C7748C" w:rsidRPr="00A94F93" w:rsidRDefault="00C7748C" w:rsidP="0038000C">
            <w:pPr>
              <w:numPr>
                <w:ilvl w:val="0"/>
                <w:numId w:val="30"/>
              </w:numPr>
              <w:spacing w:after="0" w:line="240" w:lineRule="auto"/>
              <w:ind w:left="317" w:hanging="317"/>
              <w:contextualSpacing/>
              <w:jc w:val="both"/>
              <w:rPr>
                <w:rFonts w:cstheme="minorHAnsi"/>
                <w:sz w:val="20"/>
                <w:szCs w:val="20"/>
                <w:lang w:val="en-GB"/>
              </w:rPr>
            </w:pPr>
            <w:r w:rsidRPr="00A94F93">
              <w:rPr>
                <w:rFonts w:cstheme="minorHAnsi"/>
                <w:sz w:val="20"/>
                <w:szCs w:val="20"/>
                <w:lang w:val="en-GB"/>
              </w:rPr>
              <w:t xml:space="preserve">Documenting the barriers to access TB services through </w:t>
            </w:r>
            <w:proofErr w:type="spellStart"/>
            <w:r w:rsidRPr="00A94F93">
              <w:rPr>
                <w:rFonts w:cstheme="minorHAnsi"/>
                <w:sz w:val="20"/>
                <w:szCs w:val="20"/>
                <w:lang w:val="en-GB"/>
              </w:rPr>
              <w:t>OneImpact</w:t>
            </w:r>
            <w:proofErr w:type="spellEnd"/>
            <w:r w:rsidRPr="00A94F93">
              <w:rPr>
                <w:rFonts w:cstheme="minorHAnsi"/>
                <w:sz w:val="20"/>
                <w:szCs w:val="20"/>
                <w:lang w:val="en-GB"/>
              </w:rPr>
              <w:t xml:space="preserve"> and facilitate an increased use of the «pereboi.kg» platform to enable all PLHIV and TB patients to report cases of denials in diagnosis and treatment.</w:t>
            </w:r>
          </w:p>
          <w:p w14:paraId="2D661605" w14:textId="77777777" w:rsidR="00C7748C" w:rsidRPr="00A94F93" w:rsidRDefault="00C7748C" w:rsidP="0038000C">
            <w:pPr>
              <w:numPr>
                <w:ilvl w:val="0"/>
                <w:numId w:val="30"/>
              </w:numPr>
              <w:spacing w:after="0" w:line="240" w:lineRule="auto"/>
              <w:ind w:left="317" w:hanging="317"/>
              <w:contextualSpacing/>
              <w:jc w:val="both"/>
              <w:rPr>
                <w:rFonts w:cstheme="minorHAnsi"/>
                <w:sz w:val="20"/>
                <w:szCs w:val="20"/>
                <w:lang w:val="en-GB"/>
              </w:rPr>
            </w:pPr>
            <w:r w:rsidRPr="00A94F93">
              <w:rPr>
                <w:rFonts w:cstheme="minorHAnsi"/>
                <w:sz w:val="20"/>
                <w:szCs w:val="20"/>
                <w:lang w:val="en-GB"/>
              </w:rPr>
              <w:t xml:space="preserve">To improve access to legal aid through legal clinics as well as through the Bar Association. </w:t>
            </w:r>
          </w:p>
          <w:p w14:paraId="406777E3" w14:textId="77777777" w:rsidR="00C7748C" w:rsidRPr="00A94F93" w:rsidRDefault="00C7748C" w:rsidP="0038000C">
            <w:pPr>
              <w:numPr>
                <w:ilvl w:val="0"/>
                <w:numId w:val="30"/>
              </w:numPr>
              <w:spacing w:after="0" w:line="240" w:lineRule="auto"/>
              <w:ind w:left="317" w:hanging="317"/>
              <w:contextualSpacing/>
              <w:jc w:val="both"/>
              <w:rPr>
                <w:rFonts w:cstheme="minorHAnsi"/>
                <w:sz w:val="20"/>
                <w:szCs w:val="20"/>
                <w:lang w:val="en-GB"/>
              </w:rPr>
            </w:pPr>
            <w:r w:rsidRPr="00A94F93">
              <w:rPr>
                <w:rFonts w:cstheme="minorHAnsi"/>
                <w:sz w:val="20"/>
                <w:szCs w:val="20"/>
                <w:lang w:val="en-GB"/>
              </w:rPr>
              <w:t>To increase the number of paralegals by seven people and the number of lawyers by four people to improve access to professional services of attorneys.</w:t>
            </w:r>
          </w:p>
          <w:p w14:paraId="5C6F1089" w14:textId="77777777" w:rsidR="00C7748C" w:rsidRPr="00A94F93" w:rsidRDefault="00C7748C" w:rsidP="0038000C">
            <w:pPr>
              <w:numPr>
                <w:ilvl w:val="0"/>
                <w:numId w:val="30"/>
              </w:numPr>
              <w:spacing w:after="0" w:line="240" w:lineRule="auto"/>
              <w:ind w:left="317" w:hanging="317"/>
              <w:contextualSpacing/>
              <w:jc w:val="both"/>
              <w:rPr>
                <w:rFonts w:cstheme="minorHAnsi"/>
                <w:sz w:val="20"/>
                <w:szCs w:val="20"/>
                <w:lang w:val="en-GB"/>
              </w:rPr>
            </w:pPr>
            <w:r w:rsidRPr="00A94F93">
              <w:rPr>
                <w:rFonts w:cstheme="minorHAnsi"/>
                <w:sz w:val="20"/>
                <w:szCs w:val="20"/>
                <w:lang w:val="en-GB"/>
              </w:rPr>
              <w:t>To develop capacities of community leaders and its representatives. To continue supporting the networks. Hosting NGO fora.</w:t>
            </w:r>
          </w:p>
          <w:p w14:paraId="2BDA4624" w14:textId="1CC255C0" w:rsidR="00C7748C" w:rsidRPr="00A94F93" w:rsidRDefault="00C7748C" w:rsidP="0038000C">
            <w:pPr>
              <w:numPr>
                <w:ilvl w:val="0"/>
                <w:numId w:val="30"/>
              </w:numPr>
              <w:spacing w:after="0" w:line="240" w:lineRule="auto"/>
              <w:ind w:left="317" w:hanging="317"/>
              <w:contextualSpacing/>
              <w:jc w:val="both"/>
              <w:rPr>
                <w:rFonts w:cstheme="minorHAnsi"/>
                <w:sz w:val="20"/>
                <w:szCs w:val="20"/>
                <w:lang w:val="en-GB"/>
              </w:rPr>
            </w:pPr>
            <w:r w:rsidRPr="00A94F93">
              <w:rPr>
                <w:rFonts w:cstheme="minorHAnsi"/>
                <w:sz w:val="20"/>
                <w:szCs w:val="20"/>
                <w:lang w:val="en-GB"/>
              </w:rPr>
              <w:t xml:space="preserve">To support two </w:t>
            </w:r>
            <w:r w:rsidR="004A210F" w:rsidRPr="00A94F93">
              <w:rPr>
                <w:rFonts w:cstheme="minorHAnsi"/>
                <w:sz w:val="20"/>
                <w:szCs w:val="20"/>
                <w:lang w:val="en-GB"/>
              </w:rPr>
              <w:t>centres</w:t>
            </w:r>
            <w:r w:rsidRPr="00A94F93">
              <w:rPr>
                <w:rFonts w:cstheme="minorHAnsi"/>
                <w:sz w:val="20"/>
                <w:szCs w:val="20"/>
                <w:lang w:val="en-GB"/>
              </w:rPr>
              <w:t xml:space="preserve"> for women representing key populations affected by violence.</w:t>
            </w:r>
          </w:p>
          <w:p w14:paraId="6FC19BE8" w14:textId="7BCD3AC5" w:rsidR="00C7748C" w:rsidRDefault="00C7748C" w:rsidP="0038000C">
            <w:pPr>
              <w:numPr>
                <w:ilvl w:val="0"/>
                <w:numId w:val="30"/>
              </w:numPr>
              <w:spacing w:after="0" w:line="240" w:lineRule="auto"/>
              <w:ind w:left="317" w:hanging="317"/>
              <w:contextualSpacing/>
              <w:jc w:val="both"/>
              <w:rPr>
                <w:rFonts w:cstheme="minorHAnsi"/>
                <w:sz w:val="20"/>
                <w:szCs w:val="20"/>
                <w:lang w:val="en-GB"/>
              </w:rPr>
            </w:pPr>
            <w:r w:rsidRPr="00A94F93">
              <w:rPr>
                <w:rFonts w:cstheme="minorHAnsi"/>
                <w:sz w:val="20"/>
                <w:szCs w:val="20"/>
                <w:lang w:val="en-GB"/>
              </w:rPr>
              <w:t>To follow up on educational programmes and training of health professionals on legal issues, stigma and discrimination, gender equality.</w:t>
            </w:r>
          </w:p>
          <w:p w14:paraId="2A58F743" w14:textId="6E3412D2" w:rsidR="00C7748C" w:rsidRPr="00A94F93" w:rsidRDefault="0038000C" w:rsidP="0038000C">
            <w:pPr>
              <w:numPr>
                <w:ilvl w:val="0"/>
                <w:numId w:val="30"/>
              </w:numPr>
              <w:spacing w:after="0" w:line="240" w:lineRule="auto"/>
              <w:ind w:left="317" w:hanging="317"/>
              <w:contextualSpacing/>
              <w:jc w:val="both"/>
              <w:rPr>
                <w:rFonts w:cstheme="minorHAnsi"/>
                <w:sz w:val="20"/>
                <w:szCs w:val="20"/>
              </w:rPr>
            </w:pPr>
            <w:r w:rsidRPr="00A94F93">
              <w:rPr>
                <w:rFonts w:cstheme="minorHAnsi"/>
                <w:sz w:val="20"/>
                <w:szCs w:val="20"/>
                <w:lang w:val="en-GB"/>
              </w:rPr>
              <w:t xml:space="preserve">To facilitate an increased representation of communities and NGOs in HIV and TB related public councils under </w:t>
            </w:r>
            <w:proofErr w:type="spellStart"/>
            <w:r w:rsidRPr="00A94F93">
              <w:rPr>
                <w:rFonts w:cstheme="minorHAnsi"/>
                <w:sz w:val="20"/>
                <w:szCs w:val="20"/>
                <w:lang w:val="en-GB"/>
              </w:rPr>
              <w:t>MoH</w:t>
            </w:r>
            <w:proofErr w:type="spellEnd"/>
            <w:r w:rsidRPr="00A94F93">
              <w:rPr>
                <w:rFonts w:cstheme="minorHAnsi"/>
                <w:sz w:val="20"/>
                <w:szCs w:val="20"/>
                <w:lang w:val="en-GB"/>
              </w:rPr>
              <w:t>, MHIF and boards of trustees under the health facilities in terms of monitoring legal barriers and access to adequate services for key populations, people living with HIV and TB.</w:t>
            </w:r>
          </w:p>
        </w:tc>
      </w:tr>
      <w:tr w:rsidR="00C7748C" w:rsidRPr="00A94F93" w14:paraId="5EAFE62B" w14:textId="77777777" w:rsidTr="00204941">
        <w:trPr>
          <w:trHeight w:val="431"/>
        </w:trPr>
        <w:tc>
          <w:tcPr>
            <w:tcW w:w="2263" w:type="dxa"/>
            <w:shd w:val="clear" w:color="auto" w:fill="F2F2F2"/>
            <w:vAlign w:val="center"/>
          </w:tcPr>
          <w:p w14:paraId="0BCB436B" w14:textId="77777777" w:rsidR="00C7748C" w:rsidRPr="00A94F93" w:rsidRDefault="00C7748C" w:rsidP="00C7748C">
            <w:pPr>
              <w:spacing w:after="0"/>
              <w:rPr>
                <w:rFonts w:cstheme="minorHAnsi"/>
              </w:rPr>
            </w:pPr>
            <w:r w:rsidRPr="00A94F93">
              <w:rPr>
                <w:rFonts w:cstheme="minorHAnsi"/>
              </w:rPr>
              <w:lastRenderedPageBreak/>
              <w:t>Expected Outcome</w:t>
            </w:r>
          </w:p>
        </w:tc>
        <w:tc>
          <w:tcPr>
            <w:tcW w:w="8087" w:type="dxa"/>
          </w:tcPr>
          <w:p w14:paraId="5C2D7BF2" w14:textId="77777777" w:rsidR="00C7748C" w:rsidRPr="00A94F93" w:rsidRDefault="00C7748C" w:rsidP="004A210F">
            <w:pPr>
              <w:pStyle w:val="affff3"/>
              <w:numPr>
                <w:ilvl w:val="0"/>
                <w:numId w:val="31"/>
              </w:numPr>
              <w:spacing w:after="0" w:line="240" w:lineRule="auto"/>
              <w:ind w:left="315"/>
              <w:jc w:val="both"/>
              <w:rPr>
                <w:rFonts w:cstheme="minorHAnsi"/>
                <w:sz w:val="20"/>
                <w:szCs w:val="20"/>
                <w:lang w:val="en-GB"/>
              </w:rPr>
            </w:pPr>
            <w:r w:rsidRPr="00A94F93">
              <w:rPr>
                <w:rFonts w:cstheme="minorHAnsi"/>
                <w:sz w:val="20"/>
                <w:szCs w:val="20"/>
                <w:lang w:val="en-GB"/>
              </w:rPr>
              <w:t>The reduction of legal barriers will increase the coverage of HIV and TB prevention, treatment and care programmes services with the aim of achieving the 90-90-90 and UN targets by the end of 2023.</w:t>
            </w:r>
          </w:p>
          <w:p w14:paraId="57F8DBBD" w14:textId="77777777" w:rsidR="00C7748C" w:rsidRPr="00A94F93" w:rsidRDefault="00C7748C" w:rsidP="004A210F">
            <w:pPr>
              <w:pStyle w:val="affff3"/>
              <w:numPr>
                <w:ilvl w:val="0"/>
                <w:numId w:val="31"/>
              </w:numPr>
              <w:spacing w:after="0" w:line="240" w:lineRule="auto"/>
              <w:ind w:left="315"/>
              <w:jc w:val="both"/>
              <w:rPr>
                <w:rFonts w:cstheme="minorHAnsi"/>
                <w:sz w:val="20"/>
                <w:szCs w:val="20"/>
                <w:lang w:val="en-GB"/>
              </w:rPr>
            </w:pPr>
            <w:r w:rsidRPr="00A94F93">
              <w:rPr>
                <w:rFonts w:cstheme="minorHAnsi"/>
                <w:sz w:val="20"/>
                <w:szCs w:val="20"/>
                <w:lang w:val="en-GB"/>
              </w:rPr>
              <w:t xml:space="preserve">TB mortality rate will be reduced from 4.6 per 100,000 in 2019 to 3.8 per 100,000 population in 2023 </w:t>
            </w:r>
            <w:proofErr w:type="gramStart"/>
            <w:r w:rsidRPr="00A94F93">
              <w:rPr>
                <w:rFonts w:cstheme="minorHAnsi"/>
                <w:sz w:val="20"/>
                <w:szCs w:val="20"/>
                <w:lang w:val="en-GB"/>
              </w:rPr>
              <w:t>as a result of</w:t>
            </w:r>
            <w:proofErr w:type="gramEnd"/>
            <w:r w:rsidRPr="00A94F93">
              <w:rPr>
                <w:rFonts w:cstheme="minorHAnsi"/>
                <w:sz w:val="20"/>
                <w:szCs w:val="20"/>
                <w:lang w:val="en-GB"/>
              </w:rPr>
              <w:t xml:space="preserve"> an improved access to treatment and enabling legal environment. </w:t>
            </w:r>
          </w:p>
          <w:p w14:paraId="0112BFED" w14:textId="77777777" w:rsidR="00C7748C" w:rsidRPr="00A94F93" w:rsidRDefault="00C7748C" w:rsidP="004A210F">
            <w:pPr>
              <w:pStyle w:val="affff3"/>
              <w:numPr>
                <w:ilvl w:val="0"/>
                <w:numId w:val="31"/>
              </w:numPr>
              <w:spacing w:after="0" w:line="240" w:lineRule="auto"/>
              <w:ind w:left="315"/>
              <w:jc w:val="both"/>
              <w:rPr>
                <w:rFonts w:cstheme="minorHAnsi"/>
                <w:sz w:val="20"/>
                <w:szCs w:val="20"/>
                <w:lang w:val="en-GB"/>
              </w:rPr>
            </w:pPr>
            <w:r w:rsidRPr="00A94F93">
              <w:rPr>
                <w:rFonts w:cstheme="minorHAnsi"/>
                <w:sz w:val="20"/>
                <w:szCs w:val="20"/>
                <w:lang w:val="en-GB"/>
              </w:rPr>
              <w:t xml:space="preserve">Stigma on the part of health care providers towards PLHIV and TB patients will decrease from 27% to 10% as measured by the Stigma Index conducted in 2022-2023. </w:t>
            </w:r>
          </w:p>
          <w:p w14:paraId="4759878B" w14:textId="77777777" w:rsidR="00C7748C" w:rsidRPr="00A94F93" w:rsidRDefault="00C7748C" w:rsidP="004A210F">
            <w:pPr>
              <w:pStyle w:val="affff3"/>
              <w:numPr>
                <w:ilvl w:val="0"/>
                <w:numId w:val="31"/>
              </w:numPr>
              <w:spacing w:after="0" w:line="240" w:lineRule="auto"/>
              <w:ind w:left="315"/>
              <w:jc w:val="both"/>
              <w:rPr>
                <w:rFonts w:cstheme="minorHAnsi"/>
                <w:sz w:val="20"/>
                <w:szCs w:val="20"/>
                <w:lang w:val="en-GB"/>
              </w:rPr>
            </w:pPr>
            <w:r w:rsidRPr="00A94F93">
              <w:rPr>
                <w:rFonts w:cstheme="minorHAnsi"/>
                <w:sz w:val="20"/>
                <w:szCs w:val="20"/>
                <w:lang w:val="en-GB"/>
              </w:rPr>
              <w:t xml:space="preserve">The first three strategic legal proceedings will </w:t>
            </w:r>
            <w:proofErr w:type="gramStart"/>
            <w:r w:rsidRPr="00A94F93">
              <w:rPr>
                <w:rFonts w:cstheme="minorHAnsi"/>
                <w:sz w:val="20"/>
                <w:szCs w:val="20"/>
                <w:lang w:val="en-GB"/>
              </w:rPr>
              <w:t>be filed</w:t>
            </w:r>
            <w:proofErr w:type="gramEnd"/>
            <w:r w:rsidRPr="00A94F93">
              <w:rPr>
                <w:rFonts w:cstheme="minorHAnsi"/>
                <w:sz w:val="20"/>
                <w:szCs w:val="20"/>
                <w:lang w:val="en-GB"/>
              </w:rPr>
              <w:t xml:space="preserve"> for key populations with high media coverage and high policy level consideration.</w:t>
            </w:r>
          </w:p>
          <w:p w14:paraId="4A88018A" w14:textId="0ACAD8CB" w:rsidR="00C7748C" w:rsidRPr="004A210F" w:rsidRDefault="00C7748C" w:rsidP="004A210F">
            <w:pPr>
              <w:spacing w:after="0"/>
              <w:jc w:val="both"/>
              <w:rPr>
                <w:rFonts w:cstheme="minorHAnsi"/>
                <w:sz w:val="20"/>
                <w:szCs w:val="20"/>
              </w:rPr>
            </w:pPr>
            <w:r w:rsidRPr="004A210F">
              <w:rPr>
                <w:rFonts w:cstheme="minorHAnsi"/>
                <w:sz w:val="20"/>
                <w:szCs w:val="20"/>
                <w:lang w:val="en-GB"/>
              </w:rPr>
              <w:t xml:space="preserve">The indicators may vary based on the assessment outcomes of the Stigma Index for PLHIV and TB patients in 2022-2023 as well as following the findings of the mid-term review on the implementation of the ongoing catalytic funding grant in 2020. </w:t>
            </w:r>
          </w:p>
        </w:tc>
      </w:tr>
    </w:tbl>
    <w:p w14:paraId="4F258E98" w14:textId="77777777" w:rsidR="00575754" w:rsidRDefault="00575754" w:rsidP="00BE0F0C">
      <w:pPr>
        <w:spacing w:after="0"/>
        <w:rPr>
          <w:i/>
          <w:sz w:val="16"/>
          <w:szCs w:val="16"/>
        </w:rPr>
      </w:pPr>
    </w:p>
    <w:p w14:paraId="14AE644B" w14:textId="77777777" w:rsidR="00575754" w:rsidRDefault="00575754" w:rsidP="00BE0F0C">
      <w:pPr>
        <w:spacing w:after="0"/>
        <w:rPr>
          <w:i/>
          <w:sz w:val="16"/>
          <w:szCs w:val="16"/>
        </w:rPr>
      </w:pPr>
    </w:p>
    <w:p w14:paraId="18B14517" w14:textId="77777777" w:rsidR="00575754" w:rsidRDefault="00575754" w:rsidP="00BE0F0C">
      <w:pPr>
        <w:spacing w:after="0"/>
        <w:rPr>
          <w:i/>
          <w:sz w:val="16"/>
          <w:szCs w:val="16"/>
        </w:rPr>
      </w:pPr>
    </w:p>
    <w:p w14:paraId="280069EA" w14:textId="014A4121" w:rsidR="00485066" w:rsidRPr="008C21CF" w:rsidRDefault="00485066" w:rsidP="00BE0F0C">
      <w:pPr>
        <w:spacing w:after="0"/>
        <w:rPr>
          <w:i/>
          <w:sz w:val="16"/>
          <w:szCs w:val="16"/>
        </w:rPr>
      </w:pPr>
      <w:r w:rsidRPr="008C21CF">
        <w:rPr>
          <w:i/>
          <w:sz w:val="16"/>
          <w:szCs w:val="16"/>
        </w:rPr>
        <w:t>(Add additional tables as relevant)</w:t>
      </w:r>
    </w:p>
    <w:p w14:paraId="13AEEC76" w14:textId="2B7B2822" w:rsidR="001F7F10" w:rsidRDefault="001F7F10">
      <w:pPr>
        <w:spacing w:after="160" w:line="0" w:lineRule="auto"/>
        <w:rPr>
          <w:rFonts w:asciiTheme="majorHAnsi" w:hAnsiTheme="majorHAnsi" w:cstheme="majorHAnsi"/>
        </w:rPr>
      </w:pPr>
    </w:p>
    <w:p w14:paraId="2EBF73D3" w14:textId="01CB2678" w:rsidR="001F7F10" w:rsidRDefault="001F7F10">
      <w:pPr>
        <w:spacing w:after="160" w:line="0" w:lineRule="auto"/>
        <w:rPr>
          <w:rFonts w:asciiTheme="majorHAnsi" w:hAnsiTheme="majorHAnsi" w:cstheme="majorHAnsi"/>
        </w:rPr>
      </w:pPr>
    </w:p>
    <w:p w14:paraId="698F81A3" w14:textId="1B299D1C" w:rsidR="001F7F10" w:rsidRDefault="001F7F10">
      <w:pPr>
        <w:spacing w:after="160" w:line="0" w:lineRule="auto"/>
        <w:rPr>
          <w:rFonts w:asciiTheme="majorHAnsi" w:hAnsiTheme="majorHAnsi" w:cstheme="majorHAnsi"/>
        </w:rPr>
      </w:pPr>
    </w:p>
    <w:p w14:paraId="267D013B" w14:textId="77777777" w:rsidR="00216E9D" w:rsidRDefault="00216E9D">
      <w:pPr>
        <w:spacing w:after="160" w:line="0" w:lineRule="auto"/>
        <w:rPr>
          <w:rFonts w:asciiTheme="majorHAnsi" w:hAnsiTheme="majorHAnsi" w:cstheme="majorHAnsi"/>
        </w:rPr>
      </w:pPr>
    </w:p>
    <w:p w14:paraId="18095C58" w14:textId="77777777" w:rsidR="001F7F10" w:rsidRPr="00BD7400" w:rsidRDefault="001F7F10">
      <w:pPr>
        <w:spacing w:after="160" w:line="0" w:lineRule="auto"/>
        <w:rPr>
          <w:rFonts w:asciiTheme="minorHAnsi" w:hAnsiTheme="minorHAnsi" w:cstheme="minorHAnsi"/>
          <w:sz w:val="16"/>
          <w:szCs w:val="16"/>
        </w:rPr>
      </w:pPr>
    </w:p>
    <w:p w14:paraId="2842399A" w14:textId="77777777" w:rsidR="001F7F10" w:rsidRDefault="001F7F10">
      <w:pPr>
        <w:spacing w:after="160" w:line="0" w:lineRule="auto"/>
        <w:rPr>
          <w:rFonts w:asciiTheme="majorHAnsi" w:hAnsiTheme="majorHAnsi" w:cstheme="majorHAnsi"/>
        </w:rPr>
      </w:pPr>
    </w:p>
    <w:p w14:paraId="19D9996B" w14:textId="77777777" w:rsidR="008C36D5" w:rsidRDefault="008C36D5">
      <w:pPr>
        <w:spacing w:after="160" w:line="0" w:lineRule="auto"/>
        <w:rPr>
          <w:rFonts w:asciiTheme="majorHAnsi" w:hAnsiTheme="majorHAnsi" w:cstheme="majorHAnsi"/>
        </w:rPr>
      </w:pPr>
      <w:r>
        <w:rPr>
          <w:rFonts w:asciiTheme="majorHAnsi" w:hAnsiTheme="majorHAnsi" w:cstheme="majorHAnsi"/>
        </w:rPr>
        <w:br w:type="page"/>
      </w:r>
    </w:p>
    <w:p w14:paraId="6B219CAE" w14:textId="44E689D0" w:rsidR="005A1EDA" w:rsidRPr="00112420" w:rsidRDefault="005A1EDA" w:rsidP="008B5FE3">
      <w:pPr>
        <w:pStyle w:val="affff3"/>
        <w:numPr>
          <w:ilvl w:val="0"/>
          <w:numId w:val="23"/>
        </w:numPr>
        <w:spacing w:after="0" w:line="240" w:lineRule="auto"/>
        <w:ind w:left="270" w:hanging="270"/>
        <w:jc w:val="both"/>
        <w:rPr>
          <w:rFonts w:asciiTheme="majorHAnsi" w:hAnsiTheme="majorHAnsi" w:cstheme="majorHAnsi"/>
          <w:bCs/>
          <w:iCs/>
        </w:rPr>
      </w:pPr>
      <w:r w:rsidRPr="008C21CF">
        <w:rPr>
          <w:rFonts w:asciiTheme="majorHAnsi" w:hAnsiTheme="majorHAnsi" w:cstheme="majorHAnsi"/>
        </w:rPr>
        <w:lastRenderedPageBreak/>
        <w:t xml:space="preserve">Does any aspect of this funding request </w:t>
      </w:r>
      <w:r w:rsidR="00561767">
        <w:rPr>
          <w:rFonts w:asciiTheme="majorHAnsi" w:hAnsiTheme="majorHAnsi" w:cstheme="majorHAnsi"/>
        </w:rPr>
        <w:t>use</w:t>
      </w:r>
      <w:r w:rsidR="00561767" w:rsidRPr="008C21CF">
        <w:rPr>
          <w:rFonts w:asciiTheme="majorHAnsi" w:hAnsiTheme="majorHAnsi" w:cstheme="majorHAnsi"/>
        </w:rPr>
        <w:t xml:space="preserve"> </w:t>
      </w:r>
      <w:r w:rsidRPr="008C21CF">
        <w:rPr>
          <w:rFonts w:asciiTheme="majorHAnsi" w:hAnsiTheme="majorHAnsi" w:cstheme="majorHAnsi"/>
        </w:rPr>
        <w:t xml:space="preserve">a </w:t>
      </w:r>
      <w:r w:rsidR="00F112AD" w:rsidRPr="0096146C">
        <w:rPr>
          <w:rFonts w:asciiTheme="majorHAnsi" w:hAnsiTheme="majorHAnsi" w:cstheme="majorHAnsi"/>
          <w:b/>
        </w:rPr>
        <w:t>P</w:t>
      </w:r>
      <w:r w:rsidRPr="0096146C">
        <w:rPr>
          <w:rFonts w:asciiTheme="majorHAnsi" w:hAnsiTheme="majorHAnsi" w:cstheme="majorHAnsi"/>
          <w:b/>
        </w:rPr>
        <w:t>ayment</w:t>
      </w:r>
      <w:r w:rsidR="00F112AD" w:rsidRPr="0096146C">
        <w:rPr>
          <w:rFonts w:asciiTheme="majorHAnsi" w:hAnsiTheme="majorHAnsi" w:cstheme="majorHAnsi"/>
          <w:b/>
        </w:rPr>
        <w:t xml:space="preserve"> </w:t>
      </w:r>
      <w:r w:rsidRPr="0096146C">
        <w:rPr>
          <w:rFonts w:asciiTheme="majorHAnsi" w:hAnsiTheme="majorHAnsi" w:cstheme="majorHAnsi"/>
          <w:b/>
        </w:rPr>
        <w:t>for</w:t>
      </w:r>
      <w:r w:rsidR="00F112AD" w:rsidRPr="0096146C">
        <w:rPr>
          <w:rFonts w:asciiTheme="majorHAnsi" w:hAnsiTheme="majorHAnsi" w:cstheme="majorHAnsi"/>
          <w:b/>
        </w:rPr>
        <w:t xml:space="preserve"> R</w:t>
      </w:r>
      <w:r w:rsidRPr="0096146C">
        <w:rPr>
          <w:rFonts w:asciiTheme="majorHAnsi" w:hAnsiTheme="majorHAnsi" w:cstheme="majorHAnsi"/>
          <w:b/>
        </w:rPr>
        <w:t>esults</w:t>
      </w:r>
      <w:r w:rsidRPr="008C21CF">
        <w:rPr>
          <w:rFonts w:asciiTheme="majorHAnsi" w:hAnsiTheme="majorHAnsi" w:cstheme="majorHAnsi"/>
        </w:rPr>
        <w:t xml:space="preserve"> </w:t>
      </w:r>
      <w:r w:rsidR="00F401B6">
        <w:rPr>
          <w:rFonts w:asciiTheme="majorHAnsi" w:hAnsiTheme="majorHAnsi" w:cstheme="majorHAnsi"/>
        </w:rPr>
        <w:t>modality</w:t>
      </w:r>
      <w:r w:rsidRPr="008C21CF">
        <w:rPr>
          <w:rFonts w:asciiTheme="majorHAnsi" w:hAnsiTheme="majorHAnsi" w:cstheme="majorHAnsi"/>
        </w:rPr>
        <w:t xml:space="preserve">? </w:t>
      </w:r>
    </w:p>
    <w:p w14:paraId="5B41D531" w14:textId="77777777" w:rsidR="00112420" w:rsidRPr="0098143C" w:rsidRDefault="00112420" w:rsidP="00112420">
      <w:pPr>
        <w:pStyle w:val="affff3"/>
        <w:spacing w:after="0" w:line="240" w:lineRule="auto"/>
        <w:ind w:left="270"/>
        <w:jc w:val="both"/>
        <w:rPr>
          <w:rFonts w:asciiTheme="majorHAnsi" w:hAnsiTheme="majorHAnsi" w:cstheme="majorHAnsi"/>
          <w:bCs/>
          <w:iCs/>
        </w:rPr>
      </w:pPr>
    </w:p>
    <w:p w14:paraId="0384A4D1" w14:textId="796EB716" w:rsidR="005A1EDA" w:rsidRPr="008C21CF" w:rsidRDefault="007161FD" w:rsidP="0098143C">
      <w:pPr>
        <w:pStyle w:val="affff3"/>
        <w:spacing w:after="0" w:line="240" w:lineRule="auto"/>
        <w:ind w:left="90" w:firstLine="540"/>
        <w:jc w:val="both"/>
        <w:rPr>
          <w:rFonts w:asciiTheme="majorHAnsi" w:hAnsiTheme="majorHAnsi" w:cstheme="majorHAnsi"/>
          <w:bCs/>
          <w:iCs/>
        </w:rPr>
      </w:pPr>
      <w:sdt>
        <w:sdtPr>
          <w:rPr>
            <w:rFonts w:asciiTheme="majorHAnsi" w:eastAsia="MS Gothic" w:hAnsiTheme="majorHAnsi" w:cstheme="majorHAnsi"/>
            <w:bCs/>
            <w:iCs/>
          </w:rPr>
          <w:id w:val="1477947221"/>
          <w14:checkbox>
            <w14:checked w14:val="0"/>
            <w14:checkedState w14:val="2612" w14:font="MS Gothic"/>
            <w14:uncheckedState w14:val="2610" w14:font="MS Gothic"/>
          </w14:checkbox>
        </w:sdtPr>
        <w:sdtEndPr/>
        <w:sdtContent>
          <w:r w:rsidR="0098143C">
            <w:rPr>
              <w:rFonts w:ascii="MS Gothic" w:eastAsia="MS Gothic" w:hAnsi="MS Gothic" w:cstheme="majorHAnsi" w:hint="eastAsia"/>
              <w:bCs/>
              <w:iCs/>
            </w:rPr>
            <w:t>☐</w:t>
          </w:r>
        </w:sdtContent>
      </w:sdt>
      <w:r w:rsidR="005A1EDA" w:rsidRPr="008C21CF">
        <w:rPr>
          <w:rFonts w:asciiTheme="majorHAnsi" w:hAnsiTheme="majorHAnsi" w:cstheme="majorHAnsi"/>
          <w:bCs/>
          <w:iCs/>
        </w:rPr>
        <w:t xml:space="preserve"> Yes         </w:t>
      </w:r>
      <w:sdt>
        <w:sdtPr>
          <w:rPr>
            <w:rFonts w:asciiTheme="majorHAnsi" w:hAnsiTheme="majorHAnsi" w:cstheme="majorHAnsi"/>
            <w:bCs/>
            <w:iCs/>
          </w:rPr>
          <w:id w:val="-1054162004"/>
          <w14:checkbox>
            <w14:checked w14:val="1"/>
            <w14:checkedState w14:val="2612" w14:font="MS Gothic"/>
            <w14:uncheckedState w14:val="2610" w14:font="MS Gothic"/>
          </w14:checkbox>
        </w:sdtPr>
        <w:sdtEndPr/>
        <w:sdtContent>
          <w:r w:rsidR="0038000C">
            <w:rPr>
              <w:rFonts w:ascii="MS Gothic" w:eastAsia="MS Gothic" w:hAnsi="MS Gothic" w:cstheme="majorHAnsi" w:hint="eastAsia"/>
              <w:bCs/>
              <w:iCs/>
            </w:rPr>
            <w:t>☒</w:t>
          </w:r>
        </w:sdtContent>
      </w:sdt>
      <w:r w:rsidR="005A1EDA" w:rsidRPr="008C21CF">
        <w:rPr>
          <w:rFonts w:asciiTheme="majorHAnsi" w:hAnsiTheme="majorHAnsi" w:cstheme="majorHAnsi"/>
          <w:bCs/>
          <w:iCs/>
        </w:rPr>
        <w:t xml:space="preserve"> No</w:t>
      </w:r>
    </w:p>
    <w:p w14:paraId="2D7E53B2" w14:textId="77777777" w:rsidR="001D57CE" w:rsidRDefault="001D57CE" w:rsidP="008C21CF">
      <w:pPr>
        <w:spacing w:after="0" w:line="240" w:lineRule="auto"/>
        <w:jc w:val="both"/>
        <w:rPr>
          <w:rFonts w:asciiTheme="majorHAnsi" w:hAnsiTheme="majorHAnsi" w:cstheme="majorHAnsi"/>
          <w:b/>
        </w:rPr>
      </w:pPr>
    </w:p>
    <w:p w14:paraId="12B3A518" w14:textId="5BD1D3F0" w:rsidR="005A1EDA" w:rsidRPr="008C21CF" w:rsidRDefault="005A1EDA" w:rsidP="005B21F7">
      <w:pPr>
        <w:spacing w:after="0" w:line="240" w:lineRule="auto"/>
        <w:ind w:left="270"/>
        <w:jc w:val="both"/>
        <w:rPr>
          <w:rFonts w:asciiTheme="majorHAnsi" w:hAnsiTheme="majorHAnsi" w:cstheme="majorHAnsi"/>
          <w:bCs/>
          <w:iCs/>
        </w:rPr>
      </w:pPr>
      <w:r w:rsidRPr="00B2724B">
        <w:rPr>
          <w:rFonts w:asciiTheme="majorHAnsi" w:hAnsiTheme="majorHAnsi" w:cstheme="majorHAnsi"/>
        </w:rPr>
        <w:t>If</w:t>
      </w:r>
      <w:r w:rsidRPr="008C21CF">
        <w:rPr>
          <w:rFonts w:asciiTheme="majorHAnsi" w:hAnsiTheme="majorHAnsi" w:cstheme="majorHAnsi"/>
          <w:b/>
        </w:rPr>
        <w:t xml:space="preserve"> yes</w:t>
      </w:r>
      <w:r w:rsidRPr="008C21CF">
        <w:rPr>
          <w:rFonts w:asciiTheme="majorHAnsi" w:hAnsiTheme="majorHAnsi" w:cstheme="majorHAnsi"/>
        </w:rPr>
        <w:t>, in the table below</w:t>
      </w:r>
      <w:r w:rsidR="00F112AD">
        <w:rPr>
          <w:rFonts w:asciiTheme="majorHAnsi" w:hAnsiTheme="majorHAnsi" w:cstheme="majorHAnsi"/>
        </w:rPr>
        <w:t>, indicate</w:t>
      </w:r>
      <w:r w:rsidRPr="008C21CF">
        <w:rPr>
          <w:rFonts w:asciiTheme="majorHAnsi" w:hAnsiTheme="majorHAnsi" w:cstheme="majorHAnsi"/>
        </w:rPr>
        <w:t xml:space="preserve"> the relevant performance indicators</w:t>
      </w:r>
      <w:r w:rsidR="008A3F1D">
        <w:rPr>
          <w:rFonts w:asciiTheme="majorHAnsi" w:hAnsiTheme="majorHAnsi" w:cstheme="majorHAnsi"/>
        </w:rPr>
        <w:t xml:space="preserve"> and </w:t>
      </w:r>
      <w:r w:rsidRPr="008C21CF">
        <w:rPr>
          <w:rFonts w:asciiTheme="majorHAnsi" w:hAnsiTheme="majorHAnsi" w:cstheme="majorHAnsi"/>
        </w:rPr>
        <w:t>rationale for the choice of</w:t>
      </w:r>
      <w:r w:rsidR="00B2724B">
        <w:rPr>
          <w:rFonts w:asciiTheme="majorHAnsi" w:hAnsiTheme="majorHAnsi" w:cstheme="majorHAnsi"/>
        </w:rPr>
        <w:t xml:space="preserve"> </w:t>
      </w:r>
      <w:r w:rsidRPr="008C21CF">
        <w:rPr>
          <w:rFonts w:asciiTheme="majorHAnsi" w:hAnsiTheme="majorHAnsi" w:cstheme="majorHAnsi"/>
        </w:rPr>
        <w:t xml:space="preserve">performance indicators </w:t>
      </w:r>
      <w:r w:rsidR="00FE5CDB">
        <w:rPr>
          <w:rFonts w:asciiTheme="majorHAnsi" w:hAnsiTheme="majorHAnsi" w:cstheme="majorHAnsi"/>
        </w:rPr>
        <w:t>and/or milestones</w:t>
      </w:r>
      <w:r w:rsidRPr="008C21CF">
        <w:rPr>
          <w:rFonts w:asciiTheme="majorHAnsi" w:hAnsiTheme="majorHAnsi" w:cstheme="majorHAnsi"/>
        </w:rPr>
        <w:t>.</w:t>
      </w:r>
    </w:p>
    <w:p w14:paraId="10D141EB" w14:textId="77777777" w:rsidR="005A1EDA" w:rsidRPr="008C21CF" w:rsidRDefault="005A1EDA" w:rsidP="005A1EDA">
      <w:pPr>
        <w:pStyle w:val="affff3"/>
        <w:spacing w:after="0" w:line="240" w:lineRule="auto"/>
        <w:ind w:left="0"/>
        <w:jc w:val="both"/>
        <w:rPr>
          <w:rFonts w:asciiTheme="majorHAnsi" w:hAnsiTheme="majorHAnsi" w:cstheme="majorHAnsi"/>
          <w:bCs/>
          <w:iCs/>
        </w:rPr>
      </w:pPr>
    </w:p>
    <w:tbl>
      <w:tblPr>
        <w:tblW w:w="10379"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615"/>
        <w:gridCol w:w="1121"/>
        <w:gridCol w:w="850"/>
        <w:gridCol w:w="803"/>
        <w:gridCol w:w="850"/>
        <w:gridCol w:w="1170"/>
        <w:gridCol w:w="2970"/>
      </w:tblGrid>
      <w:tr w:rsidR="005A1EDA" w:rsidRPr="00BF4BEE" w14:paraId="1B9B62C4" w14:textId="77777777" w:rsidTr="00A757CB">
        <w:trPr>
          <w:trHeight w:val="323"/>
        </w:trPr>
        <w:tc>
          <w:tcPr>
            <w:tcW w:w="2615" w:type="dxa"/>
            <w:vMerge w:val="restart"/>
            <w:tcBorders>
              <w:top w:val="single" w:sz="4" w:space="0" w:color="808080" w:themeColor="background1" w:themeShade="80"/>
              <w:left w:val="single" w:sz="4" w:space="0" w:color="808080" w:themeColor="background1" w:themeShade="80"/>
            </w:tcBorders>
            <w:shd w:val="clear" w:color="auto" w:fill="D9D9D9" w:themeFill="background1" w:themeFillShade="D9"/>
            <w:vAlign w:val="center"/>
          </w:tcPr>
          <w:p w14:paraId="46DA90B0" w14:textId="77777777" w:rsidR="005A1EDA" w:rsidRPr="008C21CF" w:rsidRDefault="005A1EDA" w:rsidP="009B1BDA">
            <w:pPr>
              <w:spacing w:after="0"/>
              <w:jc w:val="center"/>
              <w:rPr>
                <w:rFonts w:asciiTheme="majorHAnsi" w:hAnsiTheme="majorHAnsi" w:cstheme="majorHAnsi"/>
                <w:b/>
              </w:rPr>
            </w:pPr>
            <w:r w:rsidRPr="008C21CF">
              <w:rPr>
                <w:rFonts w:asciiTheme="majorHAnsi" w:hAnsiTheme="majorHAnsi" w:cstheme="majorHAnsi"/>
                <w:b/>
              </w:rPr>
              <w:t>Performance indicator or milestone</w:t>
            </w:r>
          </w:p>
        </w:tc>
        <w:tc>
          <w:tcPr>
            <w:tcW w:w="3624" w:type="dxa"/>
            <w:gridSpan w:val="4"/>
            <w:tcBorders>
              <w:top w:val="single" w:sz="4" w:space="0" w:color="808080" w:themeColor="background1" w:themeShade="80"/>
            </w:tcBorders>
            <w:shd w:val="clear" w:color="auto" w:fill="D9D9D9" w:themeFill="background1" w:themeFillShade="D9"/>
            <w:vAlign w:val="center"/>
          </w:tcPr>
          <w:p w14:paraId="49ED923E" w14:textId="77777777" w:rsidR="005A1EDA" w:rsidRPr="008C21CF" w:rsidRDefault="005A1EDA" w:rsidP="009B1BDA">
            <w:pPr>
              <w:spacing w:after="0"/>
              <w:jc w:val="center"/>
              <w:rPr>
                <w:rFonts w:asciiTheme="majorHAnsi" w:hAnsiTheme="majorHAnsi" w:cstheme="majorHAnsi"/>
                <w:b/>
                <w:iCs/>
              </w:rPr>
            </w:pPr>
            <w:r w:rsidRPr="008C21CF">
              <w:rPr>
                <w:rFonts w:asciiTheme="majorHAnsi" w:hAnsiTheme="majorHAnsi" w:cstheme="majorHAnsi"/>
                <w:b/>
                <w:iCs/>
              </w:rPr>
              <w:t>Target</w:t>
            </w:r>
          </w:p>
        </w:tc>
        <w:tc>
          <w:tcPr>
            <w:tcW w:w="4140" w:type="dxa"/>
            <w:gridSpan w:val="2"/>
            <w:vMerge w:val="restart"/>
            <w:tcBorders>
              <w:top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A103A5A" w14:textId="77777777" w:rsidR="005A1EDA" w:rsidRPr="008C21CF" w:rsidRDefault="005A1EDA" w:rsidP="009B1BDA">
            <w:pPr>
              <w:spacing w:after="0"/>
              <w:jc w:val="center"/>
              <w:rPr>
                <w:rFonts w:asciiTheme="majorHAnsi" w:hAnsiTheme="majorHAnsi" w:cstheme="majorHAnsi"/>
                <w:b/>
                <w:iCs/>
              </w:rPr>
            </w:pPr>
            <w:r w:rsidRPr="008C21CF">
              <w:rPr>
                <w:rFonts w:asciiTheme="majorHAnsi" w:hAnsiTheme="majorHAnsi" w:cstheme="majorHAnsi"/>
                <w:b/>
                <w:iCs/>
              </w:rPr>
              <w:t>Rationale for the indicator/milestone selection for Global Fund funding</w:t>
            </w:r>
          </w:p>
        </w:tc>
      </w:tr>
      <w:tr w:rsidR="005A1EDA" w:rsidRPr="00BF4BEE" w14:paraId="34BB0491" w14:textId="77777777" w:rsidTr="00A757CB">
        <w:trPr>
          <w:trHeight w:val="322"/>
        </w:trPr>
        <w:tc>
          <w:tcPr>
            <w:tcW w:w="2615" w:type="dxa"/>
            <w:vMerge/>
            <w:tcBorders>
              <w:left w:val="single" w:sz="4" w:space="0" w:color="808080" w:themeColor="background1" w:themeShade="80"/>
            </w:tcBorders>
            <w:shd w:val="clear" w:color="auto" w:fill="D9D9D9" w:themeFill="background1" w:themeFillShade="D9"/>
            <w:vAlign w:val="center"/>
          </w:tcPr>
          <w:p w14:paraId="3328CB67" w14:textId="77777777" w:rsidR="005A1EDA" w:rsidRPr="004619FD" w:rsidRDefault="005A1EDA" w:rsidP="009B1BDA">
            <w:pPr>
              <w:spacing w:after="0"/>
              <w:jc w:val="center"/>
              <w:rPr>
                <w:rFonts w:asciiTheme="majorHAnsi" w:hAnsiTheme="majorHAnsi" w:cstheme="majorHAnsi"/>
              </w:rPr>
            </w:pPr>
          </w:p>
        </w:tc>
        <w:tc>
          <w:tcPr>
            <w:tcW w:w="1121" w:type="dxa"/>
            <w:shd w:val="clear" w:color="auto" w:fill="D9D9D9" w:themeFill="background1" w:themeFillShade="D9"/>
            <w:vAlign w:val="center"/>
          </w:tcPr>
          <w:p w14:paraId="3F0FEBDC" w14:textId="77777777" w:rsidR="005A1EDA" w:rsidRPr="008C21CF" w:rsidRDefault="005A1EDA" w:rsidP="009B1BDA">
            <w:pPr>
              <w:spacing w:before="120" w:after="0"/>
              <w:jc w:val="center"/>
              <w:rPr>
                <w:rFonts w:asciiTheme="majorHAnsi" w:hAnsiTheme="majorHAnsi" w:cstheme="majorHAnsi"/>
                <w:b/>
                <w:iCs/>
              </w:rPr>
            </w:pPr>
            <w:r w:rsidRPr="008C21CF">
              <w:rPr>
                <w:rFonts w:asciiTheme="majorHAnsi" w:hAnsiTheme="majorHAnsi" w:cstheme="majorHAnsi"/>
                <w:b/>
                <w:iCs/>
              </w:rPr>
              <w:t>Baseline</w:t>
            </w:r>
          </w:p>
        </w:tc>
        <w:tc>
          <w:tcPr>
            <w:tcW w:w="850" w:type="dxa"/>
            <w:shd w:val="clear" w:color="auto" w:fill="D9D9D9" w:themeFill="background1" w:themeFillShade="D9"/>
            <w:vAlign w:val="center"/>
          </w:tcPr>
          <w:p w14:paraId="60D82EA9" w14:textId="77777777" w:rsidR="005A1EDA" w:rsidRPr="008C21CF" w:rsidRDefault="005A1EDA" w:rsidP="009B1BDA">
            <w:pPr>
              <w:spacing w:before="120" w:after="0"/>
              <w:jc w:val="center"/>
              <w:rPr>
                <w:rFonts w:asciiTheme="majorHAnsi" w:hAnsiTheme="majorHAnsi" w:cstheme="majorHAnsi"/>
                <w:b/>
                <w:iCs/>
              </w:rPr>
            </w:pPr>
            <w:r w:rsidRPr="008C21CF">
              <w:rPr>
                <w:rFonts w:asciiTheme="majorHAnsi" w:hAnsiTheme="majorHAnsi" w:cstheme="majorHAnsi"/>
                <w:b/>
                <w:iCs/>
              </w:rPr>
              <w:t>Y1</w:t>
            </w:r>
          </w:p>
        </w:tc>
        <w:tc>
          <w:tcPr>
            <w:tcW w:w="803" w:type="dxa"/>
            <w:shd w:val="clear" w:color="auto" w:fill="D9D9D9" w:themeFill="background1" w:themeFillShade="D9"/>
            <w:vAlign w:val="center"/>
          </w:tcPr>
          <w:p w14:paraId="6082FE22" w14:textId="77777777" w:rsidR="005A1EDA" w:rsidRPr="008C21CF" w:rsidRDefault="005A1EDA" w:rsidP="009B1BDA">
            <w:pPr>
              <w:spacing w:before="120" w:after="0"/>
              <w:jc w:val="center"/>
              <w:rPr>
                <w:rFonts w:asciiTheme="majorHAnsi" w:hAnsiTheme="majorHAnsi" w:cstheme="majorHAnsi"/>
                <w:b/>
                <w:iCs/>
              </w:rPr>
            </w:pPr>
            <w:r w:rsidRPr="008C21CF">
              <w:rPr>
                <w:rFonts w:asciiTheme="majorHAnsi" w:hAnsiTheme="majorHAnsi" w:cstheme="majorHAnsi"/>
                <w:b/>
                <w:iCs/>
              </w:rPr>
              <w:t>Y2</w:t>
            </w:r>
          </w:p>
        </w:tc>
        <w:tc>
          <w:tcPr>
            <w:tcW w:w="850" w:type="dxa"/>
            <w:shd w:val="clear" w:color="auto" w:fill="D9D9D9" w:themeFill="background1" w:themeFillShade="D9"/>
            <w:vAlign w:val="center"/>
          </w:tcPr>
          <w:p w14:paraId="1C5C380B" w14:textId="77777777" w:rsidR="005A1EDA" w:rsidRPr="008C21CF" w:rsidRDefault="005A1EDA" w:rsidP="009B1BDA">
            <w:pPr>
              <w:spacing w:before="120" w:after="0"/>
              <w:jc w:val="center"/>
              <w:rPr>
                <w:rFonts w:asciiTheme="majorHAnsi" w:hAnsiTheme="majorHAnsi" w:cstheme="majorHAnsi"/>
                <w:b/>
                <w:iCs/>
              </w:rPr>
            </w:pPr>
            <w:r w:rsidRPr="008C21CF">
              <w:rPr>
                <w:rFonts w:asciiTheme="majorHAnsi" w:hAnsiTheme="majorHAnsi" w:cstheme="majorHAnsi"/>
                <w:b/>
                <w:iCs/>
              </w:rPr>
              <w:t>Y3</w:t>
            </w:r>
          </w:p>
        </w:tc>
        <w:tc>
          <w:tcPr>
            <w:tcW w:w="4140" w:type="dxa"/>
            <w:gridSpan w:val="2"/>
            <w:vMerge/>
            <w:tcBorders>
              <w:right w:val="single" w:sz="4" w:space="0" w:color="808080" w:themeColor="background1" w:themeShade="80"/>
            </w:tcBorders>
            <w:shd w:val="clear" w:color="auto" w:fill="D9D9D9" w:themeFill="background1" w:themeFillShade="D9"/>
            <w:vAlign w:val="center"/>
          </w:tcPr>
          <w:p w14:paraId="18DEC1BC" w14:textId="77777777" w:rsidR="005A1EDA" w:rsidRPr="004619FD" w:rsidRDefault="005A1EDA" w:rsidP="009B1BDA">
            <w:pPr>
              <w:spacing w:before="120" w:after="0"/>
              <w:jc w:val="center"/>
              <w:rPr>
                <w:rFonts w:asciiTheme="majorHAnsi" w:hAnsiTheme="majorHAnsi" w:cstheme="majorHAnsi"/>
                <w:iCs/>
              </w:rPr>
            </w:pPr>
          </w:p>
        </w:tc>
      </w:tr>
      <w:tr w:rsidR="005A1EDA" w:rsidRPr="00BF4BEE" w14:paraId="78A643B9" w14:textId="77777777" w:rsidTr="00A757CB">
        <w:trPr>
          <w:trHeight w:val="522"/>
        </w:trPr>
        <w:tc>
          <w:tcPr>
            <w:tcW w:w="2615" w:type="dxa"/>
            <w:tcBorders>
              <w:left w:val="single" w:sz="4" w:space="0" w:color="808080" w:themeColor="background1" w:themeShade="80"/>
            </w:tcBorders>
            <w:vAlign w:val="center"/>
          </w:tcPr>
          <w:p w14:paraId="05AAFC28" w14:textId="77777777" w:rsidR="005A1EDA" w:rsidRPr="008C21CF" w:rsidRDefault="005A1EDA" w:rsidP="009B1BDA">
            <w:pPr>
              <w:pStyle w:val="affff3"/>
              <w:tabs>
                <w:tab w:val="left" w:pos="63"/>
              </w:tabs>
              <w:spacing w:after="0"/>
              <w:ind w:left="63" w:right="-54"/>
              <w:rPr>
                <w:rFonts w:asciiTheme="majorHAnsi" w:hAnsiTheme="majorHAnsi" w:cstheme="majorHAnsi"/>
                <w:b/>
                <w:bCs/>
                <w:iCs/>
              </w:rPr>
            </w:pPr>
          </w:p>
        </w:tc>
        <w:tc>
          <w:tcPr>
            <w:tcW w:w="1121" w:type="dxa"/>
            <w:shd w:val="clear" w:color="auto" w:fill="FFFFFF" w:themeFill="text2" w:themeFillTint="33"/>
            <w:vAlign w:val="center"/>
          </w:tcPr>
          <w:p w14:paraId="0B9836F8" w14:textId="77777777" w:rsidR="005A1EDA" w:rsidRPr="008C21CF" w:rsidRDefault="005A1EDA" w:rsidP="009B1BDA">
            <w:pPr>
              <w:pStyle w:val="affff3"/>
              <w:tabs>
                <w:tab w:val="left" w:pos="360"/>
              </w:tabs>
              <w:spacing w:after="0"/>
              <w:ind w:left="0" w:right="-54"/>
              <w:jc w:val="center"/>
              <w:rPr>
                <w:rFonts w:asciiTheme="majorHAnsi" w:hAnsiTheme="majorHAnsi" w:cstheme="majorHAnsi"/>
                <w:b/>
                <w:bCs/>
                <w:iCs/>
              </w:rPr>
            </w:pPr>
          </w:p>
        </w:tc>
        <w:tc>
          <w:tcPr>
            <w:tcW w:w="850" w:type="dxa"/>
            <w:shd w:val="clear" w:color="auto" w:fill="FFFFFF" w:themeFill="text2" w:themeFillTint="33"/>
            <w:vAlign w:val="center"/>
          </w:tcPr>
          <w:p w14:paraId="6981708E" w14:textId="77777777" w:rsidR="005A1EDA" w:rsidRPr="008C21CF" w:rsidRDefault="005A1EDA" w:rsidP="009B1BDA">
            <w:pPr>
              <w:pStyle w:val="affff3"/>
              <w:tabs>
                <w:tab w:val="left" w:pos="360"/>
              </w:tabs>
              <w:spacing w:after="0"/>
              <w:ind w:left="0" w:right="-54"/>
              <w:jc w:val="center"/>
              <w:rPr>
                <w:rFonts w:asciiTheme="majorHAnsi" w:hAnsiTheme="majorHAnsi" w:cstheme="majorHAnsi"/>
                <w:b/>
                <w:bCs/>
                <w:iCs/>
              </w:rPr>
            </w:pPr>
          </w:p>
        </w:tc>
        <w:tc>
          <w:tcPr>
            <w:tcW w:w="803" w:type="dxa"/>
            <w:shd w:val="clear" w:color="auto" w:fill="FFFFFF" w:themeFill="text2" w:themeFillTint="33"/>
            <w:vAlign w:val="center"/>
          </w:tcPr>
          <w:p w14:paraId="25C7D4B9" w14:textId="77777777" w:rsidR="005A1EDA" w:rsidRPr="008C21CF" w:rsidRDefault="005A1EDA" w:rsidP="009B1BDA">
            <w:pPr>
              <w:pStyle w:val="affff3"/>
              <w:tabs>
                <w:tab w:val="left" w:pos="360"/>
              </w:tabs>
              <w:spacing w:after="0"/>
              <w:ind w:left="0" w:right="-54"/>
              <w:jc w:val="center"/>
              <w:rPr>
                <w:rFonts w:asciiTheme="majorHAnsi" w:hAnsiTheme="majorHAnsi" w:cstheme="majorHAnsi"/>
                <w:b/>
                <w:bCs/>
                <w:iCs/>
              </w:rPr>
            </w:pPr>
          </w:p>
        </w:tc>
        <w:tc>
          <w:tcPr>
            <w:tcW w:w="850" w:type="dxa"/>
            <w:shd w:val="clear" w:color="auto" w:fill="FFFFFF" w:themeFill="text2" w:themeFillTint="33"/>
            <w:vAlign w:val="center"/>
          </w:tcPr>
          <w:p w14:paraId="7E388E93" w14:textId="77777777" w:rsidR="005A1EDA" w:rsidRPr="008C21CF" w:rsidRDefault="005A1EDA" w:rsidP="009B1BDA">
            <w:pPr>
              <w:pStyle w:val="affff3"/>
              <w:tabs>
                <w:tab w:val="left" w:pos="360"/>
              </w:tabs>
              <w:spacing w:after="0"/>
              <w:ind w:left="0" w:right="-54"/>
              <w:jc w:val="center"/>
              <w:rPr>
                <w:rFonts w:asciiTheme="majorHAnsi" w:hAnsiTheme="majorHAnsi" w:cstheme="majorHAnsi"/>
                <w:b/>
                <w:bCs/>
                <w:iCs/>
              </w:rPr>
            </w:pPr>
          </w:p>
        </w:tc>
        <w:tc>
          <w:tcPr>
            <w:tcW w:w="4140" w:type="dxa"/>
            <w:gridSpan w:val="2"/>
            <w:tcBorders>
              <w:right w:val="single" w:sz="4" w:space="0" w:color="808080" w:themeColor="background1" w:themeShade="80"/>
            </w:tcBorders>
            <w:vAlign w:val="center"/>
          </w:tcPr>
          <w:p w14:paraId="5AC2A7A5" w14:textId="77777777" w:rsidR="005A1EDA" w:rsidRPr="008C21CF" w:rsidRDefault="005A1EDA" w:rsidP="009B1BDA">
            <w:pPr>
              <w:spacing w:after="0"/>
              <w:rPr>
                <w:rFonts w:asciiTheme="majorHAnsi" w:hAnsiTheme="majorHAnsi" w:cstheme="majorHAnsi"/>
                <w:b/>
                <w:bCs/>
                <w:iCs/>
              </w:rPr>
            </w:pPr>
          </w:p>
        </w:tc>
      </w:tr>
      <w:tr w:rsidR="005A1EDA" w:rsidRPr="00BF4BEE" w14:paraId="59964124" w14:textId="77777777" w:rsidTr="00A757CB">
        <w:trPr>
          <w:trHeight w:val="559"/>
        </w:trPr>
        <w:tc>
          <w:tcPr>
            <w:tcW w:w="2615" w:type="dxa"/>
            <w:tcBorders>
              <w:left w:val="single" w:sz="4" w:space="0" w:color="808080" w:themeColor="background1" w:themeShade="80"/>
            </w:tcBorders>
            <w:vAlign w:val="center"/>
          </w:tcPr>
          <w:p w14:paraId="1D8107CC" w14:textId="77777777" w:rsidR="005A1EDA" w:rsidRPr="008C21CF" w:rsidRDefault="005A1EDA" w:rsidP="009B1BDA">
            <w:pPr>
              <w:pStyle w:val="affff3"/>
              <w:tabs>
                <w:tab w:val="left" w:pos="63"/>
              </w:tabs>
              <w:spacing w:after="0"/>
              <w:ind w:left="63"/>
              <w:rPr>
                <w:rFonts w:asciiTheme="majorHAnsi" w:hAnsiTheme="majorHAnsi" w:cstheme="majorHAnsi"/>
                <w:b/>
                <w:bCs/>
                <w:iCs/>
              </w:rPr>
            </w:pPr>
          </w:p>
        </w:tc>
        <w:tc>
          <w:tcPr>
            <w:tcW w:w="1121" w:type="dxa"/>
            <w:shd w:val="clear" w:color="auto" w:fill="FFFFFF" w:themeFill="text2" w:themeFillTint="33"/>
            <w:vAlign w:val="center"/>
          </w:tcPr>
          <w:p w14:paraId="7A14CCB0" w14:textId="77777777" w:rsidR="005A1EDA" w:rsidRPr="008C21CF" w:rsidRDefault="005A1EDA" w:rsidP="009B1BDA">
            <w:pPr>
              <w:pStyle w:val="affff3"/>
              <w:tabs>
                <w:tab w:val="left" w:pos="360"/>
              </w:tabs>
              <w:spacing w:after="0"/>
              <w:ind w:left="0" w:right="-54"/>
              <w:jc w:val="center"/>
              <w:rPr>
                <w:rFonts w:asciiTheme="majorHAnsi" w:hAnsiTheme="majorHAnsi" w:cstheme="majorHAnsi"/>
                <w:b/>
                <w:bCs/>
                <w:iCs/>
              </w:rPr>
            </w:pPr>
          </w:p>
        </w:tc>
        <w:tc>
          <w:tcPr>
            <w:tcW w:w="850" w:type="dxa"/>
            <w:shd w:val="clear" w:color="auto" w:fill="FFFFFF" w:themeFill="text2" w:themeFillTint="33"/>
            <w:vAlign w:val="center"/>
          </w:tcPr>
          <w:p w14:paraId="0AFD62E4" w14:textId="77777777" w:rsidR="005A1EDA" w:rsidRPr="008C21CF" w:rsidRDefault="005A1EDA" w:rsidP="009B1BDA">
            <w:pPr>
              <w:pStyle w:val="affff3"/>
              <w:tabs>
                <w:tab w:val="left" w:pos="360"/>
              </w:tabs>
              <w:spacing w:after="0"/>
              <w:ind w:left="0" w:right="-54"/>
              <w:jc w:val="center"/>
              <w:rPr>
                <w:rFonts w:asciiTheme="majorHAnsi" w:hAnsiTheme="majorHAnsi" w:cstheme="majorHAnsi"/>
                <w:b/>
                <w:bCs/>
                <w:iCs/>
              </w:rPr>
            </w:pPr>
          </w:p>
        </w:tc>
        <w:tc>
          <w:tcPr>
            <w:tcW w:w="803" w:type="dxa"/>
            <w:shd w:val="clear" w:color="auto" w:fill="FFFFFF" w:themeFill="text2" w:themeFillTint="33"/>
            <w:vAlign w:val="center"/>
          </w:tcPr>
          <w:p w14:paraId="35C78E7C" w14:textId="77777777" w:rsidR="005A1EDA" w:rsidRPr="008C21CF" w:rsidRDefault="005A1EDA" w:rsidP="009B1BDA">
            <w:pPr>
              <w:pStyle w:val="affff3"/>
              <w:tabs>
                <w:tab w:val="left" w:pos="360"/>
              </w:tabs>
              <w:spacing w:after="0"/>
              <w:ind w:left="0" w:right="-54"/>
              <w:jc w:val="center"/>
              <w:rPr>
                <w:rFonts w:asciiTheme="majorHAnsi" w:hAnsiTheme="majorHAnsi" w:cstheme="majorHAnsi"/>
                <w:b/>
                <w:bCs/>
                <w:iCs/>
              </w:rPr>
            </w:pPr>
          </w:p>
        </w:tc>
        <w:tc>
          <w:tcPr>
            <w:tcW w:w="850" w:type="dxa"/>
            <w:shd w:val="clear" w:color="auto" w:fill="FFFFFF" w:themeFill="text2" w:themeFillTint="33"/>
            <w:vAlign w:val="center"/>
          </w:tcPr>
          <w:p w14:paraId="43B1F3BA" w14:textId="77777777" w:rsidR="005A1EDA" w:rsidRPr="008C21CF" w:rsidRDefault="005A1EDA" w:rsidP="009B1BDA">
            <w:pPr>
              <w:pStyle w:val="affff3"/>
              <w:tabs>
                <w:tab w:val="left" w:pos="360"/>
              </w:tabs>
              <w:spacing w:after="0"/>
              <w:ind w:left="0" w:right="-54"/>
              <w:jc w:val="center"/>
              <w:rPr>
                <w:rFonts w:asciiTheme="majorHAnsi" w:hAnsiTheme="majorHAnsi" w:cstheme="majorHAnsi"/>
                <w:b/>
                <w:bCs/>
                <w:iCs/>
              </w:rPr>
            </w:pPr>
          </w:p>
        </w:tc>
        <w:tc>
          <w:tcPr>
            <w:tcW w:w="4140" w:type="dxa"/>
            <w:gridSpan w:val="2"/>
            <w:tcBorders>
              <w:right w:val="single" w:sz="4" w:space="0" w:color="808080" w:themeColor="background1" w:themeShade="80"/>
            </w:tcBorders>
            <w:vAlign w:val="center"/>
          </w:tcPr>
          <w:p w14:paraId="1CE007C1" w14:textId="77777777" w:rsidR="005A1EDA" w:rsidRPr="008C21CF" w:rsidRDefault="005A1EDA" w:rsidP="009B1BDA">
            <w:pPr>
              <w:spacing w:after="0"/>
              <w:ind w:right="-54"/>
              <w:rPr>
                <w:rFonts w:asciiTheme="majorHAnsi" w:hAnsiTheme="majorHAnsi" w:cstheme="majorHAnsi"/>
                <w:b/>
                <w:bCs/>
                <w:iCs/>
              </w:rPr>
            </w:pPr>
          </w:p>
        </w:tc>
      </w:tr>
      <w:tr w:rsidR="005A1EDA" w:rsidRPr="00BF4BEE" w14:paraId="4528FF7A" w14:textId="77777777" w:rsidTr="00A757CB">
        <w:trPr>
          <w:trHeight w:val="553"/>
        </w:trPr>
        <w:tc>
          <w:tcPr>
            <w:tcW w:w="2615" w:type="dxa"/>
            <w:tcBorders>
              <w:left w:val="single" w:sz="4" w:space="0" w:color="808080" w:themeColor="background1" w:themeShade="80"/>
            </w:tcBorders>
            <w:vAlign w:val="center"/>
          </w:tcPr>
          <w:p w14:paraId="744DED99" w14:textId="77777777" w:rsidR="005A1EDA" w:rsidRPr="008C21CF" w:rsidRDefault="005A1EDA" w:rsidP="009B1BDA">
            <w:pPr>
              <w:pStyle w:val="affff3"/>
              <w:tabs>
                <w:tab w:val="left" w:pos="63"/>
              </w:tabs>
              <w:spacing w:after="0"/>
              <w:ind w:left="63"/>
              <w:rPr>
                <w:rFonts w:asciiTheme="majorHAnsi" w:hAnsiTheme="majorHAnsi" w:cstheme="majorHAnsi"/>
                <w:b/>
                <w:bCs/>
                <w:i/>
                <w:iCs/>
              </w:rPr>
            </w:pPr>
            <w:r w:rsidRPr="008C21CF">
              <w:rPr>
                <w:rFonts w:asciiTheme="majorHAnsi" w:hAnsiTheme="majorHAnsi" w:cstheme="majorHAnsi"/>
              </w:rPr>
              <w:t>Add rows if necessary</w:t>
            </w:r>
          </w:p>
        </w:tc>
        <w:tc>
          <w:tcPr>
            <w:tcW w:w="1121" w:type="dxa"/>
            <w:shd w:val="clear" w:color="auto" w:fill="FFFFFF" w:themeFill="text2" w:themeFillTint="33"/>
            <w:vAlign w:val="center"/>
          </w:tcPr>
          <w:p w14:paraId="6CA0F985" w14:textId="77777777" w:rsidR="005A1EDA" w:rsidRPr="008C21CF" w:rsidRDefault="005A1EDA" w:rsidP="009B1BDA">
            <w:pPr>
              <w:pStyle w:val="affff3"/>
              <w:tabs>
                <w:tab w:val="left" w:pos="360"/>
              </w:tabs>
              <w:spacing w:after="0"/>
              <w:ind w:left="0" w:right="-54"/>
              <w:jc w:val="center"/>
              <w:rPr>
                <w:rFonts w:asciiTheme="majorHAnsi" w:hAnsiTheme="majorHAnsi" w:cstheme="majorHAnsi"/>
                <w:b/>
                <w:bCs/>
                <w:iCs/>
              </w:rPr>
            </w:pPr>
          </w:p>
        </w:tc>
        <w:tc>
          <w:tcPr>
            <w:tcW w:w="850" w:type="dxa"/>
            <w:shd w:val="clear" w:color="auto" w:fill="FFFFFF" w:themeFill="text2" w:themeFillTint="33"/>
            <w:vAlign w:val="center"/>
          </w:tcPr>
          <w:p w14:paraId="769155BB" w14:textId="77777777" w:rsidR="005A1EDA" w:rsidRPr="008C21CF" w:rsidRDefault="005A1EDA" w:rsidP="009B1BDA">
            <w:pPr>
              <w:pStyle w:val="affff3"/>
              <w:tabs>
                <w:tab w:val="left" w:pos="360"/>
              </w:tabs>
              <w:spacing w:after="0"/>
              <w:ind w:left="0" w:right="-54"/>
              <w:jc w:val="center"/>
              <w:rPr>
                <w:rFonts w:asciiTheme="majorHAnsi" w:hAnsiTheme="majorHAnsi" w:cstheme="majorHAnsi"/>
                <w:b/>
                <w:bCs/>
                <w:iCs/>
              </w:rPr>
            </w:pPr>
          </w:p>
        </w:tc>
        <w:tc>
          <w:tcPr>
            <w:tcW w:w="803" w:type="dxa"/>
            <w:shd w:val="clear" w:color="auto" w:fill="FFFFFF" w:themeFill="text2" w:themeFillTint="33"/>
            <w:vAlign w:val="center"/>
          </w:tcPr>
          <w:p w14:paraId="4092CEDC" w14:textId="77777777" w:rsidR="005A1EDA" w:rsidRPr="008C21CF" w:rsidRDefault="005A1EDA" w:rsidP="009B1BDA">
            <w:pPr>
              <w:pStyle w:val="affff3"/>
              <w:tabs>
                <w:tab w:val="left" w:pos="360"/>
              </w:tabs>
              <w:spacing w:after="0"/>
              <w:ind w:left="0" w:right="-54"/>
              <w:jc w:val="center"/>
              <w:rPr>
                <w:rFonts w:asciiTheme="majorHAnsi" w:hAnsiTheme="majorHAnsi" w:cstheme="majorHAnsi"/>
                <w:b/>
                <w:bCs/>
                <w:iCs/>
              </w:rPr>
            </w:pPr>
          </w:p>
        </w:tc>
        <w:tc>
          <w:tcPr>
            <w:tcW w:w="850" w:type="dxa"/>
            <w:shd w:val="clear" w:color="auto" w:fill="FFFFFF" w:themeFill="text2" w:themeFillTint="33"/>
            <w:vAlign w:val="center"/>
          </w:tcPr>
          <w:p w14:paraId="5B16A55D" w14:textId="77777777" w:rsidR="005A1EDA" w:rsidRPr="008C21CF" w:rsidRDefault="005A1EDA" w:rsidP="009B1BDA">
            <w:pPr>
              <w:pStyle w:val="affff3"/>
              <w:tabs>
                <w:tab w:val="left" w:pos="360"/>
              </w:tabs>
              <w:spacing w:after="0"/>
              <w:ind w:left="0" w:right="-54"/>
              <w:jc w:val="center"/>
              <w:rPr>
                <w:rFonts w:asciiTheme="majorHAnsi" w:hAnsiTheme="majorHAnsi" w:cstheme="majorHAnsi"/>
                <w:b/>
                <w:bCs/>
                <w:iCs/>
              </w:rPr>
            </w:pPr>
          </w:p>
        </w:tc>
        <w:tc>
          <w:tcPr>
            <w:tcW w:w="4140" w:type="dxa"/>
            <w:gridSpan w:val="2"/>
            <w:tcBorders>
              <w:right w:val="single" w:sz="4" w:space="0" w:color="808080" w:themeColor="background1" w:themeShade="80"/>
            </w:tcBorders>
            <w:vAlign w:val="center"/>
          </w:tcPr>
          <w:p w14:paraId="0ED2B9A7" w14:textId="77777777" w:rsidR="005A1EDA" w:rsidRPr="008C21CF" w:rsidRDefault="005A1EDA" w:rsidP="009B1BDA">
            <w:pPr>
              <w:spacing w:after="0"/>
              <w:ind w:right="-54"/>
              <w:rPr>
                <w:rFonts w:asciiTheme="majorHAnsi" w:hAnsiTheme="majorHAnsi" w:cstheme="majorHAnsi"/>
                <w:b/>
                <w:bCs/>
                <w:iCs/>
              </w:rPr>
            </w:pPr>
          </w:p>
        </w:tc>
      </w:tr>
      <w:tr w:rsidR="004F034A" w:rsidRPr="00BF4BEE" w14:paraId="297F4E88" w14:textId="77777777" w:rsidTr="00A757CB">
        <w:trPr>
          <w:trHeight w:val="395"/>
        </w:trPr>
        <w:tc>
          <w:tcPr>
            <w:tcW w:w="7409" w:type="dxa"/>
            <w:gridSpan w:val="6"/>
            <w:tcBorders>
              <w:left w:val="single" w:sz="4" w:space="0" w:color="808080" w:themeColor="background1" w:themeShade="80"/>
            </w:tcBorders>
            <w:shd w:val="clear" w:color="auto" w:fill="D9D9D9" w:themeFill="background1" w:themeFillShade="D9"/>
            <w:vAlign w:val="center"/>
          </w:tcPr>
          <w:p w14:paraId="640546A3" w14:textId="2C789C62" w:rsidR="004F034A" w:rsidRPr="008C21CF" w:rsidRDefault="004F034A" w:rsidP="009A1DC8">
            <w:pPr>
              <w:pStyle w:val="affff3"/>
              <w:spacing w:after="0" w:line="240" w:lineRule="auto"/>
              <w:ind w:left="360" w:hanging="350"/>
              <w:rPr>
                <w:rFonts w:asciiTheme="majorHAnsi" w:hAnsiTheme="majorHAnsi" w:cstheme="majorHAnsi"/>
                <w:b/>
                <w:bCs/>
                <w:iCs/>
              </w:rPr>
            </w:pPr>
            <w:r w:rsidRPr="009A1DC8">
              <w:rPr>
                <w:rFonts w:cs="Arial"/>
                <w:b/>
              </w:rPr>
              <w:t>Total amount requested from the Global Fund</w:t>
            </w:r>
          </w:p>
        </w:tc>
        <w:tc>
          <w:tcPr>
            <w:tcW w:w="2970" w:type="dxa"/>
            <w:tcBorders>
              <w:right w:val="single" w:sz="4" w:space="0" w:color="808080" w:themeColor="background1" w:themeShade="80"/>
            </w:tcBorders>
            <w:vAlign w:val="center"/>
          </w:tcPr>
          <w:p w14:paraId="3973C5FD" w14:textId="77777777" w:rsidR="004F034A" w:rsidRPr="008C21CF" w:rsidRDefault="004F034A" w:rsidP="009B1BDA">
            <w:pPr>
              <w:spacing w:after="0"/>
              <w:ind w:right="-54"/>
              <w:rPr>
                <w:rFonts w:asciiTheme="majorHAnsi" w:hAnsiTheme="majorHAnsi" w:cstheme="majorHAnsi"/>
                <w:b/>
                <w:bCs/>
                <w:iCs/>
              </w:rPr>
            </w:pPr>
          </w:p>
        </w:tc>
      </w:tr>
    </w:tbl>
    <w:p w14:paraId="3173D754" w14:textId="2D376A89" w:rsidR="00CA674F" w:rsidRDefault="00CA674F" w:rsidP="00CA674F">
      <w:pPr>
        <w:pStyle w:val="affff3"/>
        <w:ind w:left="360"/>
        <w:rPr>
          <w:rFonts w:cs="Arial"/>
          <w:bCs/>
        </w:rPr>
      </w:pPr>
    </w:p>
    <w:p w14:paraId="6A044E20" w14:textId="1C41342D" w:rsidR="00C921BC" w:rsidRPr="0059650E" w:rsidRDefault="009835CB" w:rsidP="00C921BC">
      <w:pPr>
        <w:autoSpaceDE w:val="0"/>
        <w:autoSpaceDN w:val="0"/>
        <w:spacing w:after="0" w:line="240" w:lineRule="auto"/>
      </w:pPr>
      <w:r>
        <w:t xml:space="preserve">Specify how the </w:t>
      </w:r>
      <w:r w:rsidRPr="00151A3B">
        <w:t>accuracy and reliability of the reported results</w:t>
      </w:r>
      <w:r>
        <w:t xml:space="preserve"> will be ensured</w:t>
      </w:r>
      <w:r w:rsidRPr="00151A3B">
        <w:t>.</w:t>
      </w:r>
    </w:p>
    <w:p w14:paraId="42362067" w14:textId="77777777" w:rsidR="00C921BC" w:rsidRDefault="00C921BC" w:rsidP="00C921BC">
      <w:pPr>
        <w:spacing w:after="0" w:line="260" w:lineRule="atLeast"/>
        <w:rPr>
          <w:rFonts w:eastAsia="Calibri"/>
        </w:rPr>
      </w:pPr>
    </w:p>
    <w:tbl>
      <w:tblPr>
        <w:tblStyle w:val="aa"/>
        <w:tblW w:w="0" w:type="auto"/>
        <w:tblLook w:val="04A0" w:firstRow="1" w:lastRow="0" w:firstColumn="1" w:lastColumn="0" w:noHBand="0" w:noVBand="1"/>
      </w:tblPr>
      <w:tblGrid>
        <w:gridCol w:w="10456"/>
      </w:tblGrid>
      <w:tr w:rsidR="00C921BC" w:rsidRPr="005305D5" w14:paraId="7CB23CD6" w14:textId="77777777" w:rsidTr="00245DCD">
        <w:tc>
          <w:tcPr>
            <w:tcW w:w="10790" w:type="dxa"/>
          </w:tcPr>
          <w:p w14:paraId="7B40C467" w14:textId="77777777" w:rsidR="00C921BC" w:rsidRPr="005305D5" w:rsidRDefault="00C921BC" w:rsidP="00245DCD">
            <w:pPr>
              <w:spacing w:after="0"/>
            </w:pPr>
          </w:p>
          <w:p w14:paraId="7EBB90E2" w14:textId="77777777" w:rsidR="00C921BC" w:rsidRPr="005305D5" w:rsidRDefault="00C921BC" w:rsidP="00245DCD">
            <w:pPr>
              <w:spacing w:after="0"/>
            </w:pPr>
          </w:p>
        </w:tc>
      </w:tr>
    </w:tbl>
    <w:p w14:paraId="67E3E790" w14:textId="6A1FA61A" w:rsidR="00C921BC" w:rsidRPr="00C921BC" w:rsidRDefault="00C921BC" w:rsidP="00C921BC">
      <w:pPr>
        <w:rPr>
          <w:rFonts w:cs="Arial"/>
          <w:bCs/>
        </w:rPr>
      </w:pPr>
    </w:p>
    <w:p w14:paraId="20EC314E" w14:textId="77777777" w:rsidR="000E0ACF" w:rsidRPr="008C21CF" w:rsidRDefault="000E0ACF" w:rsidP="008B5FE3">
      <w:pPr>
        <w:pStyle w:val="affff3"/>
        <w:numPr>
          <w:ilvl w:val="0"/>
          <w:numId w:val="23"/>
        </w:numPr>
        <w:ind w:left="360"/>
        <w:jc w:val="both"/>
        <w:rPr>
          <w:rFonts w:asciiTheme="majorHAnsi" w:hAnsiTheme="majorHAnsi" w:cstheme="majorHAnsi"/>
        </w:rPr>
      </w:pPr>
      <w:r w:rsidRPr="00A57DC5">
        <w:rPr>
          <w:rFonts w:cs="Arial"/>
          <w:b/>
        </w:rPr>
        <w:t xml:space="preserve">Opportunities for integration: </w:t>
      </w:r>
      <w:r>
        <w:rPr>
          <w:rFonts w:asciiTheme="majorHAnsi" w:hAnsiTheme="majorHAnsi" w:cstheme="majorHAnsi"/>
        </w:rPr>
        <w:t>E</w:t>
      </w:r>
      <w:r w:rsidRPr="008C21CF">
        <w:rPr>
          <w:rFonts w:asciiTheme="majorHAnsi" w:hAnsiTheme="majorHAnsi" w:cstheme="majorHAnsi"/>
        </w:rPr>
        <w:t xml:space="preserve">xplain how the proposed investments take into consideration: </w:t>
      </w:r>
    </w:p>
    <w:p w14:paraId="202C3D7A" w14:textId="0C29F30B" w:rsidR="000E0ACF" w:rsidRPr="008C21CF" w:rsidRDefault="00F112AD" w:rsidP="008B5FE3">
      <w:pPr>
        <w:pStyle w:val="affff3"/>
        <w:numPr>
          <w:ilvl w:val="0"/>
          <w:numId w:val="24"/>
        </w:numPr>
        <w:spacing w:after="0"/>
        <w:jc w:val="both"/>
        <w:rPr>
          <w:rFonts w:asciiTheme="majorHAnsi" w:hAnsiTheme="majorHAnsi" w:cstheme="majorHAnsi"/>
        </w:rPr>
      </w:pPr>
      <w:r>
        <w:rPr>
          <w:rFonts w:asciiTheme="majorHAnsi" w:hAnsiTheme="majorHAnsi" w:cstheme="majorHAnsi"/>
        </w:rPr>
        <w:t>N</w:t>
      </w:r>
      <w:r w:rsidR="000E0ACF" w:rsidRPr="008C21CF">
        <w:rPr>
          <w:rFonts w:asciiTheme="majorHAnsi" w:hAnsiTheme="majorHAnsi" w:cstheme="majorHAnsi"/>
        </w:rPr>
        <w:t>eeds across</w:t>
      </w:r>
      <w:r w:rsidR="000E0ACF">
        <w:rPr>
          <w:rFonts w:asciiTheme="majorHAnsi" w:hAnsiTheme="majorHAnsi" w:cstheme="majorHAnsi"/>
        </w:rPr>
        <w:t xml:space="preserve"> the three</w:t>
      </w:r>
      <w:r w:rsidR="000E0ACF" w:rsidRPr="008C21CF">
        <w:rPr>
          <w:rFonts w:asciiTheme="majorHAnsi" w:hAnsiTheme="majorHAnsi" w:cstheme="majorHAnsi"/>
        </w:rPr>
        <w:t xml:space="preserve"> diseases and other</w:t>
      </w:r>
      <w:r w:rsidR="000E0ACF">
        <w:rPr>
          <w:rFonts w:asciiTheme="majorHAnsi" w:hAnsiTheme="majorHAnsi" w:cstheme="majorHAnsi"/>
        </w:rPr>
        <w:t xml:space="preserve"> related</w:t>
      </w:r>
      <w:r w:rsidR="000E0ACF" w:rsidRPr="008C21CF">
        <w:rPr>
          <w:rFonts w:asciiTheme="majorHAnsi" w:hAnsiTheme="majorHAnsi" w:cstheme="majorHAnsi"/>
        </w:rPr>
        <w:t xml:space="preserve"> health programs</w:t>
      </w:r>
      <w:r w:rsidR="000E0ACF">
        <w:rPr>
          <w:rFonts w:asciiTheme="majorHAnsi" w:hAnsiTheme="majorHAnsi" w:cstheme="majorHAnsi"/>
        </w:rPr>
        <w:t xml:space="preserve">; </w:t>
      </w:r>
    </w:p>
    <w:p w14:paraId="5C3F3760" w14:textId="405DA9C3" w:rsidR="000E0ACF" w:rsidRPr="008C21CF" w:rsidRDefault="00F112AD" w:rsidP="008B5FE3">
      <w:pPr>
        <w:pStyle w:val="affff9"/>
        <w:numPr>
          <w:ilvl w:val="0"/>
          <w:numId w:val="24"/>
        </w:numPr>
        <w:spacing w:after="0" w:line="240" w:lineRule="auto"/>
        <w:jc w:val="both"/>
        <w:rPr>
          <w:rFonts w:asciiTheme="majorHAnsi" w:hAnsiTheme="majorHAnsi" w:cstheme="majorHAnsi"/>
          <w:sz w:val="22"/>
          <w:szCs w:val="22"/>
        </w:rPr>
      </w:pPr>
      <w:r>
        <w:rPr>
          <w:rFonts w:asciiTheme="majorHAnsi" w:hAnsiTheme="majorHAnsi" w:cstheme="majorHAnsi"/>
          <w:sz w:val="22"/>
          <w:szCs w:val="22"/>
        </w:rPr>
        <w:t>L</w:t>
      </w:r>
      <w:r w:rsidR="000E0ACF" w:rsidRPr="008C21CF">
        <w:rPr>
          <w:rFonts w:asciiTheme="majorHAnsi" w:hAnsiTheme="majorHAnsi" w:cstheme="majorHAnsi"/>
          <w:sz w:val="22"/>
          <w:szCs w:val="22"/>
        </w:rPr>
        <w:t>inks with the broader health systems to impro</w:t>
      </w:r>
      <w:r w:rsidR="000E0ACF">
        <w:rPr>
          <w:rFonts w:asciiTheme="majorHAnsi" w:hAnsiTheme="majorHAnsi" w:cstheme="majorHAnsi"/>
          <w:sz w:val="22"/>
          <w:szCs w:val="22"/>
        </w:rPr>
        <w:t>ve disease outcomes, efficiency</w:t>
      </w:r>
      <w:r w:rsidR="000E0ACF" w:rsidRPr="008C21CF">
        <w:rPr>
          <w:rFonts w:asciiTheme="majorHAnsi" w:hAnsiTheme="majorHAnsi" w:cstheme="majorHAnsi"/>
          <w:sz w:val="22"/>
          <w:szCs w:val="22"/>
        </w:rPr>
        <w:t xml:space="preserve"> and program sustainability.</w:t>
      </w:r>
    </w:p>
    <w:p w14:paraId="003C57B6" w14:textId="77777777" w:rsidR="000E0ACF" w:rsidRPr="00B271DB" w:rsidRDefault="000E0ACF" w:rsidP="000E0ACF">
      <w:pPr>
        <w:pStyle w:val="affff3"/>
        <w:spacing w:after="0" w:line="240" w:lineRule="auto"/>
        <w:ind w:left="0"/>
        <w:rPr>
          <w:rFonts w:cs="Arial"/>
          <w:szCs w:val="20"/>
        </w:rPr>
      </w:pPr>
    </w:p>
    <w:tbl>
      <w:tblPr>
        <w:tblStyle w:val="aa"/>
        <w:tblW w:w="0" w:type="auto"/>
        <w:tblLook w:val="04A0" w:firstRow="1" w:lastRow="0" w:firstColumn="1" w:lastColumn="0" w:noHBand="0" w:noVBand="1"/>
      </w:tblPr>
      <w:tblGrid>
        <w:gridCol w:w="10456"/>
      </w:tblGrid>
      <w:tr w:rsidR="000E0ACF" w:rsidRPr="00B271DB" w14:paraId="63001F24" w14:textId="77777777" w:rsidTr="00F268A0">
        <w:tc>
          <w:tcPr>
            <w:tcW w:w="10790" w:type="dxa"/>
          </w:tcPr>
          <w:p w14:paraId="491A747E" w14:textId="7DC6813D" w:rsidR="00F00FAC" w:rsidRPr="00F95473" w:rsidRDefault="00F00FAC" w:rsidP="00C93976">
            <w:pPr>
              <w:jc w:val="both"/>
              <w:rPr>
                <w:rFonts w:asciiTheme="minorHAnsi" w:hAnsiTheme="minorHAnsi" w:cstheme="minorHAnsi"/>
                <w:color w:val="FF0000"/>
                <w:sz w:val="20"/>
                <w:szCs w:val="20"/>
                <w:lang w:val="en-GB"/>
              </w:rPr>
            </w:pPr>
            <w:r w:rsidRPr="00F95473">
              <w:rPr>
                <w:rFonts w:asciiTheme="minorHAnsi" w:hAnsiTheme="minorHAnsi" w:cstheme="minorHAnsi"/>
                <w:sz w:val="20"/>
                <w:szCs w:val="20"/>
                <w:lang w:val="en-GB"/>
              </w:rPr>
              <w:t>Key strategic documents defining the health sector approach to ending the HIV and TB epidemic in the Kyrgyz Republic include the Programme of the Government of the Kyrgyz Republic on the Protection of Health of Population and Health System Development for 2019-2030 “Healthy Person - Prosperous Country”, the Government’s Programme on responding to the HIV Epidemic for 2017-2021 as well as the Government’s Programme “Tuberculosis V” for the period 2017-2021. The State-Guaranteed Programme to provide citizens with health care determines the funded interventions in relation to these diseases. The Action Plan and Indicator Matrix for the “Healthy Person - Prosperous Country” Programme</w:t>
            </w:r>
            <w:r w:rsidRPr="00F95473">
              <w:rPr>
                <w:rFonts w:asciiTheme="minorHAnsi" w:hAnsiTheme="minorHAnsi" w:cstheme="minorHAnsi"/>
                <w:sz w:val="20"/>
                <w:szCs w:val="20"/>
                <w:vertAlign w:val="superscript"/>
                <w:lang w:val="en-GB"/>
              </w:rPr>
              <w:footnoteReference w:id="41"/>
            </w:r>
            <w:r w:rsidRPr="00F95473">
              <w:rPr>
                <w:rFonts w:asciiTheme="minorHAnsi" w:hAnsiTheme="minorHAnsi" w:cstheme="minorHAnsi"/>
                <w:sz w:val="20"/>
                <w:szCs w:val="20"/>
                <w:lang w:val="en-GB"/>
              </w:rPr>
              <w:t xml:space="preserve"> for 2019-2023 among other priority indicators based on the Sustainable Development Goals (SDGs) provides for a reduction in the number of new HIV infections to 10 per 100,000 by 2023 with a baseline of 16 per 100,000 in 2015 as well as a decrease in TB incidence to 74 per 100,000 by 2023 compared to 98.2 in 2015.</w:t>
            </w:r>
          </w:p>
          <w:p w14:paraId="16F3D2A7" w14:textId="79351384" w:rsidR="00F00FAC" w:rsidRPr="00F95473" w:rsidRDefault="00F00FAC" w:rsidP="00C93976">
            <w:pPr>
              <w:jc w:val="both"/>
              <w:rPr>
                <w:rFonts w:asciiTheme="minorHAnsi" w:hAnsiTheme="minorHAnsi" w:cstheme="minorHAnsi"/>
                <w:sz w:val="20"/>
                <w:szCs w:val="20"/>
                <w:lang w:val="en-GB"/>
              </w:rPr>
            </w:pPr>
            <w:r w:rsidRPr="00F95473">
              <w:rPr>
                <w:rFonts w:asciiTheme="minorHAnsi" w:hAnsiTheme="minorHAnsi" w:cstheme="minorHAnsi"/>
                <w:sz w:val="20"/>
                <w:szCs w:val="20"/>
                <w:lang w:val="en-GB"/>
              </w:rPr>
              <w:t xml:space="preserve">In 2019, pursuant to the decision of integrating the HIV and TB treatment, care and support services into PHC level, the </w:t>
            </w:r>
            <w:proofErr w:type="spellStart"/>
            <w:r w:rsidRPr="00F95473">
              <w:rPr>
                <w:rFonts w:asciiTheme="minorHAnsi" w:hAnsiTheme="minorHAnsi" w:cstheme="minorHAnsi"/>
                <w:sz w:val="20"/>
                <w:szCs w:val="20"/>
                <w:lang w:val="en-GB"/>
              </w:rPr>
              <w:t>MoH</w:t>
            </w:r>
            <w:proofErr w:type="spellEnd"/>
            <w:r w:rsidRPr="00F95473">
              <w:rPr>
                <w:rFonts w:asciiTheme="minorHAnsi" w:hAnsiTheme="minorHAnsi" w:cstheme="minorHAnsi"/>
                <w:sz w:val="20"/>
                <w:szCs w:val="20"/>
                <w:lang w:val="en-GB"/>
              </w:rPr>
              <w:t xml:space="preserve"> approved a decree on the decentralisation of HIV services. </w:t>
            </w:r>
            <w:proofErr w:type="gramStart"/>
            <w:r w:rsidRPr="00F95473">
              <w:rPr>
                <w:rFonts w:asciiTheme="minorHAnsi" w:hAnsiTheme="minorHAnsi" w:cstheme="minorHAnsi"/>
                <w:sz w:val="20"/>
                <w:szCs w:val="20"/>
                <w:lang w:val="en-GB"/>
              </w:rPr>
              <w:t>HIV services are provided by FMCs</w:t>
            </w:r>
            <w:proofErr w:type="gramEnd"/>
            <w:r w:rsidRPr="00F95473">
              <w:rPr>
                <w:rFonts w:asciiTheme="minorHAnsi" w:hAnsiTheme="minorHAnsi" w:cstheme="minorHAnsi"/>
                <w:sz w:val="20"/>
                <w:szCs w:val="20"/>
                <w:lang w:val="en-GB"/>
              </w:rPr>
              <w:t xml:space="preserve"> in most regions, </w:t>
            </w:r>
            <w:r w:rsidR="00162F22">
              <w:rPr>
                <w:rFonts w:asciiTheme="minorHAnsi" w:hAnsiTheme="minorHAnsi" w:cstheme="minorHAnsi"/>
                <w:sz w:val="20"/>
                <w:szCs w:val="20"/>
                <w:lang w:val="en-GB"/>
              </w:rPr>
              <w:t xml:space="preserve">and </w:t>
            </w:r>
            <w:r w:rsidRPr="00F95473">
              <w:rPr>
                <w:rFonts w:asciiTheme="minorHAnsi" w:hAnsiTheme="minorHAnsi" w:cstheme="minorHAnsi"/>
                <w:sz w:val="20"/>
                <w:szCs w:val="20"/>
                <w:lang w:val="en-GB"/>
              </w:rPr>
              <w:t xml:space="preserve">the plan for the transition to out-patient TB treatment was approved and partially implemented. </w:t>
            </w:r>
            <w:r w:rsidR="00162F22">
              <w:rPr>
                <w:rFonts w:asciiTheme="minorHAnsi" w:hAnsiTheme="minorHAnsi" w:cstheme="minorHAnsi"/>
                <w:sz w:val="20"/>
                <w:szCs w:val="20"/>
                <w:lang w:val="en-GB"/>
              </w:rPr>
              <w:t>By</w:t>
            </w:r>
            <w:r w:rsidRPr="00F95473">
              <w:rPr>
                <w:rFonts w:asciiTheme="minorHAnsi" w:hAnsiTheme="minorHAnsi" w:cstheme="minorHAnsi"/>
                <w:sz w:val="20"/>
                <w:szCs w:val="20"/>
                <w:lang w:val="en-GB"/>
              </w:rPr>
              <w:t xml:space="preserve"> March 2020, the hospital bed capacity of the TB service </w:t>
            </w:r>
            <w:proofErr w:type="gramStart"/>
            <w:r w:rsidRPr="00F95473">
              <w:rPr>
                <w:rFonts w:asciiTheme="minorHAnsi" w:hAnsiTheme="minorHAnsi" w:cstheme="minorHAnsi"/>
                <w:sz w:val="20"/>
                <w:szCs w:val="20"/>
                <w:lang w:val="en-GB"/>
              </w:rPr>
              <w:t>was reduced</w:t>
            </w:r>
            <w:proofErr w:type="gramEnd"/>
            <w:r w:rsidRPr="00F95473">
              <w:rPr>
                <w:rFonts w:asciiTheme="minorHAnsi" w:hAnsiTheme="minorHAnsi" w:cstheme="minorHAnsi"/>
                <w:sz w:val="20"/>
                <w:szCs w:val="20"/>
                <w:lang w:val="en-GB"/>
              </w:rPr>
              <w:t xml:space="preserve"> by about 30% (over 1,000 beds). Five TB hospitals (20%) had been transferred to the public health system, and comprehensive out-patient treatment is being expanded </w:t>
            </w:r>
            <w:r w:rsidR="001C0D71">
              <w:rPr>
                <w:rFonts w:asciiTheme="minorHAnsi" w:hAnsiTheme="minorHAnsi" w:cstheme="minorHAnsi"/>
                <w:sz w:val="20"/>
                <w:szCs w:val="20"/>
                <w:lang w:val="en-GB"/>
              </w:rPr>
              <w:t>at</w:t>
            </w:r>
            <w:r w:rsidRPr="00F95473">
              <w:rPr>
                <w:rFonts w:asciiTheme="minorHAnsi" w:hAnsiTheme="minorHAnsi" w:cstheme="minorHAnsi"/>
                <w:sz w:val="20"/>
                <w:szCs w:val="20"/>
                <w:lang w:val="en-GB"/>
              </w:rPr>
              <w:t xml:space="preserve"> the </w:t>
            </w:r>
            <w:r w:rsidR="001C0D71">
              <w:rPr>
                <w:rFonts w:asciiTheme="minorHAnsi" w:hAnsiTheme="minorHAnsi" w:cstheme="minorHAnsi"/>
                <w:sz w:val="20"/>
                <w:szCs w:val="20"/>
                <w:lang w:val="en-GB"/>
              </w:rPr>
              <w:t>level</w:t>
            </w:r>
            <w:r w:rsidRPr="00F95473">
              <w:rPr>
                <w:rFonts w:asciiTheme="minorHAnsi" w:hAnsiTheme="minorHAnsi" w:cstheme="minorHAnsi"/>
                <w:sz w:val="20"/>
                <w:szCs w:val="20"/>
                <w:lang w:val="en-GB"/>
              </w:rPr>
              <w:t xml:space="preserve"> of Oblasts TB centres and </w:t>
            </w:r>
            <w:proofErr w:type="gramStart"/>
            <w:r w:rsidRPr="00F95473">
              <w:rPr>
                <w:rFonts w:asciiTheme="minorHAnsi" w:hAnsiTheme="minorHAnsi" w:cstheme="minorHAnsi"/>
                <w:sz w:val="20"/>
                <w:szCs w:val="20"/>
                <w:lang w:val="en-GB"/>
              </w:rPr>
              <w:t>FMCs .</w:t>
            </w:r>
            <w:proofErr w:type="gramEnd"/>
            <w:r w:rsidRPr="00F95473">
              <w:rPr>
                <w:rFonts w:asciiTheme="minorHAnsi" w:hAnsiTheme="minorHAnsi" w:cstheme="minorHAnsi"/>
                <w:sz w:val="20"/>
                <w:szCs w:val="20"/>
                <w:lang w:val="en-GB"/>
              </w:rPr>
              <w:t xml:space="preserve"> Currently, over 30% of TB patients are under full out-patient treatment at PHC level. Since 2017, TB programmes have </w:t>
            </w:r>
            <w:proofErr w:type="gramStart"/>
            <w:r w:rsidRPr="00F95473">
              <w:rPr>
                <w:rFonts w:asciiTheme="minorHAnsi" w:hAnsiTheme="minorHAnsi" w:cstheme="minorHAnsi"/>
                <w:sz w:val="20"/>
                <w:szCs w:val="20"/>
                <w:lang w:val="en-GB"/>
              </w:rPr>
              <w:t>been funded</w:t>
            </w:r>
            <w:proofErr w:type="gramEnd"/>
            <w:r w:rsidRPr="00F95473">
              <w:rPr>
                <w:rFonts w:asciiTheme="minorHAnsi" w:hAnsiTheme="minorHAnsi" w:cstheme="minorHAnsi"/>
                <w:sz w:val="20"/>
                <w:szCs w:val="20"/>
                <w:lang w:val="en-GB"/>
              </w:rPr>
              <w:t xml:space="preserve"> through MHIF, funds saved from reducing the number of beds were reallocated to the procurement of TB drugs and to incentive payments to PHC workers for cured cases in the pilot regions. Next to the ongoing measures to optimise TB services, it </w:t>
            </w:r>
            <w:proofErr w:type="gramStart"/>
            <w:r w:rsidRPr="00F95473">
              <w:rPr>
                <w:rFonts w:asciiTheme="minorHAnsi" w:hAnsiTheme="minorHAnsi" w:cstheme="minorHAnsi"/>
                <w:sz w:val="20"/>
                <w:szCs w:val="20"/>
                <w:lang w:val="en-GB"/>
              </w:rPr>
              <w:t>is planned</w:t>
            </w:r>
            <w:proofErr w:type="gramEnd"/>
            <w:r w:rsidRPr="00F95473">
              <w:rPr>
                <w:rFonts w:asciiTheme="minorHAnsi" w:hAnsiTheme="minorHAnsi" w:cstheme="minorHAnsi"/>
                <w:sz w:val="20"/>
                <w:szCs w:val="20"/>
                <w:lang w:val="en-GB"/>
              </w:rPr>
              <w:t xml:space="preserve"> to further reduce the number of beds, increase domestic funding for second-line TB drugs and expand the performance-based payment model for cured TB patients to other regions of the country as well as to support the sputum specimen transportation system. </w:t>
            </w:r>
          </w:p>
          <w:p w14:paraId="22E51215" w14:textId="1BC28D31" w:rsidR="00F00FAC" w:rsidRPr="00F95473" w:rsidRDefault="00F00FAC" w:rsidP="00C93976">
            <w:pPr>
              <w:jc w:val="both"/>
              <w:rPr>
                <w:rFonts w:asciiTheme="minorHAnsi" w:hAnsiTheme="minorHAnsi" w:cstheme="minorHAnsi"/>
                <w:sz w:val="20"/>
                <w:szCs w:val="20"/>
                <w:lang w:val="en-GB"/>
              </w:rPr>
            </w:pPr>
            <w:r w:rsidRPr="00F95473">
              <w:rPr>
                <w:rFonts w:asciiTheme="minorHAnsi" w:hAnsiTheme="minorHAnsi" w:cstheme="minorHAnsi"/>
                <w:sz w:val="20"/>
                <w:szCs w:val="20"/>
                <w:lang w:val="en-GB"/>
              </w:rPr>
              <w:t xml:space="preserve">At the same time, laboratories diagnosing HIV and TB </w:t>
            </w:r>
            <w:proofErr w:type="gramStart"/>
            <w:r w:rsidRPr="00F95473">
              <w:rPr>
                <w:rFonts w:asciiTheme="minorHAnsi" w:hAnsiTheme="minorHAnsi" w:cstheme="minorHAnsi"/>
                <w:sz w:val="20"/>
                <w:szCs w:val="20"/>
                <w:lang w:val="en-GB"/>
              </w:rPr>
              <w:t>were optimised</w:t>
            </w:r>
            <w:proofErr w:type="gramEnd"/>
            <w:r w:rsidRPr="00F95473">
              <w:rPr>
                <w:rFonts w:asciiTheme="minorHAnsi" w:hAnsiTheme="minorHAnsi" w:cstheme="minorHAnsi"/>
                <w:sz w:val="20"/>
                <w:szCs w:val="20"/>
                <w:lang w:val="en-GB"/>
              </w:rPr>
              <w:t xml:space="preserve"> in 2018-2019. With the increased number of GeneXpert platforms to 24, of which more than 60% are based at PHC level, and the establishment of the transportation system for the delivery of specimens to culture examination centres at the regional level and to NRL </w:t>
            </w:r>
            <w:r w:rsidRPr="00F95473">
              <w:rPr>
                <w:rFonts w:asciiTheme="minorHAnsi" w:hAnsiTheme="minorHAnsi" w:cstheme="minorHAnsi"/>
                <w:sz w:val="20"/>
                <w:szCs w:val="20"/>
                <w:lang w:val="en-GB"/>
              </w:rPr>
              <w:lastRenderedPageBreak/>
              <w:t xml:space="preserve">for drug sensitivity tests, the number of microscopic laboratories at PHC level has </w:t>
            </w:r>
            <w:proofErr w:type="gramStart"/>
            <w:r w:rsidRPr="00F95473">
              <w:rPr>
                <w:rFonts w:asciiTheme="minorHAnsi" w:hAnsiTheme="minorHAnsi" w:cstheme="minorHAnsi"/>
                <w:sz w:val="20"/>
                <w:szCs w:val="20"/>
                <w:lang w:val="en-GB"/>
              </w:rPr>
              <w:t>been reduced</w:t>
            </w:r>
            <w:proofErr w:type="gramEnd"/>
            <w:r w:rsidRPr="00F95473">
              <w:rPr>
                <w:rFonts w:asciiTheme="minorHAnsi" w:hAnsiTheme="minorHAnsi" w:cstheme="minorHAnsi"/>
                <w:sz w:val="20"/>
                <w:szCs w:val="20"/>
                <w:lang w:val="en-GB"/>
              </w:rPr>
              <w:t xml:space="preserve"> by 10%. TB and HIV services plan to conduct peer-to-peer training to promote the shared use of existing platforms.</w:t>
            </w:r>
          </w:p>
          <w:p w14:paraId="48F3790F" w14:textId="77777777" w:rsidR="00F00FAC" w:rsidRPr="00F95473" w:rsidRDefault="00F00FAC" w:rsidP="00C93976">
            <w:pPr>
              <w:jc w:val="both"/>
              <w:rPr>
                <w:rFonts w:asciiTheme="minorHAnsi" w:hAnsiTheme="minorHAnsi" w:cstheme="minorHAnsi"/>
                <w:sz w:val="20"/>
                <w:szCs w:val="20"/>
                <w:lang w:val="en-GB"/>
              </w:rPr>
            </w:pPr>
            <w:r w:rsidRPr="00F95473">
              <w:rPr>
                <w:rFonts w:asciiTheme="minorHAnsi" w:hAnsiTheme="minorHAnsi" w:cstheme="minorHAnsi"/>
                <w:sz w:val="20"/>
                <w:szCs w:val="20"/>
                <w:lang w:val="en-GB"/>
              </w:rPr>
              <w:t xml:space="preserve">This funding request, among other priorities, provides for the continuation of these activities. It </w:t>
            </w:r>
            <w:proofErr w:type="gramStart"/>
            <w:r w:rsidRPr="00F95473">
              <w:rPr>
                <w:rFonts w:asciiTheme="minorHAnsi" w:hAnsiTheme="minorHAnsi" w:cstheme="minorHAnsi"/>
                <w:sz w:val="20"/>
                <w:szCs w:val="20"/>
                <w:lang w:val="en-GB"/>
              </w:rPr>
              <w:t>is planned</w:t>
            </w:r>
            <w:proofErr w:type="gramEnd"/>
            <w:r w:rsidRPr="00F95473">
              <w:rPr>
                <w:rFonts w:asciiTheme="minorHAnsi" w:hAnsiTheme="minorHAnsi" w:cstheme="minorHAnsi"/>
                <w:sz w:val="20"/>
                <w:szCs w:val="20"/>
                <w:lang w:val="en-GB"/>
              </w:rPr>
              <w:t xml:space="preserve"> that HIV and TB MDTs and substitution therapy centres will be based at FMCs. The activities of NGOs providing services for key populations will also </w:t>
            </w:r>
            <w:proofErr w:type="gramStart"/>
            <w:r w:rsidRPr="00F95473">
              <w:rPr>
                <w:rFonts w:asciiTheme="minorHAnsi" w:hAnsiTheme="minorHAnsi" w:cstheme="minorHAnsi"/>
                <w:sz w:val="20"/>
                <w:szCs w:val="20"/>
                <w:lang w:val="en-GB"/>
              </w:rPr>
              <w:t>be built</w:t>
            </w:r>
            <w:proofErr w:type="gramEnd"/>
            <w:r w:rsidRPr="00F95473">
              <w:rPr>
                <w:rFonts w:asciiTheme="minorHAnsi" w:hAnsiTheme="minorHAnsi" w:cstheme="minorHAnsi"/>
                <w:sz w:val="20"/>
                <w:szCs w:val="20"/>
                <w:lang w:val="en-GB"/>
              </w:rPr>
              <w:t xml:space="preserve"> around FMCs, and outreach workers will accompany their clients to FMCs to confirm the diagnosis and subsequent treatment, care and support. This approach will strengthen the capacity at PHC level to provide HIV and TB services. At the same time, NTP and RAC will coordinate, monitor and provide on-the-job trainings in targeted regions as part of ongoing activities to respond to TB, HIV and co-infection.</w:t>
            </w:r>
          </w:p>
          <w:p w14:paraId="3F780E97" w14:textId="77777777" w:rsidR="00F00FAC" w:rsidRPr="00F95473" w:rsidRDefault="00F00FAC" w:rsidP="00C93976">
            <w:pPr>
              <w:jc w:val="both"/>
              <w:rPr>
                <w:rFonts w:asciiTheme="minorHAnsi" w:hAnsiTheme="minorHAnsi" w:cstheme="minorHAnsi"/>
                <w:sz w:val="20"/>
                <w:szCs w:val="20"/>
                <w:lang w:val="en-GB"/>
              </w:rPr>
            </w:pPr>
            <w:r w:rsidRPr="00F95473">
              <w:rPr>
                <w:rFonts w:asciiTheme="minorHAnsi" w:hAnsiTheme="minorHAnsi" w:cstheme="minorHAnsi"/>
                <w:sz w:val="20"/>
                <w:szCs w:val="20"/>
                <w:lang w:val="en-GB"/>
              </w:rPr>
              <w:t xml:space="preserve">Starting in 2018, </w:t>
            </w:r>
            <w:proofErr w:type="spellStart"/>
            <w:r w:rsidRPr="00F95473">
              <w:rPr>
                <w:rFonts w:asciiTheme="minorHAnsi" w:hAnsiTheme="minorHAnsi" w:cstheme="minorHAnsi"/>
                <w:sz w:val="20"/>
                <w:szCs w:val="20"/>
                <w:lang w:val="en-GB"/>
              </w:rPr>
              <w:t>MoH</w:t>
            </w:r>
            <w:proofErr w:type="spellEnd"/>
            <w:r w:rsidRPr="00F95473">
              <w:rPr>
                <w:rFonts w:asciiTheme="minorHAnsi" w:hAnsiTheme="minorHAnsi" w:cstheme="minorHAnsi"/>
                <w:sz w:val="20"/>
                <w:szCs w:val="20"/>
                <w:lang w:val="en-GB"/>
              </w:rPr>
              <w:t xml:space="preserve"> was expanding the procurement of TB and HIV drugs from the state budget. </w:t>
            </w:r>
            <w:proofErr w:type="spellStart"/>
            <w:r w:rsidRPr="00F95473">
              <w:rPr>
                <w:rFonts w:asciiTheme="minorHAnsi" w:hAnsiTheme="minorHAnsi" w:cstheme="minorHAnsi"/>
                <w:sz w:val="20"/>
                <w:szCs w:val="20"/>
                <w:lang w:val="en-GB"/>
              </w:rPr>
              <w:t>MoH</w:t>
            </w:r>
            <w:proofErr w:type="spellEnd"/>
            <w:r w:rsidRPr="00F95473">
              <w:rPr>
                <w:rFonts w:asciiTheme="minorHAnsi" w:hAnsiTheme="minorHAnsi" w:cstheme="minorHAnsi"/>
                <w:sz w:val="20"/>
                <w:szCs w:val="20"/>
                <w:lang w:val="en-GB"/>
              </w:rPr>
              <w:t xml:space="preserve"> has developed standard operating procedures (SOPs) for the management of ARV drugs, which include the distribution of drugs to adherent PLHIV for up to 12 months. Simultaneously, the first procurements demonstrated the need to improve drug and test storage facilities, expand their area, introduce mechanisms for the distribution to FMCs and Family Group Practitioners (FGPs), and strengthen the supply monitoring mechanisms. The funding request includes measures to resolve these issues together with partners, to improve health products’ storage conditions, assess the national supply chain capacities, efficiencies of transport of drugs to FMCs, and introduce a module for monitoring drug stocks in the existing HIV ESS. One of the persisting problems is the lack of high-quality, affordable second-line TB medicines in the country's market, and the unconfirmed quality of the first-line TB drugs. In this regard, the funding request proposes measures to expand access to drug procurement through international platforms and use TRIPS flexibilities.</w:t>
            </w:r>
          </w:p>
          <w:p w14:paraId="7BD47E09" w14:textId="77777777" w:rsidR="00F00FAC" w:rsidRPr="00F95473" w:rsidRDefault="00F00FAC" w:rsidP="00C93976">
            <w:pPr>
              <w:spacing w:after="0"/>
              <w:jc w:val="both"/>
              <w:rPr>
                <w:rFonts w:asciiTheme="minorHAnsi" w:hAnsiTheme="minorHAnsi" w:cstheme="minorHAnsi"/>
                <w:sz w:val="20"/>
                <w:szCs w:val="20"/>
              </w:rPr>
            </w:pPr>
            <w:r w:rsidRPr="00F95473">
              <w:rPr>
                <w:rFonts w:asciiTheme="minorHAnsi" w:hAnsiTheme="minorHAnsi" w:cstheme="minorHAnsi"/>
                <w:sz w:val="20"/>
                <w:szCs w:val="20"/>
                <w:lang w:val="en-GB"/>
              </w:rPr>
              <w:t xml:space="preserve">The Kyrgyz Republic has taken </w:t>
            </w:r>
            <w:proofErr w:type="gramStart"/>
            <w:r w:rsidRPr="00F95473">
              <w:rPr>
                <w:rFonts w:asciiTheme="minorHAnsi" w:hAnsiTheme="minorHAnsi" w:cstheme="minorHAnsi"/>
                <w:sz w:val="20"/>
                <w:szCs w:val="20"/>
                <w:lang w:val="en-GB"/>
              </w:rPr>
              <w:t>a number of</w:t>
            </w:r>
            <w:proofErr w:type="gramEnd"/>
            <w:r w:rsidRPr="00F95473">
              <w:rPr>
                <w:rFonts w:asciiTheme="minorHAnsi" w:hAnsiTheme="minorHAnsi" w:cstheme="minorHAnsi"/>
                <w:sz w:val="20"/>
                <w:szCs w:val="20"/>
                <w:lang w:val="en-GB"/>
              </w:rPr>
              <w:t xml:space="preserve"> steps to increase government participation in the financing of HIV programmes. In 2018-2020, 169 million KGS (2,431 million USD) were allocated from the state budget for ARV drugs, tests and state social contracting; the financing increased 20 times from 3 million KGS in 2016 to 63 million KGS in 2019. At the same time, the allocated amount is insufficient to fully cover the need for tests and ARV drugs. The country must still partially cover ARV drugs from the GF funds</w:t>
            </w:r>
            <w:proofErr w:type="gramStart"/>
            <w:r w:rsidRPr="00F95473">
              <w:rPr>
                <w:rFonts w:asciiTheme="minorHAnsi" w:hAnsiTheme="minorHAnsi" w:cstheme="minorHAnsi"/>
                <w:sz w:val="20"/>
                <w:szCs w:val="20"/>
                <w:lang w:val="en-GB"/>
              </w:rPr>
              <w:t>, in particular, the</w:t>
            </w:r>
            <w:proofErr w:type="gramEnd"/>
            <w:r w:rsidRPr="00F95473">
              <w:rPr>
                <w:rFonts w:asciiTheme="minorHAnsi" w:hAnsiTheme="minorHAnsi" w:cstheme="minorHAnsi"/>
                <w:sz w:val="20"/>
                <w:szCs w:val="20"/>
                <w:lang w:val="en-GB"/>
              </w:rPr>
              <w:t xml:space="preserve"> expensive patented second-line and ARV drugs for children (lopinavir/ ritonavir, darunavir, etc.). Support </w:t>
            </w:r>
            <w:proofErr w:type="gramStart"/>
            <w:r w:rsidRPr="00F95473">
              <w:rPr>
                <w:rFonts w:asciiTheme="minorHAnsi" w:hAnsiTheme="minorHAnsi" w:cstheme="minorHAnsi"/>
                <w:sz w:val="20"/>
                <w:szCs w:val="20"/>
                <w:lang w:val="en-GB"/>
              </w:rPr>
              <w:t>is also required</w:t>
            </w:r>
            <w:proofErr w:type="gramEnd"/>
            <w:r w:rsidRPr="00F95473">
              <w:rPr>
                <w:rFonts w:asciiTheme="minorHAnsi" w:hAnsiTheme="minorHAnsi" w:cstheme="minorHAnsi"/>
                <w:sz w:val="20"/>
                <w:szCs w:val="20"/>
                <w:lang w:val="en-GB"/>
              </w:rPr>
              <w:t xml:space="preserve"> for the procurement of rapid tests, viral load and CD-4 tests. At the same time, the state budget provides funds for prevention programmes for key populations (3 million KGS) due to the limited financial capabilities and regulatory and legal barriers to expanded financing of prevention programmes. This requires maintaining GF investments that support the prevention for key populations until domestic financing increases to an adequate level and the elimination of regulatory and legal barriers can ensure expanding prevention programmes for key populations through public funding.</w:t>
            </w:r>
          </w:p>
          <w:p w14:paraId="0E3A05E0" w14:textId="77777777" w:rsidR="000E0ACF" w:rsidRPr="00F95473" w:rsidRDefault="000E0ACF" w:rsidP="00C93976">
            <w:pPr>
              <w:jc w:val="both"/>
              <w:rPr>
                <w:rFonts w:asciiTheme="minorHAnsi" w:hAnsiTheme="minorHAnsi" w:cstheme="minorHAnsi"/>
                <w:sz w:val="20"/>
                <w:szCs w:val="20"/>
              </w:rPr>
            </w:pPr>
          </w:p>
        </w:tc>
      </w:tr>
    </w:tbl>
    <w:p w14:paraId="3D813572" w14:textId="77777777" w:rsidR="000E0ACF" w:rsidRDefault="000E0ACF" w:rsidP="000E0ACF">
      <w:pPr>
        <w:pStyle w:val="affff3"/>
        <w:spacing w:after="0"/>
        <w:ind w:left="360"/>
        <w:jc w:val="both"/>
        <w:rPr>
          <w:rFonts w:cs="Arial"/>
          <w:bCs/>
          <w:iCs/>
        </w:rPr>
      </w:pPr>
    </w:p>
    <w:p w14:paraId="74D7F96A" w14:textId="3308087C" w:rsidR="00C07F83" w:rsidRPr="00C07F83" w:rsidRDefault="00561767" w:rsidP="008B5FE3">
      <w:pPr>
        <w:pStyle w:val="affff3"/>
        <w:numPr>
          <w:ilvl w:val="0"/>
          <w:numId w:val="23"/>
        </w:numPr>
        <w:spacing w:after="0"/>
        <w:ind w:left="360"/>
        <w:jc w:val="both"/>
        <w:rPr>
          <w:rFonts w:cs="Arial"/>
          <w:bCs/>
          <w:iCs/>
        </w:rPr>
      </w:pPr>
      <w:r>
        <w:rPr>
          <w:rFonts w:cs="Arial"/>
          <w:bCs/>
          <w:iCs/>
        </w:rPr>
        <w:t>Summariz</w:t>
      </w:r>
      <w:r w:rsidR="00C07F83" w:rsidRPr="00C07F83">
        <w:rPr>
          <w:rFonts w:cs="Arial"/>
          <w:bCs/>
          <w:iCs/>
        </w:rPr>
        <w:t xml:space="preserve">e how the funding request complies with the </w:t>
      </w:r>
      <w:r w:rsidR="00F401B6">
        <w:rPr>
          <w:rFonts w:cs="Arial"/>
          <w:b/>
          <w:bCs/>
          <w:iCs/>
        </w:rPr>
        <w:t>application focus</w:t>
      </w:r>
      <w:r w:rsidR="00C07F83" w:rsidRPr="0096146C">
        <w:rPr>
          <w:rFonts w:cs="Arial"/>
          <w:b/>
          <w:bCs/>
          <w:iCs/>
        </w:rPr>
        <w:t xml:space="preserve"> requirements</w:t>
      </w:r>
      <w:r w:rsidR="00C07F83" w:rsidRPr="00C07F83">
        <w:rPr>
          <w:rFonts w:cs="Arial"/>
          <w:bCs/>
          <w:iCs/>
        </w:rPr>
        <w:t xml:space="preserve"> specified in the allocation letter.</w:t>
      </w:r>
    </w:p>
    <w:p w14:paraId="13E5C065" w14:textId="47583716" w:rsidR="00C07F83" w:rsidRDefault="00C07F83" w:rsidP="00BE0F0C">
      <w:pPr>
        <w:spacing w:after="0"/>
        <w:rPr>
          <w:rFonts w:cs="Arial"/>
        </w:rPr>
      </w:pPr>
    </w:p>
    <w:tbl>
      <w:tblPr>
        <w:tblStyle w:val="aa"/>
        <w:tblW w:w="0" w:type="auto"/>
        <w:tblLook w:val="04A0" w:firstRow="1" w:lastRow="0" w:firstColumn="1" w:lastColumn="0" w:noHBand="0" w:noVBand="1"/>
      </w:tblPr>
      <w:tblGrid>
        <w:gridCol w:w="10456"/>
      </w:tblGrid>
      <w:tr w:rsidR="00C07F83" w14:paraId="4DBEFCEF" w14:textId="77777777" w:rsidTr="00C07F83">
        <w:tc>
          <w:tcPr>
            <w:tcW w:w="10456" w:type="dxa"/>
          </w:tcPr>
          <w:p w14:paraId="3C62E87C" w14:textId="107E540E" w:rsidR="00F00FAC" w:rsidRPr="00A17F22" w:rsidRDefault="00F00FAC" w:rsidP="00F00FAC">
            <w:pPr>
              <w:jc w:val="both"/>
              <w:rPr>
                <w:rFonts w:asciiTheme="minorHAnsi" w:hAnsiTheme="minorHAnsi"/>
                <w:sz w:val="20"/>
                <w:lang w:val="en-GB"/>
              </w:rPr>
            </w:pPr>
            <w:r w:rsidRPr="00436195">
              <w:rPr>
                <w:rFonts w:asciiTheme="minorHAnsi" w:hAnsiTheme="minorHAnsi"/>
                <w:sz w:val="20"/>
                <w:lang w:val="en-GB"/>
              </w:rPr>
              <w:t xml:space="preserve">The funding request contributes to the national health strategy priorities of strengthening PHC, streamlining and improving the quality of laboratory services and ensuring the availability of drugs through strengthening those areas which </w:t>
            </w:r>
            <w:proofErr w:type="gramStart"/>
            <w:r w:rsidRPr="00436195">
              <w:rPr>
                <w:rFonts w:asciiTheme="minorHAnsi" w:hAnsiTheme="minorHAnsi"/>
                <w:sz w:val="20"/>
                <w:lang w:val="en-GB"/>
              </w:rPr>
              <w:t>are not adequately covered</w:t>
            </w:r>
            <w:proofErr w:type="gramEnd"/>
            <w:r w:rsidRPr="00436195">
              <w:rPr>
                <w:rFonts w:asciiTheme="minorHAnsi" w:hAnsiTheme="minorHAnsi"/>
                <w:sz w:val="20"/>
                <w:lang w:val="en-GB"/>
              </w:rPr>
              <w:t xml:space="preserve"> by domestic funding or other donors. The component on health systems</w:t>
            </w:r>
            <w:r>
              <w:rPr>
                <w:rFonts w:asciiTheme="minorHAnsi" w:hAnsiTheme="minorHAnsi"/>
                <w:sz w:val="20"/>
                <w:lang w:val="en-GB"/>
              </w:rPr>
              <w:t xml:space="preserve"> </w:t>
            </w:r>
            <w:r w:rsidRPr="00436195">
              <w:rPr>
                <w:rFonts w:asciiTheme="minorHAnsi" w:hAnsiTheme="minorHAnsi"/>
                <w:sz w:val="20"/>
                <w:lang w:val="en-GB"/>
              </w:rPr>
              <w:t xml:space="preserve">strengthening includes interventions aimed at </w:t>
            </w:r>
            <w:r>
              <w:rPr>
                <w:rFonts w:asciiTheme="minorHAnsi" w:hAnsiTheme="minorHAnsi"/>
                <w:sz w:val="20"/>
                <w:lang w:val="en-GB"/>
              </w:rPr>
              <w:t>developing</w:t>
            </w:r>
            <w:r w:rsidRPr="00436195">
              <w:rPr>
                <w:rFonts w:asciiTheme="minorHAnsi" w:hAnsiTheme="minorHAnsi"/>
                <w:sz w:val="20"/>
                <w:lang w:val="en-GB"/>
              </w:rPr>
              <w:t xml:space="preserve"> the capacity of PHC staff </w:t>
            </w:r>
            <w:r>
              <w:rPr>
                <w:rFonts w:asciiTheme="minorHAnsi" w:hAnsiTheme="minorHAnsi"/>
                <w:sz w:val="20"/>
                <w:lang w:val="en-GB"/>
              </w:rPr>
              <w:t xml:space="preserve">to deliver </w:t>
            </w:r>
            <w:r w:rsidRPr="00436195">
              <w:rPr>
                <w:rFonts w:asciiTheme="minorHAnsi" w:hAnsiTheme="minorHAnsi"/>
                <w:sz w:val="20"/>
                <w:lang w:val="en-GB"/>
              </w:rPr>
              <w:t xml:space="preserve">HIV and TB services, </w:t>
            </w:r>
            <w:r>
              <w:rPr>
                <w:rFonts w:asciiTheme="minorHAnsi" w:hAnsiTheme="minorHAnsi"/>
                <w:sz w:val="20"/>
                <w:lang w:val="en-GB"/>
              </w:rPr>
              <w:t>strengthening the coordination between specialis</w:t>
            </w:r>
            <w:r w:rsidRPr="00436195">
              <w:rPr>
                <w:rFonts w:asciiTheme="minorHAnsi" w:hAnsiTheme="minorHAnsi"/>
                <w:sz w:val="20"/>
                <w:lang w:val="en-GB"/>
              </w:rPr>
              <w:t xml:space="preserve">ed TB, AIDS </w:t>
            </w:r>
            <w:r w:rsidR="00C93976" w:rsidRPr="00436195">
              <w:rPr>
                <w:rFonts w:asciiTheme="minorHAnsi" w:hAnsiTheme="minorHAnsi"/>
                <w:sz w:val="20"/>
                <w:lang w:val="en-GB"/>
              </w:rPr>
              <w:t>centres</w:t>
            </w:r>
            <w:r w:rsidRPr="00436195">
              <w:rPr>
                <w:rFonts w:asciiTheme="minorHAnsi" w:hAnsiTheme="minorHAnsi"/>
                <w:sz w:val="20"/>
                <w:lang w:val="en-GB"/>
              </w:rPr>
              <w:t xml:space="preserve"> and PHC facilities</w:t>
            </w:r>
            <w:r>
              <w:rPr>
                <w:rFonts w:asciiTheme="minorHAnsi" w:hAnsiTheme="minorHAnsi"/>
                <w:sz w:val="20"/>
                <w:lang w:val="en-GB"/>
              </w:rPr>
              <w:t>, improving</w:t>
            </w:r>
            <w:r w:rsidRPr="00436195">
              <w:rPr>
                <w:rFonts w:asciiTheme="minorHAnsi" w:hAnsiTheme="minorHAnsi"/>
                <w:sz w:val="20"/>
                <w:lang w:val="en-GB"/>
              </w:rPr>
              <w:t xml:space="preserve"> procurement mechanisms, storage</w:t>
            </w:r>
            <w:r>
              <w:rPr>
                <w:rFonts w:asciiTheme="minorHAnsi" w:hAnsiTheme="minorHAnsi"/>
                <w:sz w:val="20"/>
                <w:lang w:val="en-GB"/>
              </w:rPr>
              <w:t>,</w:t>
            </w:r>
            <w:r w:rsidRPr="00436195">
              <w:rPr>
                <w:rFonts w:asciiTheme="minorHAnsi" w:hAnsiTheme="minorHAnsi"/>
                <w:sz w:val="20"/>
                <w:lang w:val="en-GB"/>
              </w:rPr>
              <w:t xml:space="preserve"> and distribution of drugs, and modules to </w:t>
            </w:r>
            <w:r>
              <w:rPr>
                <w:rFonts w:asciiTheme="minorHAnsi" w:hAnsiTheme="minorHAnsi"/>
                <w:sz w:val="20"/>
                <w:lang w:val="en-GB"/>
              </w:rPr>
              <w:t>monitor</w:t>
            </w:r>
            <w:r w:rsidRPr="00436195">
              <w:rPr>
                <w:rFonts w:asciiTheme="minorHAnsi" w:hAnsiTheme="minorHAnsi"/>
                <w:sz w:val="20"/>
                <w:lang w:val="en-GB"/>
              </w:rPr>
              <w:t xml:space="preserve"> HIV drug stocks. Furthermore, given the increase in medicine procurement as part of domestic funding, the funding request aims at improving the national procurement monitoring interventions, regular monitoring of drug stocks and enhancing the role of </w:t>
            </w:r>
            <w:r>
              <w:rPr>
                <w:rFonts w:asciiTheme="minorHAnsi" w:hAnsiTheme="minorHAnsi"/>
                <w:sz w:val="20"/>
                <w:lang w:val="en-GB"/>
              </w:rPr>
              <w:t xml:space="preserve">the </w:t>
            </w:r>
            <w:r w:rsidRPr="00436195">
              <w:rPr>
                <w:rFonts w:asciiTheme="minorHAnsi" w:hAnsiTheme="minorHAnsi"/>
                <w:sz w:val="20"/>
                <w:lang w:val="en-GB"/>
              </w:rPr>
              <w:t xml:space="preserve">Board of Trustees under TB and HIV services </w:t>
            </w:r>
            <w:r>
              <w:rPr>
                <w:rFonts w:asciiTheme="minorHAnsi" w:hAnsiTheme="minorHAnsi"/>
                <w:sz w:val="20"/>
                <w:lang w:val="en-GB"/>
              </w:rPr>
              <w:t xml:space="preserve">together </w:t>
            </w:r>
            <w:r w:rsidRPr="00436195">
              <w:rPr>
                <w:rFonts w:asciiTheme="minorHAnsi" w:hAnsiTheme="minorHAnsi"/>
                <w:sz w:val="20"/>
                <w:lang w:val="en-GB"/>
              </w:rPr>
              <w:t>with community involvement. At the same time, the program</w:t>
            </w:r>
            <w:r>
              <w:rPr>
                <w:rFonts w:asciiTheme="minorHAnsi" w:hAnsiTheme="minorHAnsi"/>
                <w:sz w:val="20"/>
                <w:lang w:val="en-GB"/>
              </w:rPr>
              <w:t>me</w:t>
            </w:r>
            <w:r w:rsidRPr="00436195">
              <w:rPr>
                <w:rFonts w:asciiTheme="minorHAnsi" w:hAnsiTheme="minorHAnsi"/>
                <w:sz w:val="20"/>
                <w:lang w:val="en-GB"/>
              </w:rPr>
              <w:t xml:space="preserve"> management costs were reduced substantially </w:t>
            </w:r>
            <w:proofErr w:type="gramStart"/>
            <w:r w:rsidRPr="00436195">
              <w:rPr>
                <w:rFonts w:asciiTheme="minorHAnsi" w:hAnsiTheme="minorHAnsi"/>
                <w:sz w:val="20"/>
                <w:lang w:val="en-GB"/>
              </w:rPr>
              <w:t xml:space="preserve">as </w:t>
            </w:r>
            <w:r>
              <w:rPr>
                <w:rFonts w:asciiTheme="minorHAnsi" w:hAnsiTheme="minorHAnsi"/>
                <w:sz w:val="20"/>
                <w:lang w:val="en-GB"/>
              </w:rPr>
              <w:t>a</w:t>
            </w:r>
            <w:r w:rsidRPr="00436195">
              <w:rPr>
                <w:rFonts w:asciiTheme="minorHAnsi" w:hAnsiTheme="minorHAnsi"/>
                <w:sz w:val="20"/>
                <w:lang w:val="en-GB"/>
              </w:rPr>
              <w:t xml:space="preserve"> </w:t>
            </w:r>
            <w:r w:rsidRPr="00A17F22">
              <w:rPr>
                <w:rFonts w:asciiTheme="minorHAnsi" w:hAnsiTheme="minorHAnsi"/>
                <w:sz w:val="20"/>
                <w:lang w:val="en-GB"/>
              </w:rPr>
              <w:t>result of</w:t>
            </w:r>
            <w:proofErr w:type="gramEnd"/>
            <w:r w:rsidRPr="00A17F22">
              <w:rPr>
                <w:rFonts w:asciiTheme="minorHAnsi" w:hAnsiTheme="minorHAnsi"/>
                <w:sz w:val="20"/>
                <w:lang w:val="en-GB"/>
              </w:rPr>
              <w:t xml:space="preserve"> decreased top-up payments to health professionals as well as streamlining of overhead costs in preventive programmes.</w:t>
            </w:r>
          </w:p>
          <w:p w14:paraId="397DC3D9" w14:textId="77777777" w:rsidR="00F00FAC" w:rsidRPr="00436195" w:rsidRDefault="00F00FAC" w:rsidP="00F00FAC">
            <w:pPr>
              <w:jc w:val="both"/>
              <w:rPr>
                <w:rFonts w:asciiTheme="minorHAnsi" w:hAnsiTheme="minorHAnsi"/>
                <w:sz w:val="20"/>
                <w:lang w:val="en-GB"/>
              </w:rPr>
            </w:pPr>
            <w:r w:rsidRPr="00436195">
              <w:rPr>
                <w:rFonts w:asciiTheme="minorHAnsi" w:hAnsiTheme="minorHAnsi"/>
                <w:sz w:val="20"/>
                <w:lang w:val="en-GB"/>
              </w:rPr>
              <w:t xml:space="preserve">The funding request includes interventions outlined in the National Strategies for HIV and TB and </w:t>
            </w:r>
            <w:proofErr w:type="gramStart"/>
            <w:r w:rsidRPr="00436195">
              <w:rPr>
                <w:rFonts w:asciiTheme="minorHAnsi" w:hAnsiTheme="minorHAnsi"/>
                <w:sz w:val="20"/>
                <w:lang w:val="en-GB"/>
              </w:rPr>
              <w:t>is primarily aimed</w:t>
            </w:r>
            <w:proofErr w:type="gramEnd"/>
            <w:r w:rsidRPr="00436195">
              <w:rPr>
                <w:rFonts w:asciiTheme="minorHAnsi" w:hAnsiTheme="minorHAnsi"/>
                <w:sz w:val="20"/>
                <w:lang w:val="en-GB"/>
              </w:rPr>
              <w:t xml:space="preserve"> at providing all </w:t>
            </w:r>
            <w:r>
              <w:rPr>
                <w:rFonts w:asciiTheme="minorHAnsi" w:hAnsiTheme="minorHAnsi"/>
                <w:sz w:val="20"/>
                <w:lang w:val="en-GB"/>
              </w:rPr>
              <w:t>k</w:t>
            </w:r>
            <w:r w:rsidRPr="00436195">
              <w:rPr>
                <w:rFonts w:asciiTheme="minorHAnsi" w:hAnsiTheme="minorHAnsi"/>
                <w:sz w:val="20"/>
                <w:lang w:val="en-GB"/>
              </w:rPr>
              <w:t xml:space="preserve">ey populations with prevention and treatment services and PLHIV and </w:t>
            </w:r>
            <w:r>
              <w:rPr>
                <w:rFonts w:asciiTheme="minorHAnsi" w:hAnsiTheme="minorHAnsi"/>
                <w:sz w:val="20"/>
                <w:lang w:val="en-GB"/>
              </w:rPr>
              <w:t>MDR-TB patients with treatment</w:t>
            </w:r>
            <w:r w:rsidRPr="00436195">
              <w:rPr>
                <w:rFonts w:asciiTheme="minorHAnsi" w:hAnsiTheme="minorHAnsi"/>
                <w:sz w:val="20"/>
                <w:lang w:val="en-GB"/>
              </w:rPr>
              <w:t>,</w:t>
            </w:r>
            <w:r>
              <w:rPr>
                <w:rFonts w:asciiTheme="minorHAnsi" w:hAnsiTheme="minorHAnsi"/>
                <w:sz w:val="20"/>
                <w:lang w:val="en-GB"/>
              </w:rPr>
              <w:t xml:space="preserve"> </w:t>
            </w:r>
            <w:r w:rsidRPr="00436195">
              <w:rPr>
                <w:rFonts w:asciiTheme="minorHAnsi" w:hAnsiTheme="minorHAnsi"/>
                <w:sz w:val="20"/>
                <w:lang w:val="en-GB"/>
              </w:rPr>
              <w:t xml:space="preserve">care and support. </w:t>
            </w:r>
            <w:r>
              <w:rPr>
                <w:rFonts w:asciiTheme="minorHAnsi" w:hAnsiTheme="minorHAnsi"/>
                <w:sz w:val="20"/>
                <w:lang w:val="en-GB"/>
              </w:rPr>
              <w:t>Almost</w:t>
            </w:r>
            <w:r w:rsidRPr="00436195">
              <w:rPr>
                <w:rFonts w:asciiTheme="minorHAnsi" w:hAnsiTheme="minorHAnsi"/>
                <w:sz w:val="20"/>
                <w:lang w:val="en-GB"/>
              </w:rPr>
              <w:t xml:space="preserve"> 50% of </w:t>
            </w:r>
            <w:r>
              <w:rPr>
                <w:rFonts w:asciiTheme="minorHAnsi" w:hAnsiTheme="minorHAnsi"/>
                <w:sz w:val="20"/>
                <w:lang w:val="en-GB"/>
              </w:rPr>
              <w:t xml:space="preserve">the </w:t>
            </w:r>
            <w:r w:rsidRPr="00436195">
              <w:rPr>
                <w:rFonts w:asciiTheme="minorHAnsi" w:hAnsiTheme="minorHAnsi"/>
                <w:sz w:val="20"/>
                <w:lang w:val="en-GB"/>
              </w:rPr>
              <w:t xml:space="preserve">required ARV drugs will </w:t>
            </w:r>
            <w:proofErr w:type="gramStart"/>
            <w:r w:rsidRPr="00436195">
              <w:rPr>
                <w:rFonts w:asciiTheme="minorHAnsi" w:hAnsiTheme="minorHAnsi"/>
                <w:sz w:val="20"/>
                <w:lang w:val="en-GB"/>
              </w:rPr>
              <w:t>be procured</w:t>
            </w:r>
            <w:proofErr w:type="gramEnd"/>
            <w:r w:rsidRPr="00436195">
              <w:rPr>
                <w:rFonts w:asciiTheme="minorHAnsi" w:hAnsiTheme="minorHAnsi"/>
                <w:sz w:val="20"/>
                <w:lang w:val="en-GB"/>
              </w:rPr>
              <w:t xml:space="preserve"> through domestic funding. In 2021</w:t>
            </w:r>
            <w:r>
              <w:rPr>
                <w:rFonts w:asciiTheme="minorHAnsi" w:hAnsiTheme="minorHAnsi"/>
                <w:sz w:val="20"/>
                <w:lang w:val="en-GB"/>
              </w:rPr>
              <w:t>,</w:t>
            </w:r>
            <w:r w:rsidRPr="00436195">
              <w:rPr>
                <w:rFonts w:asciiTheme="minorHAnsi" w:hAnsiTheme="minorHAnsi"/>
                <w:sz w:val="20"/>
                <w:lang w:val="en-GB"/>
              </w:rPr>
              <w:t xml:space="preserve"> more than 80% of PLHIV will </w:t>
            </w:r>
            <w:proofErr w:type="gramStart"/>
            <w:r w:rsidRPr="00436195">
              <w:rPr>
                <w:rFonts w:asciiTheme="minorHAnsi" w:hAnsiTheme="minorHAnsi"/>
                <w:sz w:val="20"/>
                <w:lang w:val="en-GB"/>
              </w:rPr>
              <w:t>be covered</w:t>
            </w:r>
            <w:proofErr w:type="gramEnd"/>
            <w:r w:rsidRPr="00436195">
              <w:rPr>
                <w:rFonts w:asciiTheme="minorHAnsi" w:hAnsiTheme="minorHAnsi"/>
                <w:sz w:val="20"/>
                <w:lang w:val="en-GB"/>
              </w:rPr>
              <w:t xml:space="preserve"> </w:t>
            </w:r>
            <w:r>
              <w:rPr>
                <w:rFonts w:asciiTheme="minorHAnsi" w:hAnsiTheme="minorHAnsi"/>
                <w:sz w:val="20"/>
                <w:lang w:val="en-GB"/>
              </w:rPr>
              <w:t>by</w:t>
            </w:r>
            <w:r w:rsidRPr="00436195">
              <w:rPr>
                <w:rFonts w:asciiTheme="minorHAnsi" w:hAnsiTheme="minorHAnsi"/>
                <w:sz w:val="20"/>
                <w:lang w:val="en-GB"/>
              </w:rPr>
              <w:t xml:space="preserve"> </w:t>
            </w:r>
            <w:r>
              <w:rPr>
                <w:rFonts w:asciiTheme="minorHAnsi" w:hAnsiTheme="minorHAnsi"/>
                <w:sz w:val="20"/>
                <w:lang w:val="en-GB"/>
              </w:rPr>
              <w:t>optimis</w:t>
            </w:r>
            <w:r w:rsidRPr="00436195">
              <w:rPr>
                <w:rFonts w:asciiTheme="minorHAnsi" w:hAnsiTheme="minorHAnsi"/>
                <w:sz w:val="20"/>
                <w:lang w:val="en-GB"/>
              </w:rPr>
              <w:t xml:space="preserve">ed treatment regimens </w:t>
            </w:r>
            <w:r>
              <w:rPr>
                <w:rFonts w:asciiTheme="minorHAnsi" w:hAnsiTheme="minorHAnsi"/>
                <w:sz w:val="20"/>
                <w:lang w:val="en-GB"/>
              </w:rPr>
              <w:t>using</w:t>
            </w:r>
            <w:r w:rsidRPr="00436195">
              <w:rPr>
                <w:rFonts w:asciiTheme="minorHAnsi" w:hAnsiTheme="minorHAnsi"/>
                <w:sz w:val="20"/>
                <w:lang w:val="en-GB"/>
              </w:rPr>
              <w:t xml:space="preserve"> dolutegravir</w:t>
            </w:r>
            <w:r>
              <w:rPr>
                <w:rFonts w:asciiTheme="minorHAnsi" w:hAnsiTheme="minorHAnsi"/>
                <w:sz w:val="20"/>
                <w:lang w:val="en-GB"/>
              </w:rPr>
              <w:t>,</w:t>
            </w:r>
            <w:r w:rsidRPr="00436195">
              <w:rPr>
                <w:rFonts w:asciiTheme="minorHAnsi" w:hAnsiTheme="minorHAnsi"/>
                <w:sz w:val="20"/>
                <w:lang w:val="en-GB"/>
              </w:rPr>
              <w:t xml:space="preserve"> whereas the cost</w:t>
            </w:r>
            <w:r>
              <w:rPr>
                <w:rFonts w:asciiTheme="minorHAnsi" w:hAnsiTheme="minorHAnsi"/>
                <w:sz w:val="20"/>
                <w:lang w:val="en-GB"/>
              </w:rPr>
              <w:t>s</w:t>
            </w:r>
            <w:r w:rsidRPr="00436195">
              <w:rPr>
                <w:rFonts w:asciiTheme="minorHAnsi" w:hAnsiTheme="minorHAnsi"/>
                <w:sz w:val="20"/>
                <w:lang w:val="en-GB"/>
              </w:rPr>
              <w:t xml:space="preserve"> of annual treatment course will not exceed 120 USD per person. In 2020, Kyrgyzstan launched its transition to oral forms of TB treatment and rolled out individual and short-term treatment regimens for MDR-TB </w:t>
            </w:r>
            <w:r w:rsidRPr="00A17F22">
              <w:rPr>
                <w:rFonts w:asciiTheme="minorHAnsi" w:hAnsiTheme="minorHAnsi"/>
                <w:sz w:val="20"/>
                <w:lang w:val="en-GB"/>
              </w:rPr>
              <w:t xml:space="preserve">patients. These approaches will </w:t>
            </w:r>
            <w:proofErr w:type="gramStart"/>
            <w:r w:rsidRPr="00A17F22">
              <w:rPr>
                <w:rFonts w:asciiTheme="minorHAnsi" w:hAnsiTheme="minorHAnsi"/>
                <w:sz w:val="20"/>
                <w:lang w:val="en-GB"/>
              </w:rPr>
              <w:t>be scaled</w:t>
            </w:r>
            <w:proofErr w:type="gramEnd"/>
            <w:r w:rsidRPr="00A17F22">
              <w:rPr>
                <w:rFonts w:asciiTheme="minorHAnsi" w:hAnsiTheme="minorHAnsi"/>
                <w:sz w:val="20"/>
                <w:lang w:val="en-GB"/>
              </w:rPr>
              <w:t xml:space="preserve"> up in the new funding cycle and even shorter treatment regimens for DR-TB patients following the WHO recommendations under operational trials will be introduced. While the bulk of funding for second-line TB drugs (SLD), reagents and supplies for TB diagnosis and treatment will be part of GF funding, the NTP will gradually</w:t>
            </w:r>
            <w:r w:rsidRPr="00436195">
              <w:rPr>
                <w:rFonts w:asciiTheme="minorHAnsi" w:hAnsiTheme="minorHAnsi"/>
                <w:sz w:val="20"/>
                <w:lang w:val="en-GB"/>
              </w:rPr>
              <w:t xml:space="preserve"> increase domestic financing of these activities. The Program</w:t>
            </w:r>
            <w:r>
              <w:rPr>
                <w:rFonts w:asciiTheme="minorHAnsi" w:hAnsiTheme="minorHAnsi"/>
                <w:sz w:val="20"/>
                <w:lang w:val="en-GB"/>
              </w:rPr>
              <w:t>me</w:t>
            </w:r>
            <w:r w:rsidRPr="00436195">
              <w:rPr>
                <w:rFonts w:asciiTheme="minorHAnsi" w:hAnsiTheme="minorHAnsi"/>
                <w:sz w:val="20"/>
                <w:lang w:val="en-GB"/>
              </w:rPr>
              <w:t xml:space="preserve"> will involve civil society orga</w:t>
            </w:r>
            <w:r>
              <w:rPr>
                <w:rFonts w:asciiTheme="minorHAnsi" w:hAnsiTheme="minorHAnsi"/>
                <w:sz w:val="20"/>
                <w:lang w:val="en-GB"/>
              </w:rPr>
              <w:t>nisations</w:t>
            </w:r>
            <w:r w:rsidRPr="00436195">
              <w:rPr>
                <w:rFonts w:asciiTheme="minorHAnsi" w:hAnsiTheme="minorHAnsi"/>
                <w:sz w:val="20"/>
                <w:lang w:val="en-GB"/>
              </w:rPr>
              <w:t xml:space="preserve"> in the implement</w:t>
            </w:r>
            <w:r>
              <w:rPr>
                <w:rFonts w:asciiTheme="minorHAnsi" w:hAnsiTheme="minorHAnsi"/>
                <w:sz w:val="20"/>
                <w:lang w:val="en-GB"/>
              </w:rPr>
              <w:t xml:space="preserve">ation of </w:t>
            </w:r>
            <w:r w:rsidRPr="00436195">
              <w:rPr>
                <w:rFonts w:asciiTheme="minorHAnsi" w:hAnsiTheme="minorHAnsi"/>
                <w:sz w:val="20"/>
                <w:lang w:val="en-GB"/>
              </w:rPr>
              <w:t>TB interventions with subsequent use of the</w:t>
            </w:r>
            <w:r>
              <w:rPr>
                <w:rFonts w:asciiTheme="minorHAnsi" w:hAnsiTheme="minorHAnsi"/>
                <w:sz w:val="20"/>
                <w:lang w:val="en-GB"/>
              </w:rPr>
              <w:t xml:space="preserve"> s</w:t>
            </w:r>
            <w:r w:rsidRPr="00436195">
              <w:rPr>
                <w:rFonts w:asciiTheme="minorHAnsi" w:hAnsiTheme="minorHAnsi"/>
                <w:sz w:val="20"/>
                <w:lang w:val="en-GB"/>
              </w:rPr>
              <w:t xml:space="preserve">tate social contracting mechanism. The funding </w:t>
            </w:r>
            <w:r w:rsidRPr="00436195">
              <w:rPr>
                <w:rFonts w:asciiTheme="minorHAnsi" w:hAnsiTheme="minorHAnsi"/>
                <w:sz w:val="20"/>
                <w:lang w:val="en-GB"/>
              </w:rPr>
              <w:lastRenderedPageBreak/>
              <w:t>request wi</w:t>
            </w:r>
            <w:r>
              <w:rPr>
                <w:rFonts w:asciiTheme="minorHAnsi" w:hAnsiTheme="minorHAnsi"/>
                <w:sz w:val="20"/>
                <w:lang w:val="en-GB"/>
              </w:rPr>
              <w:t>ll support the development of a</w:t>
            </w:r>
            <w:r w:rsidRPr="00436195">
              <w:rPr>
                <w:rFonts w:asciiTheme="minorHAnsi" w:hAnsiTheme="minorHAnsi"/>
                <w:sz w:val="20"/>
                <w:lang w:val="en-GB"/>
              </w:rPr>
              <w:t xml:space="preserve"> mechanisms for performance-based payments to health professionals through domestic funding. </w:t>
            </w:r>
          </w:p>
          <w:p w14:paraId="28CF3DC4" w14:textId="505CCAB0" w:rsidR="00F00FAC" w:rsidRPr="00436195" w:rsidRDefault="00F00FAC" w:rsidP="00F00FAC">
            <w:pPr>
              <w:jc w:val="both"/>
              <w:rPr>
                <w:rFonts w:asciiTheme="minorHAnsi" w:hAnsiTheme="minorHAnsi"/>
                <w:sz w:val="20"/>
                <w:lang w:val="en-GB"/>
              </w:rPr>
            </w:pPr>
            <w:r w:rsidRPr="00436195">
              <w:rPr>
                <w:rFonts w:asciiTheme="minorHAnsi" w:hAnsiTheme="minorHAnsi"/>
                <w:sz w:val="20"/>
                <w:lang w:val="en-GB"/>
              </w:rPr>
              <w:t>At le</w:t>
            </w:r>
            <w:r>
              <w:rPr>
                <w:rFonts w:asciiTheme="minorHAnsi" w:hAnsiTheme="minorHAnsi"/>
                <w:sz w:val="20"/>
                <w:lang w:val="en-GB"/>
              </w:rPr>
              <w:t>ast 50% of the funds allocated to</w:t>
            </w:r>
            <w:r w:rsidRPr="00436195">
              <w:rPr>
                <w:rFonts w:asciiTheme="minorHAnsi" w:hAnsiTheme="minorHAnsi"/>
                <w:sz w:val="20"/>
                <w:lang w:val="en-GB"/>
              </w:rPr>
              <w:t xml:space="preserve"> HIV component will </w:t>
            </w:r>
            <w:proofErr w:type="gramStart"/>
            <w:r w:rsidRPr="00436195">
              <w:rPr>
                <w:rFonts w:asciiTheme="minorHAnsi" w:hAnsiTheme="minorHAnsi"/>
                <w:sz w:val="20"/>
                <w:lang w:val="en-GB"/>
              </w:rPr>
              <w:t xml:space="preserve">be </w:t>
            </w:r>
            <w:r w:rsidR="00C93976" w:rsidRPr="00436195">
              <w:rPr>
                <w:rFonts w:asciiTheme="minorHAnsi" w:hAnsiTheme="minorHAnsi"/>
                <w:sz w:val="20"/>
                <w:lang w:val="en-GB"/>
              </w:rPr>
              <w:t>channelled</w:t>
            </w:r>
            <w:proofErr w:type="gramEnd"/>
            <w:r w:rsidRPr="00436195">
              <w:rPr>
                <w:rFonts w:asciiTheme="minorHAnsi" w:hAnsiTheme="minorHAnsi"/>
                <w:sz w:val="20"/>
                <w:lang w:val="en-GB"/>
              </w:rPr>
              <w:t xml:space="preserve"> to testing program</w:t>
            </w:r>
            <w:r>
              <w:rPr>
                <w:rFonts w:asciiTheme="minorHAnsi" w:hAnsiTheme="minorHAnsi"/>
                <w:sz w:val="20"/>
                <w:lang w:val="en-GB"/>
              </w:rPr>
              <w:t>me</w:t>
            </w:r>
            <w:r w:rsidRPr="00436195">
              <w:rPr>
                <w:rFonts w:asciiTheme="minorHAnsi" w:hAnsiTheme="minorHAnsi"/>
                <w:sz w:val="20"/>
                <w:lang w:val="en-GB"/>
              </w:rPr>
              <w:t>s for key populations, OST, HIV care and support as well as prevention program</w:t>
            </w:r>
            <w:r>
              <w:rPr>
                <w:rFonts w:asciiTheme="minorHAnsi" w:hAnsiTheme="minorHAnsi"/>
                <w:sz w:val="20"/>
                <w:lang w:val="en-GB"/>
              </w:rPr>
              <w:t>me</w:t>
            </w:r>
            <w:r w:rsidRPr="00436195">
              <w:rPr>
                <w:rFonts w:asciiTheme="minorHAnsi" w:hAnsiTheme="minorHAnsi"/>
                <w:sz w:val="20"/>
                <w:lang w:val="en-GB"/>
              </w:rPr>
              <w:t>s for key populations. Testing program</w:t>
            </w:r>
            <w:r>
              <w:rPr>
                <w:rFonts w:asciiTheme="minorHAnsi" w:hAnsiTheme="minorHAnsi"/>
                <w:sz w:val="20"/>
                <w:lang w:val="en-GB"/>
              </w:rPr>
              <w:t>me</w:t>
            </w:r>
            <w:r w:rsidRPr="00436195">
              <w:rPr>
                <w:rFonts w:asciiTheme="minorHAnsi" w:hAnsiTheme="minorHAnsi"/>
                <w:sz w:val="20"/>
                <w:lang w:val="en-GB"/>
              </w:rPr>
              <w:t xml:space="preserve">s will be result-oriented and focus on reaching, previously unavailable, new members of key populations, young PWID, SW, MSM as well as their partners, </w:t>
            </w:r>
            <w:r>
              <w:rPr>
                <w:rFonts w:asciiTheme="minorHAnsi" w:hAnsiTheme="minorHAnsi"/>
                <w:sz w:val="20"/>
                <w:lang w:val="en-GB"/>
              </w:rPr>
              <w:t xml:space="preserve">by </w:t>
            </w:r>
            <w:r w:rsidRPr="00436195">
              <w:rPr>
                <w:rFonts w:asciiTheme="minorHAnsi" w:hAnsiTheme="minorHAnsi"/>
                <w:sz w:val="20"/>
                <w:lang w:val="en-GB"/>
              </w:rPr>
              <w:t>counsel</w:t>
            </w:r>
            <w:r>
              <w:rPr>
                <w:rFonts w:asciiTheme="minorHAnsi" w:hAnsiTheme="minorHAnsi"/>
                <w:sz w:val="20"/>
                <w:lang w:val="en-GB"/>
              </w:rPr>
              <w:t>l</w:t>
            </w:r>
            <w:r w:rsidRPr="00436195">
              <w:rPr>
                <w:rFonts w:asciiTheme="minorHAnsi" w:hAnsiTheme="minorHAnsi"/>
                <w:sz w:val="20"/>
                <w:lang w:val="en-GB"/>
              </w:rPr>
              <w:t xml:space="preserve">ing using innovative information technologies. Testing of sexual partners of key populations will </w:t>
            </w:r>
            <w:proofErr w:type="gramStart"/>
            <w:r w:rsidRPr="00436195">
              <w:rPr>
                <w:rFonts w:asciiTheme="minorHAnsi" w:hAnsiTheme="minorHAnsi"/>
                <w:sz w:val="20"/>
                <w:lang w:val="en-GB"/>
              </w:rPr>
              <w:t>be expanded</w:t>
            </w:r>
            <w:proofErr w:type="gramEnd"/>
            <w:r w:rsidRPr="00436195">
              <w:rPr>
                <w:rFonts w:asciiTheme="minorHAnsi" w:hAnsiTheme="minorHAnsi"/>
                <w:sz w:val="20"/>
                <w:lang w:val="en-GB"/>
              </w:rPr>
              <w:t xml:space="preserve"> and conditions will be created for self-testing. </w:t>
            </w:r>
            <w:proofErr w:type="spellStart"/>
            <w:r w:rsidRPr="00436195">
              <w:rPr>
                <w:rFonts w:asciiTheme="minorHAnsi" w:hAnsiTheme="minorHAnsi"/>
                <w:sz w:val="20"/>
                <w:lang w:val="en-GB"/>
              </w:rPr>
              <w:t>P</w:t>
            </w:r>
            <w:r w:rsidR="009A697F">
              <w:rPr>
                <w:rFonts w:asciiTheme="minorHAnsi" w:hAnsiTheme="minorHAnsi"/>
                <w:sz w:val="20"/>
                <w:lang w:val="en-GB"/>
              </w:rPr>
              <w:t>r</w:t>
            </w:r>
            <w:r w:rsidRPr="00436195">
              <w:rPr>
                <w:rFonts w:asciiTheme="minorHAnsi" w:hAnsiTheme="minorHAnsi"/>
                <w:sz w:val="20"/>
                <w:lang w:val="en-GB"/>
              </w:rPr>
              <w:t>EP</w:t>
            </w:r>
            <w:proofErr w:type="spellEnd"/>
            <w:r w:rsidRPr="00436195">
              <w:rPr>
                <w:rFonts w:asciiTheme="minorHAnsi" w:hAnsiTheme="minorHAnsi"/>
                <w:sz w:val="20"/>
                <w:lang w:val="en-GB"/>
              </w:rPr>
              <w:t xml:space="preserve"> program</w:t>
            </w:r>
            <w:r>
              <w:rPr>
                <w:rFonts w:asciiTheme="minorHAnsi" w:hAnsiTheme="minorHAnsi"/>
                <w:sz w:val="20"/>
                <w:lang w:val="en-GB"/>
              </w:rPr>
              <w:t>me</w:t>
            </w:r>
            <w:r w:rsidRPr="00436195">
              <w:rPr>
                <w:rFonts w:asciiTheme="minorHAnsi" w:hAnsiTheme="minorHAnsi"/>
                <w:sz w:val="20"/>
                <w:lang w:val="en-GB"/>
              </w:rPr>
              <w:t xml:space="preserve">s will </w:t>
            </w:r>
            <w:proofErr w:type="gramStart"/>
            <w:r w:rsidRPr="00436195">
              <w:rPr>
                <w:rFonts w:asciiTheme="minorHAnsi" w:hAnsiTheme="minorHAnsi"/>
                <w:sz w:val="20"/>
                <w:lang w:val="en-GB"/>
              </w:rPr>
              <w:t>be replicated</w:t>
            </w:r>
            <w:proofErr w:type="gramEnd"/>
            <w:r w:rsidRPr="00436195">
              <w:rPr>
                <w:rFonts w:asciiTheme="minorHAnsi" w:hAnsiTheme="minorHAnsi"/>
                <w:sz w:val="20"/>
                <w:lang w:val="en-GB"/>
              </w:rPr>
              <w:t xml:space="preserve"> significantly with at least 500 people, including MSM.</w:t>
            </w:r>
          </w:p>
          <w:p w14:paraId="31814B31" w14:textId="77777777" w:rsidR="00F00FAC" w:rsidRPr="00436195" w:rsidRDefault="00F00FAC" w:rsidP="00F00FAC">
            <w:pPr>
              <w:jc w:val="both"/>
              <w:rPr>
                <w:rFonts w:asciiTheme="minorHAnsi" w:hAnsiTheme="minorHAnsi"/>
                <w:sz w:val="20"/>
                <w:lang w:val="en-GB"/>
              </w:rPr>
            </w:pPr>
            <w:r w:rsidRPr="00436195">
              <w:rPr>
                <w:rFonts w:asciiTheme="minorHAnsi" w:hAnsiTheme="minorHAnsi"/>
                <w:sz w:val="20"/>
                <w:lang w:val="en-GB"/>
              </w:rPr>
              <w:t xml:space="preserve">The funding request includes the module to overcome legal barriers and provides for targeted interventions to improve legislation, strengthen community monitoring functions and initiate judicial precedents on cases of key populations’ rights violations. </w:t>
            </w:r>
          </w:p>
          <w:p w14:paraId="51EEB5BD" w14:textId="5BE63590" w:rsidR="00C07F83" w:rsidRDefault="00F00FAC" w:rsidP="00F227E9">
            <w:pPr>
              <w:jc w:val="both"/>
              <w:rPr>
                <w:rFonts w:cs="Arial"/>
              </w:rPr>
            </w:pPr>
            <w:r w:rsidRPr="00436195">
              <w:rPr>
                <w:rFonts w:asciiTheme="minorHAnsi" w:hAnsiTheme="minorHAnsi"/>
                <w:sz w:val="20"/>
                <w:lang w:val="en-GB"/>
              </w:rPr>
              <w:t>During the previous grant cycle, Kyrgyzstan increased domestic funding for HIV and TB program</w:t>
            </w:r>
            <w:r>
              <w:rPr>
                <w:rFonts w:asciiTheme="minorHAnsi" w:hAnsiTheme="minorHAnsi"/>
                <w:sz w:val="20"/>
                <w:lang w:val="en-GB"/>
              </w:rPr>
              <w:t>me</w:t>
            </w:r>
            <w:r w:rsidRPr="00436195">
              <w:rPr>
                <w:rFonts w:asciiTheme="minorHAnsi" w:hAnsiTheme="minorHAnsi"/>
                <w:sz w:val="20"/>
                <w:lang w:val="en-GB"/>
              </w:rPr>
              <w:t>s by 169 million KGS</w:t>
            </w:r>
            <w:r>
              <w:rPr>
                <w:rFonts w:asciiTheme="minorHAnsi" w:hAnsiTheme="minorHAnsi"/>
                <w:sz w:val="20"/>
                <w:lang w:val="en-GB"/>
              </w:rPr>
              <w:t xml:space="preserve"> (</w:t>
            </w:r>
            <w:r w:rsidRPr="00436195">
              <w:rPr>
                <w:rFonts w:asciiTheme="minorHAnsi" w:hAnsiTheme="minorHAnsi"/>
                <w:sz w:val="20"/>
                <w:lang w:val="en-GB"/>
              </w:rPr>
              <w:t xml:space="preserve">2.4 million USD) and </w:t>
            </w:r>
            <w:r w:rsidR="00C93976" w:rsidRPr="00436195">
              <w:rPr>
                <w:rFonts w:asciiTheme="minorHAnsi" w:hAnsiTheme="minorHAnsi"/>
                <w:sz w:val="20"/>
                <w:lang w:val="en-GB"/>
              </w:rPr>
              <w:t>channelled</w:t>
            </w:r>
            <w:r w:rsidRPr="00436195">
              <w:rPr>
                <w:rFonts w:asciiTheme="minorHAnsi" w:hAnsiTheme="minorHAnsi"/>
                <w:sz w:val="20"/>
                <w:lang w:val="en-GB"/>
              </w:rPr>
              <w:t xml:space="preserve"> them to ARV and HCV drugs for PLHIV as well as</w:t>
            </w:r>
            <w:r>
              <w:rPr>
                <w:rFonts w:asciiTheme="minorHAnsi" w:hAnsiTheme="minorHAnsi"/>
                <w:sz w:val="20"/>
                <w:lang w:val="en-GB"/>
              </w:rPr>
              <w:t xml:space="preserve"> to</w:t>
            </w:r>
            <w:r w:rsidRPr="00436195">
              <w:rPr>
                <w:rFonts w:asciiTheme="minorHAnsi" w:hAnsiTheme="minorHAnsi"/>
                <w:sz w:val="20"/>
                <w:lang w:val="en-GB"/>
              </w:rPr>
              <w:t xml:space="preserve"> contracting NGOs as part of state social contracting mechanism. In 2021-2023, in line with GF recommendations to increase domestic funding by 15% of the grant amount, the Government meets its commitment to allocate additional 280 million KGS</w:t>
            </w:r>
            <w:r>
              <w:rPr>
                <w:rFonts w:asciiTheme="minorHAnsi" w:hAnsiTheme="minorHAnsi"/>
                <w:sz w:val="20"/>
                <w:lang w:val="en-GB"/>
              </w:rPr>
              <w:t xml:space="preserve"> (</w:t>
            </w:r>
            <w:r w:rsidRPr="00436195">
              <w:rPr>
                <w:rFonts w:asciiTheme="minorHAnsi" w:hAnsiTheme="minorHAnsi"/>
                <w:sz w:val="20"/>
                <w:lang w:val="en-GB"/>
              </w:rPr>
              <w:t>4 million USD): 80 million KGS on HIV program</w:t>
            </w:r>
            <w:r>
              <w:rPr>
                <w:rFonts w:asciiTheme="minorHAnsi" w:hAnsiTheme="minorHAnsi"/>
                <w:sz w:val="20"/>
                <w:lang w:val="en-GB"/>
              </w:rPr>
              <w:t>me</w:t>
            </w:r>
            <w:r w:rsidRPr="00436195">
              <w:rPr>
                <w:rFonts w:asciiTheme="minorHAnsi" w:hAnsiTheme="minorHAnsi"/>
                <w:sz w:val="20"/>
                <w:lang w:val="en-GB"/>
              </w:rPr>
              <w:t>s and 200 million KGS on TB program</w:t>
            </w:r>
            <w:r>
              <w:rPr>
                <w:rFonts w:asciiTheme="minorHAnsi" w:hAnsiTheme="minorHAnsi"/>
                <w:sz w:val="20"/>
                <w:lang w:val="en-GB"/>
              </w:rPr>
              <w:t>me</w:t>
            </w:r>
            <w:r w:rsidRPr="00436195">
              <w:rPr>
                <w:rFonts w:asciiTheme="minorHAnsi" w:hAnsiTheme="minorHAnsi"/>
                <w:sz w:val="20"/>
                <w:lang w:val="en-GB"/>
              </w:rPr>
              <w:t>s. The priority spending items include ARV and TB drugs, followed by better remuneration of health staff and prevention program</w:t>
            </w:r>
            <w:r>
              <w:rPr>
                <w:rFonts w:asciiTheme="minorHAnsi" w:hAnsiTheme="minorHAnsi"/>
                <w:sz w:val="20"/>
                <w:lang w:val="en-GB"/>
              </w:rPr>
              <w:t>me</w:t>
            </w:r>
            <w:r w:rsidRPr="00436195">
              <w:rPr>
                <w:rFonts w:asciiTheme="minorHAnsi" w:hAnsiTheme="minorHAnsi"/>
                <w:sz w:val="20"/>
                <w:lang w:val="en-GB"/>
              </w:rPr>
              <w:t xml:space="preserve">s through </w:t>
            </w:r>
            <w:r>
              <w:rPr>
                <w:rFonts w:asciiTheme="minorHAnsi" w:hAnsiTheme="minorHAnsi"/>
                <w:sz w:val="20"/>
                <w:lang w:val="en-GB"/>
              </w:rPr>
              <w:t xml:space="preserve">the </w:t>
            </w:r>
            <w:r w:rsidRPr="00436195">
              <w:rPr>
                <w:rFonts w:asciiTheme="minorHAnsi" w:hAnsiTheme="minorHAnsi"/>
                <w:sz w:val="20"/>
                <w:lang w:val="en-GB"/>
              </w:rPr>
              <w:t>state social contracting mechanism.</w:t>
            </w:r>
          </w:p>
        </w:tc>
      </w:tr>
    </w:tbl>
    <w:p w14:paraId="7E6105F2" w14:textId="77777777" w:rsidR="00C07F83" w:rsidRPr="00B271DB" w:rsidRDefault="00C07F83" w:rsidP="00485066">
      <w:pPr>
        <w:pStyle w:val="affff3"/>
        <w:ind w:left="360"/>
        <w:rPr>
          <w:rFonts w:cs="Arial"/>
          <w:bCs/>
        </w:rPr>
      </w:pPr>
    </w:p>
    <w:p w14:paraId="7A1FC4BA" w14:textId="4E7FF184" w:rsidR="00172EDE" w:rsidRPr="00172EDE" w:rsidRDefault="00172EDE" w:rsidP="008B5FE3">
      <w:pPr>
        <w:pStyle w:val="affff3"/>
        <w:numPr>
          <w:ilvl w:val="0"/>
          <w:numId w:val="23"/>
        </w:numPr>
        <w:ind w:left="360"/>
        <w:jc w:val="both"/>
        <w:rPr>
          <w:rFonts w:eastAsia="Times New Roman" w:cs="Arial"/>
        </w:rPr>
      </w:pPr>
      <w:r w:rsidRPr="00172EDE">
        <w:t xml:space="preserve">Explain how this funding request reflects </w:t>
      </w:r>
      <w:r w:rsidRPr="00172EDE">
        <w:rPr>
          <w:b/>
          <w:bCs/>
        </w:rPr>
        <w:t>value for money</w:t>
      </w:r>
      <w:r w:rsidRPr="00172EDE">
        <w:t xml:space="preserve">, including examples of improvement in value for money compared to the current allocation period. To respond, refer to the Instructions for the aspects of value for money that should be considered. </w:t>
      </w:r>
    </w:p>
    <w:p w14:paraId="372F75AA" w14:textId="4A825384" w:rsidR="00485066" w:rsidRPr="001D57CE" w:rsidRDefault="00485066" w:rsidP="00BE0F0C">
      <w:pPr>
        <w:pStyle w:val="affff3"/>
        <w:spacing w:after="0" w:line="260" w:lineRule="atLeast"/>
        <w:rPr>
          <w:rFonts w:cs="Arial"/>
        </w:rPr>
      </w:pPr>
    </w:p>
    <w:tbl>
      <w:tblPr>
        <w:tblStyle w:val="aa"/>
        <w:tblW w:w="0" w:type="auto"/>
        <w:tblLook w:val="04A0" w:firstRow="1" w:lastRow="0" w:firstColumn="1" w:lastColumn="0" w:noHBand="0" w:noVBand="1"/>
      </w:tblPr>
      <w:tblGrid>
        <w:gridCol w:w="10456"/>
      </w:tblGrid>
      <w:tr w:rsidR="00485066" w:rsidRPr="001D57CE" w14:paraId="7F7FF100" w14:textId="77777777" w:rsidTr="005279BC">
        <w:tc>
          <w:tcPr>
            <w:tcW w:w="10790" w:type="dxa"/>
          </w:tcPr>
          <w:p w14:paraId="30BC1DC9" w14:textId="77777777" w:rsidR="00F00FAC" w:rsidRPr="00436195" w:rsidRDefault="00F00FAC" w:rsidP="00F227E9">
            <w:pPr>
              <w:jc w:val="both"/>
              <w:rPr>
                <w:rFonts w:asciiTheme="minorHAnsi" w:hAnsiTheme="minorHAnsi"/>
                <w:sz w:val="20"/>
                <w:highlight w:val="yellow"/>
                <w:lang w:val="en-GB"/>
              </w:rPr>
            </w:pPr>
            <w:r w:rsidRPr="00436195">
              <w:rPr>
                <w:rFonts w:asciiTheme="minorHAnsi" w:hAnsiTheme="minorHAnsi"/>
                <w:sz w:val="20"/>
                <w:lang w:val="en-GB"/>
              </w:rPr>
              <w:t xml:space="preserve">Under the new grant cycle, health products including drugs and diagnostic tools will </w:t>
            </w:r>
            <w:proofErr w:type="gramStart"/>
            <w:r w:rsidRPr="00436195">
              <w:rPr>
                <w:rFonts w:asciiTheme="minorHAnsi" w:hAnsiTheme="minorHAnsi"/>
                <w:sz w:val="20"/>
                <w:lang w:val="en-GB"/>
              </w:rPr>
              <w:t>be procured</w:t>
            </w:r>
            <w:proofErr w:type="gramEnd"/>
            <w:r w:rsidRPr="00436195">
              <w:rPr>
                <w:rFonts w:asciiTheme="minorHAnsi" w:hAnsiTheme="minorHAnsi"/>
                <w:sz w:val="20"/>
                <w:lang w:val="en-GB"/>
              </w:rPr>
              <w:t xml:space="preserve"> at prices comparable to the</w:t>
            </w:r>
            <w:r>
              <w:rPr>
                <w:rFonts w:asciiTheme="minorHAnsi" w:hAnsiTheme="minorHAnsi"/>
                <w:sz w:val="20"/>
                <w:lang w:val="en-GB"/>
              </w:rPr>
              <w:t xml:space="preserve"> GF</w:t>
            </w:r>
            <w:r w:rsidRPr="00436195">
              <w:rPr>
                <w:rFonts w:asciiTheme="minorHAnsi" w:hAnsiTheme="minorHAnsi"/>
                <w:sz w:val="20"/>
                <w:lang w:val="en-GB"/>
              </w:rPr>
              <w:t xml:space="preserve"> reference prices. Since 2018, the </w:t>
            </w:r>
            <w:r>
              <w:rPr>
                <w:rFonts w:asciiTheme="minorHAnsi" w:hAnsiTheme="minorHAnsi"/>
                <w:sz w:val="20"/>
                <w:lang w:val="en-GB"/>
              </w:rPr>
              <w:t>RAC</w:t>
            </w:r>
            <w:r w:rsidRPr="00436195">
              <w:rPr>
                <w:rFonts w:asciiTheme="minorHAnsi" w:hAnsiTheme="minorHAnsi"/>
                <w:sz w:val="20"/>
                <w:lang w:val="en-GB"/>
              </w:rPr>
              <w:t xml:space="preserve"> has been implementing public procurement of ARV drugs, and there has been a steady decline in the cost of drugs with no decrease in the quality. Nonetheless, there are some restrictions </w:t>
            </w:r>
            <w:proofErr w:type="gramStart"/>
            <w:r w:rsidRPr="00436195">
              <w:rPr>
                <w:rFonts w:asciiTheme="minorHAnsi" w:hAnsiTheme="minorHAnsi"/>
                <w:sz w:val="20"/>
                <w:lang w:val="en-GB"/>
              </w:rPr>
              <w:t>with regard to</w:t>
            </w:r>
            <w:proofErr w:type="gramEnd"/>
            <w:r w:rsidRPr="00436195">
              <w:rPr>
                <w:rFonts w:asciiTheme="minorHAnsi" w:hAnsiTheme="minorHAnsi"/>
                <w:sz w:val="20"/>
                <w:lang w:val="en-GB"/>
              </w:rPr>
              <w:t xml:space="preserve"> procurement of second-line TB drugs (SLD) and some diagnostic tools as some of these are not available </w:t>
            </w:r>
            <w:r>
              <w:rPr>
                <w:rFonts w:asciiTheme="minorHAnsi" w:hAnsiTheme="minorHAnsi"/>
                <w:sz w:val="20"/>
                <w:lang w:val="en-GB"/>
              </w:rPr>
              <w:t>on the</w:t>
            </w:r>
            <w:r w:rsidRPr="00436195">
              <w:rPr>
                <w:rFonts w:asciiTheme="minorHAnsi" w:hAnsiTheme="minorHAnsi"/>
                <w:sz w:val="20"/>
                <w:lang w:val="en-GB"/>
              </w:rPr>
              <w:t xml:space="preserve"> local market or represented at the market under the single trade name which increases the risks of overpricing due to lack of competition. Another constraint is the low interest of pharmaceutical companies because of low volumes of the needed drugs. To that end, Kyrgyzstan will initiate the registration of pre</w:t>
            </w:r>
            <w:r>
              <w:rPr>
                <w:rFonts w:asciiTheme="minorHAnsi" w:hAnsiTheme="minorHAnsi"/>
                <w:sz w:val="20"/>
                <w:lang w:val="en-GB"/>
              </w:rPr>
              <w:t>-</w:t>
            </w:r>
            <w:r w:rsidRPr="00436195">
              <w:rPr>
                <w:rFonts w:asciiTheme="minorHAnsi" w:hAnsiTheme="minorHAnsi"/>
                <w:sz w:val="20"/>
                <w:lang w:val="en-GB"/>
              </w:rPr>
              <w:t xml:space="preserve">qualified drugs and tests that are not available </w:t>
            </w:r>
            <w:r>
              <w:rPr>
                <w:rFonts w:asciiTheme="minorHAnsi" w:hAnsiTheme="minorHAnsi"/>
                <w:sz w:val="20"/>
                <w:lang w:val="en-GB"/>
              </w:rPr>
              <w:t>on</w:t>
            </w:r>
            <w:r w:rsidRPr="00436195">
              <w:rPr>
                <w:rFonts w:asciiTheme="minorHAnsi" w:hAnsiTheme="minorHAnsi"/>
                <w:sz w:val="20"/>
                <w:lang w:val="en-GB"/>
              </w:rPr>
              <w:t xml:space="preserve"> the market. This intervention will ensure the best value for money in terms of better quality at lower prices.</w:t>
            </w:r>
          </w:p>
          <w:p w14:paraId="3BCF82FC" w14:textId="77777777" w:rsidR="00F00FAC" w:rsidRPr="00436195" w:rsidRDefault="00F00FAC" w:rsidP="00F227E9">
            <w:pPr>
              <w:jc w:val="both"/>
              <w:rPr>
                <w:rFonts w:asciiTheme="minorHAnsi" w:hAnsiTheme="minorHAnsi"/>
                <w:sz w:val="20"/>
                <w:lang w:val="en-GB"/>
              </w:rPr>
            </w:pPr>
            <w:r w:rsidRPr="00436195">
              <w:rPr>
                <w:rFonts w:asciiTheme="minorHAnsi" w:hAnsiTheme="minorHAnsi"/>
                <w:sz w:val="20"/>
                <w:lang w:val="en-GB"/>
              </w:rPr>
              <w:t>Under the new grant cycle, the program</w:t>
            </w:r>
            <w:r>
              <w:rPr>
                <w:rFonts w:asciiTheme="minorHAnsi" w:hAnsiTheme="minorHAnsi"/>
                <w:sz w:val="20"/>
                <w:lang w:val="en-GB"/>
              </w:rPr>
              <w:t>me</w:t>
            </w:r>
            <w:r w:rsidRPr="00436195">
              <w:rPr>
                <w:rFonts w:asciiTheme="minorHAnsi" w:hAnsiTheme="minorHAnsi"/>
                <w:sz w:val="20"/>
                <w:lang w:val="en-GB"/>
              </w:rPr>
              <w:t xml:space="preserve"> management costs will </w:t>
            </w:r>
            <w:proofErr w:type="gramStart"/>
            <w:r w:rsidRPr="00436195">
              <w:rPr>
                <w:rFonts w:asciiTheme="minorHAnsi" w:hAnsiTheme="minorHAnsi"/>
                <w:sz w:val="20"/>
                <w:lang w:val="en-GB"/>
              </w:rPr>
              <w:t>be reduced</w:t>
            </w:r>
            <w:proofErr w:type="gramEnd"/>
            <w:r>
              <w:rPr>
                <w:rFonts w:asciiTheme="minorHAnsi" w:hAnsiTheme="minorHAnsi"/>
                <w:sz w:val="20"/>
                <w:lang w:val="en-GB"/>
              </w:rPr>
              <w:t xml:space="preserve"> due to decreasing</w:t>
            </w:r>
            <w:r w:rsidRPr="00436195">
              <w:rPr>
                <w:rFonts w:asciiTheme="minorHAnsi" w:hAnsiTheme="minorHAnsi"/>
                <w:sz w:val="20"/>
                <w:lang w:val="en-GB"/>
              </w:rPr>
              <w:t xml:space="preserve"> amount</w:t>
            </w:r>
            <w:r>
              <w:rPr>
                <w:rFonts w:asciiTheme="minorHAnsi" w:hAnsiTheme="minorHAnsi"/>
                <w:sz w:val="20"/>
                <w:lang w:val="en-GB"/>
              </w:rPr>
              <w:t>s</w:t>
            </w:r>
            <w:r w:rsidRPr="00436195">
              <w:rPr>
                <w:rFonts w:asciiTheme="minorHAnsi" w:hAnsiTheme="minorHAnsi"/>
                <w:sz w:val="20"/>
                <w:lang w:val="en-GB"/>
              </w:rPr>
              <w:t xml:space="preserve"> of motivational top-up payments to health professionals</w:t>
            </w:r>
            <w:r>
              <w:rPr>
                <w:rFonts w:asciiTheme="minorHAnsi" w:hAnsiTheme="minorHAnsi"/>
                <w:sz w:val="20"/>
                <w:lang w:val="en-GB"/>
              </w:rPr>
              <w:t>. P</w:t>
            </w:r>
            <w:r w:rsidRPr="00436195">
              <w:rPr>
                <w:rFonts w:asciiTheme="minorHAnsi" w:hAnsiTheme="minorHAnsi"/>
                <w:sz w:val="20"/>
                <w:lang w:val="en-GB"/>
              </w:rPr>
              <w:t>ayments to the staff involved in program</w:t>
            </w:r>
            <w:r>
              <w:rPr>
                <w:rFonts w:asciiTheme="minorHAnsi" w:hAnsiTheme="minorHAnsi"/>
                <w:sz w:val="20"/>
                <w:lang w:val="en-GB"/>
              </w:rPr>
              <w:t>me</w:t>
            </w:r>
            <w:r w:rsidRPr="00436195">
              <w:rPr>
                <w:rFonts w:asciiTheme="minorHAnsi" w:hAnsiTheme="minorHAnsi"/>
                <w:sz w:val="20"/>
                <w:lang w:val="en-GB"/>
              </w:rPr>
              <w:t xml:space="preserve">s will be </w:t>
            </w:r>
            <w:r>
              <w:rPr>
                <w:rFonts w:asciiTheme="minorHAnsi" w:hAnsiTheme="minorHAnsi"/>
                <w:sz w:val="20"/>
                <w:lang w:val="en-GB"/>
              </w:rPr>
              <w:t>harmonis</w:t>
            </w:r>
            <w:r w:rsidRPr="00436195">
              <w:rPr>
                <w:rFonts w:asciiTheme="minorHAnsi" w:hAnsiTheme="minorHAnsi"/>
                <w:sz w:val="20"/>
                <w:lang w:val="en-GB"/>
              </w:rPr>
              <w:t xml:space="preserve">ed with </w:t>
            </w:r>
            <w:r>
              <w:rPr>
                <w:rFonts w:asciiTheme="minorHAnsi" w:hAnsiTheme="minorHAnsi"/>
                <w:sz w:val="20"/>
                <w:lang w:val="en-GB"/>
              </w:rPr>
              <w:t xml:space="preserve">the </w:t>
            </w:r>
            <w:r w:rsidRPr="00436195">
              <w:rPr>
                <w:rFonts w:asciiTheme="minorHAnsi" w:hAnsiTheme="minorHAnsi"/>
                <w:sz w:val="20"/>
                <w:lang w:val="en-GB"/>
              </w:rPr>
              <w:t xml:space="preserve">average country wages and most payments will </w:t>
            </w:r>
            <w:proofErr w:type="gramStart"/>
            <w:r>
              <w:rPr>
                <w:rFonts w:asciiTheme="minorHAnsi" w:hAnsiTheme="minorHAnsi"/>
                <w:sz w:val="20"/>
                <w:lang w:val="en-GB"/>
              </w:rPr>
              <w:t xml:space="preserve">be </w:t>
            </w:r>
            <w:r w:rsidRPr="00436195">
              <w:rPr>
                <w:rFonts w:asciiTheme="minorHAnsi" w:hAnsiTheme="minorHAnsi"/>
                <w:sz w:val="20"/>
                <w:lang w:val="en-GB"/>
              </w:rPr>
              <w:t>linked</w:t>
            </w:r>
            <w:proofErr w:type="gramEnd"/>
            <w:r w:rsidRPr="00436195">
              <w:rPr>
                <w:rFonts w:asciiTheme="minorHAnsi" w:hAnsiTheme="minorHAnsi"/>
                <w:sz w:val="20"/>
                <w:lang w:val="en-GB"/>
              </w:rPr>
              <w:t xml:space="preserve"> to achieving specific, measurable results.</w:t>
            </w:r>
          </w:p>
          <w:p w14:paraId="22E0C4A8" w14:textId="77777777" w:rsidR="00F00FAC" w:rsidRPr="00436195" w:rsidRDefault="00F00FAC" w:rsidP="00F227E9">
            <w:pPr>
              <w:jc w:val="both"/>
              <w:rPr>
                <w:rFonts w:asciiTheme="minorHAnsi" w:hAnsiTheme="minorHAnsi"/>
                <w:sz w:val="20"/>
                <w:lang w:val="en-GB"/>
              </w:rPr>
            </w:pPr>
            <w:r w:rsidRPr="00436195">
              <w:rPr>
                <w:rFonts w:asciiTheme="minorHAnsi" w:hAnsiTheme="minorHAnsi"/>
                <w:sz w:val="20"/>
                <w:lang w:val="en-GB"/>
              </w:rPr>
              <w:t>One of the key strategies under the new funding request is the transition to online counsel</w:t>
            </w:r>
            <w:r>
              <w:rPr>
                <w:rFonts w:asciiTheme="minorHAnsi" w:hAnsiTheme="minorHAnsi"/>
                <w:sz w:val="20"/>
                <w:lang w:val="en-GB"/>
              </w:rPr>
              <w:t>l</w:t>
            </w:r>
            <w:r w:rsidRPr="00436195">
              <w:rPr>
                <w:rFonts w:asciiTheme="minorHAnsi" w:hAnsiTheme="minorHAnsi"/>
                <w:sz w:val="20"/>
                <w:lang w:val="en-GB"/>
              </w:rPr>
              <w:t>ing, keeping records of provided services by outreach workers through pre-installed tablet applications</w:t>
            </w:r>
            <w:r>
              <w:rPr>
                <w:rFonts w:asciiTheme="minorHAnsi" w:hAnsiTheme="minorHAnsi"/>
                <w:sz w:val="20"/>
                <w:lang w:val="en-GB"/>
              </w:rPr>
              <w:t>,</w:t>
            </w:r>
            <w:r w:rsidRPr="00436195">
              <w:rPr>
                <w:rFonts w:asciiTheme="minorHAnsi" w:hAnsiTheme="minorHAnsi"/>
                <w:sz w:val="20"/>
                <w:lang w:val="en-GB"/>
              </w:rPr>
              <w:t xml:space="preserve"> which will reduce working hours, paper use and transportation costs.</w:t>
            </w:r>
          </w:p>
          <w:p w14:paraId="23E522F8" w14:textId="77777777" w:rsidR="00F00FAC" w:rsidRPr="00436195" w:rsidRDefault="00F00FAC" w:rsidP="00F227E9">
            <w:pPr>
              <w:jc w:val="both"/>
              <w:rPr>
                <w:rFonts w:asciiTheme="minorHAnsi" w:hAnsiTheme="minorHAnsi"/>
                <w:sz w:val="20"/>
                <w:lang w:val="en-GB"/>
              </w:rPr>
            </w:pPr>
            <w:r w:rsidRPr="00436195">
              <w:rPr>
                <w:rFonts w:asciiTheme="minorHAnsi" w:hAnsiTheme="minorHAnsi"/>
                <w:sz w:val="20"/>
                <w:lang w:val="en-GB"/>
              </w:rPr>
              <w:t>Most of the prevention, treatment, care and support program</w:t>
            </w:r>
            <w:r>
              <w:rPr>
                <w:rFonts w:asciiTheme="minorHAnsi" w:hAnsiTheme="minorHAnsi"/>
                <w:sz w:val="20"/>
                <w:lang w:val="en-GB"/>
              </w:rPr>
              <w:t>mes’</w:t>
            </w:r>
            <w:r w:rsidRPr="00436195">
              <w:rPr>
                <w:rFonts w:asciiTheme="minorHAnsi" w:hAnsiTheme="minorHAnsi"/>
                <w:sz w:val="20"/>
                <w:lang w:val="en-GB"/>
              </w:rPr>
              <w:t xml:space="preserve"> sites will </w:t>
            </w:r>
            <w:proofErr w:type="gramStart"/>
            <w:r w:rsidRPr="00436195">
              <w:rPr>
                <w:rFonts w:asciiTheme="minorHAnsi" w:hAnsiTheme="minorHAnsi"/>
                <w:sz w:val="20"/>
                <w:lang w:val="en-GB"/>
              </w:rPr>
              <w:t>be concentrated</w:t>
            </w:r>
            <w:proofErr w:type="gramEnd"/>
            <w:r w:rsidRPr="00436195">
              <w:rPr>
                <w:rFonts w:asciiTheme="minorHAnsi" w:hAnsiTheme="minorHAnsi"/>
                <w:sz w:val="20"/>
                <w:lang w:val="en-GB"/>
              </w:rPr>
              <w:t xml:space="preserve"> in highly epidemiologically disadvantaged regions of the country</w:t>
            </w:r>
            <w:r>
              <w:rPr>
                <w:rFonts w:asciiTheme="minorHAnsi" w:hAnsiTheme="minorHAnsi"/>
                <w:sz w:val="20"/>
                <w:lang w:val="en-GB"/>
              </w:rPr>
              <w:t>,</w:t>
            </w:r>
            <w:r w:rsidRPr="00436195">
              <w:rPr>
                <w:rFonts w:asciiTheme="minorHAnsi" w:hAnsiTheme="minorHAnsi"/>
                <w:sz w:val="20"/>
                <w:lang w:val="en-GB"/>
              </w:rPr>
              <w:t xml:space="preserve"> where over 85% of all PLHIV and representatives of key </w:t>
            </w:r>
            <w:r>
              <w:rPr>
                <w:rFonts w:asciiTheme="minorHAnsi" w:hAnsiTheme="minorHAnsi"/>
                <w:sz w:val="20"/>
                <w:lang w:val="en-GB"/>
              </w:rPr>
              <w:t>population</w:t>
            </w:r>
            <w:r w:rsidRPr="00436195">
              <w:rPr>
                <w:rFonts w:asciiTheme="minorHAnsi" w:hAnsiTheme="minorHAnsi"/>
                <w:sz w:val="20"/>
                <w:lang w:val="en-GB"/>
              </w:rPr>
              <w:t xml:space="preserve">s reside </w:t>
            </w:r>
            <w:r>
              <w:rPr>
                <w:rFonts w:asciiTheme="minorHAnsi" w:hAnsiTheme="minorHAnsi"/>
                <w:sz w:val="20"/>
                <w:lang w:val="en-GB"/>
              </w:rPr>
              <w:t>–</w:t>
            </w:r>
            <w:r w:rsidRPr="00436195">
              <w:rPr>
                <w:rFonts w:asciiTheme="minorHAnsi" w:hAnsiTheme="minorHAnsi"/>
                <w:sz w:val="20"/>
                <w:lang w:val="en-GB"/>
              </w:rPr>
              <w:t xml:space="preserve"> </w:t>
            </w:r>
            <w:r>
              <w:rPr>
                <w:rFonts w:asciiTheme="minorHAnsi" w:hAnsiTheme="minorHAnsi"/>
                <w:sz w:val="20"/>
                <w:lang w:val="en-GB"/>
              </w:rPr>
              <w:t xml:space="preserve">city of </w:t>
            </w:r>
            <w:r w:rsidRPr="00436195">
              <w:rPr>
                <w:rFonts w:asciiTheme="minorHAnsi" w:hAnsiTheme="minorHAnsi"/>
                <w:sz w:val="20"/>
                <w:lang w:val="en-GB"/>
              </w:rPr>
              <w:t xml:space="preserve">Bishkek, </w:t>
            </w:r>
            <w:r>
              <w:rPr>
                <w:rFonts w:asciiTheme="minorHAnsi" w:hAnsiTheme="minorHAnsi"/>
                <w:sz w:val="20"/>
                <w:lang w:val="en-GB"/>
              </w:rPr>
              <w:t xml:space="preserve">city of </w:t>
            </w:r>
            <w:r w:rsidRPr="00436195">
              <w:rPr>
                <w:rFonts w:asciiTheme="minorHAnsi" w:hAnsiTheme="minorHAnsi"/>
                <w:sz w:val="20"/>
                <w:lang w:val="en-GB"/>
              </w:rPr>
              <w:t xml:space="preserve">Osh </w:t>
            </w:r>
            <w:r>
              <w:rPr>
                <w:rFonts w:asciiTheme="minorHAnsi" w:hAnsiTheme="minorHAnsi"/>
                <w:sz w:val="20"/>
                <w:lang w:val="en-GB"/>
              </w:rPr>
              <w:t xml:space="preserve">as well as </w:t>
            </w:r>
            <w:r w:rsidRPr="00436195">
              <w:rPr>
                <w:rFonts w:asciiTheme="minorHAnsi" w:hAnsiTheme="minorHAnsi"/>
                <w:sz w:val="20"/>
                <w:lang w:val="en-GB"/>
              </w:rPr>
              <w:t>Chui, Osh,</w:t>
            </w:r>
            <w:r>
              <w:rPr>
                <w:rFonts w:asciiTheme="minorHAnsi" w:hAnsiTheme="minorHAnsi"/>
                <w:sz w:val="20"/>
                <w:lang w:val="en-GB"/>
              </w:rPr>
              <w:t xml:space="preserve"> and</w:t>
            </w:r>
            <w:r w:rsidRPr="00436195">
              <w:rPr>
                <w:rFonts w:asciiTheme="minorHAnsi" w:hAnsiTheme="minorHAnsi"/>
                <w:sz w:val="20"/>
                <w:lang w:val="en-GB"/>
              </w:rPr>
              <w:t xml:space="preserve"> Jalal-Abad oblasts. Meanwhile, the remaining four oblasts will </w:t>
            </w:r>
            <w:proofErr w:type="gramStart"/>
            <w:r w:rsidRPr="00436195">
              <w:rPr>
                <w:rFonts w:asciiTheme="minorHAnsi" w:hAnsiTheme="minorHAnsi"/>
                <w:sz w:val="20"/>
                <w:lang w:val="en-GB"/>
              </w:rPr>
              <w:t>be covered</w:t>
            </w:r>
            <w:proofErr w:type="gramEnd"/>
            <w:r w:rsidRPr="00436195">
              <w:rPr>
                <w:rFonts w:asciiTheme="minorHAnsi" w:hAnsiTheme="minorHAnsi"/>
                <w:sz w:val="20"/>
                <w:lang w:val="en-GB"/>
              </w:rPr>
              <w:t xml:space="preserve"> by integrated joint teams to deliver services to all key </w:t>
            </w:r>
            <w:r>
              <w:rPr>
                <w:rFonts w:asciiTheme="minorHAnsi" w:hAnsiTheme="minorHAnsi"/>
                <w:sz w:val="20"/>
                <w:lang w:val="en-GB"/>
              </w:rPr>
              <w:t>populations</w:t>
            </w:r>
            <w:r w:rsidRPr="00436195">
              <w:rPr>
                <w:rFonts w:asciiTheme="minorHAnsi" w:hAnsiTheme="minorHAnsi"/>
                <w:sz w:val="20"/>
                <w:lang w:val="en-GB"/>
              </w:rPr>
              <w:t xml:space="preserve"> and PLHIV</w:t>
            </w:r>
            <w:r>
              <w:rPr>
                <w:rFonts w:asciiTheme="minorHAnsi" w:hAnsiTheme="minorHAnsi"/>
                <w:sz w:val="20"/>
                <w:lang w:val="en-GB"/>
              </w:rPr>
              <w:t xml:space="preserve"> enabling an</w:t>
            </w:r>
            <w:r w:rsidRPr="00436195">
              <w:rPr>
                <w:rFonts w:asciiTheme="minorHAnsi" w:hAnsiTheme="minorHAnsi"/>
                <w:sz w:val="20"/>
                <w:lang w:val="en-GB"/>
              </w:rPr>
              <w:t xml:space="preserve"> op</w:t>
            </w:r>
            <w:r>
              <w:rPr>
                <w:rFonts w:asciiTheme="minorHAnsi" w:hAnsiTheme="minorHAnsi"/>
                <w:sz w:val="20"/>
                <w:lang w:val="en-GB"/>
              </w:rPr>
              <w:t>timis</w:t>
            </w:r>
            <w:r w:rsidRPr="00436195">
              <w:rPr>
                <w:rFonts w:asciiTheme="minorHAnsi" w:hAnsiTheme="minorHAnsi"/>
                <w:sz w:val="20"/>
                <w:lang w:val="en-GB"/>
              </w:rPr>
              <w:t>ation of operating expenses.</w:t>
            </w:r>
          </w:p>
          <w:p w14:paraId="01CCF755" w14:textId="5995E59F" w:rsidR="00485066" w:rsidRPr="001D57CE" w:rsidRDefault="00F00FAC" w:rsidP="00F227E9">
            <w:pPr>
              <w:jc w:val="both"/>
              <w:rPr>
                <w:rFonts w:cs="Arial"/>
              </w:rPr>
            </w:pPr>
            <w:r w:rsidRPr="00436195">
              <w:rPr>
                <w:rFonts w:asciiTheme="minorHAnsi" w:hAnsiTheme="minorHAnsi"/>
                <w:sz w:val="20"/>
                <w:lang w:val="en-GB"/>
              </w:rPr>
              <w:t xml:space="preserve">The </w:t>
            </w:r>
            <w:r w:rsidR="00B6651D">
              <w:rPr>
                <w:rFonts w:asciiTheme="minorHAnsi" w:hAnsiTheme="minorHAnsi"/>
                <w:sz w:val="20"/>
                <w:lang w:val="en-GB"/>
              </w:rPr>
              <w:t>e</w:t>
            </w:r>
            <w:r w:rsidR="00B6651D" w:rsidRPr="00B6651D">
              <w:rPr>
                <w:rFonts w:asciiTheme="minorHAnsi" w:hAnsiTheme="minorHAnsi"/>
                <w:sz w:val="20"/>
                <w:lang w:val="en-GB"/>
              </w:rPr>
              <w:t xml:space="preserve">ffectiveness of </w:t>
            </w:r>
            <w:r w:rsidR="00B6651D">
              <w:rPr>
                <w:rFonts w:asciiTheme="minorHAnsi" w:hAnsiTheme="minorHAnsi"/>
                <w:sz w:val="20"/>
                <w:lang w:val="en-GB"/>
              </w:rPr>
              <w:t>interventions</w:t>
            </w:r>
            <w:r w:rsidR="00B6651D" w:rsidRPr="00B6651D">
              <w:rPr>
                <w:rFonts w:asciiTheme="minorHAnsi" w:hAnsiTheme="minorHAnsi"/>
                <w:sz w:val="20"/>
                <w:lang w:val="en-GB"/>
              </w:rPr>
              <w:t xml:space="preserve"> aimed at achieving </w:t>
            </w:r>
            <w:r w:rsidR="00B6651D">
              <w:rPr>
                <w:rFonts w:asciiTheme="minorHAnsi" w:hAnsiTheme="minorHAnsi"/>
                <w:sz w:val="20"/>
                <w:lang w:val="en-GB"/>
              </w:rPr>
              <w:t>90-90-90 goal</w:t>
            </w:r>
            <w:r w:rsidR="00B6651D" w:rsidRPr="00B6651D">
              <w:rPr>
                <w:rFonts w:asciiTheme="minorHAnsi" w:hAnsiTheme="minorHAnsi"/>
                <w:sz w:val="20"/>
                <w:lang w:val="en-GB"/>
              </w:rPr>
              <w:t xml:space="preserve"> will increase</w:t>
            </w:r>
            <w:r w:rsidRPr="00436195">
              <w:rPr>
                <w:rFonts w:asciiTheme="minorHAnsi" w:hAnsiTheme="minorHAnsi"/>
                <w:sz w:val="20"/>
                <w:lang w:val="en-GB"/>
              </w:rPr>
              <w:t xml:space="preserve">. The activities will </w:t>
            </w:r>
            <w:proofErr w:type="gramStart"/>
            <w:r w:rsidRPr="00436195">
              <w:rPr>
                <w:rFonts w:asciiTheme="minorHAnsi" w:hAnsiTheme="minorHAnsi"/>
                <w:sz w:val="20"/>
                <w:lang w:val="en-GB"/>
              </w:rPr>
              <w:t>be carried</w:t>
            </w:r>
            <w:proofErr w:type="gramEnd"/>
            <w:r w:rsidRPr="00436195">
              <w:rPr>
                <w:rFonts w:asciiTheme="minorHAnsi" w:hAnsiTheme="minorHAnsi"/>
                <w:sz w:val="20"/>
                <w:lang w:val="en-GB"/>
              </w:rPr>
              <w:t xml:space="preserve"> out in accordance with the national plan for increasing adherence to treatme</w:t>
            </w:r>
            <w:r>
              <w:rPr>
                <w:rFonts w:asciiTheme="minorHAnsi" w:hAnsiTheme="minorHAnsi"/>
                <w:sz w:val="20"/>
                <w:lang w:val="en-GB"/>
              </w:rPr>
              <w:t xml:space="preserve">nt, approved by </w:t>
            </w:r>
            <w:r w:rsidRPr="00436195">
              <w:rPr>
                <w:rFonts w:asciiTheme="minorHAnsi" w:hAnsiTheme="minorHAnsi"/>
                <w:sz w:val="20"/>
                <w:lang w:val="en-GB"/>
              </w:rPr>
              <w:t>the end of 2018</w:t>
            </w:r>
            <w:r>
              <w:rPr>
                <w:rFonts w:asciiTheme="minorHAnsi" w:hAnsiTheme="minorHAnsi"/>
                <w:sz w:val="20"/>
                <w:lang w:val="en-GB"/>
              </w:rPr>
              <w:t>,</w:t>
            </w:r>
            <w:r w:rsidRPr="00436195">
              <w:rPr>
                <w:rFonts w:asciiTheme="minorHAnsi" w:hAnsiTheme="minorHAnsi"/>
                <w:sz w:val="20"/>
                <w:lang w:val="en-GB"/>
              </w:rPr>
              <w:t xml:space="preserve"> as well as </w:t>
            </w:r>
            <w:r w:rsidRPr="00AC26B6">
              <w:rPr>
                <w:rFonts w:asciiTheme="minorHAnsi" w:hAnsiTheme="minorHAnsi"/>
                <w:sz w:val="20"/>
                <w:lang w:val="en-GB"/>
              </w:rPr>
              <w:t>by providing motivational payments to those who refused or discontinued treatment, searching for PLHIV lost for follow u</w:t>
            </w:r>
            <w:r w:rsidRPr="00436195">
              <w:rPr>
                <w:rFonts w:asciiTheme="minorHAnsi" w:hAnsiTheme="minorHAnsi"/>
                <w:sz w:val="20"/>
                <w:lang w:val="en-GB"/>
              </w:rPr>
              <w:t xml:space="preserve">p and </w:t>
            </w:r>
            <w:r w:rsidRPr="006F2EBD">
              <w:rPr>
                <w:rFonts w:asciiTheme="minorHAnsi" w:hAnsiTheme="minorHAnsi"/>
                <w:sz w:val="20"/>
                <w:lang w:val="en-GB"/>
              </w:rPr>
              <w:t xml:space="preserve">continue treatment of patients with high viral load. During the implementation of the current GF grant, a working group </w:t>
            </w:r>
            <w:proofErr w:type="gramStart"/>
            <w:r w:rsidRPr="006F2EBD">
              <w:rPr>
                <w:rFonts w:asciiTheme="minorHAnsi" w:hAnsiTheme="minorHAnsi"/>
                <w:sz w:val="20"/>
                <w:lang w:val="en-GB"/>
              </w:rPr>
              <w:t>was established</w:t>
            </w:r>
            <w:proofErr w:type="gramEnd"/>
            <w:r w:rsidRPr="006F2EBD">
              <w:rPr>
                <w:rFonts w:asciiTheme="minorHAnsi" w:hAnsiTheme="minorHAnsi"/>
                <w:sz w:val="20"/>
                <w:lang w:val="en-GB"/>
              </w:rPr>
              <w:t xml:space="preserve"> to verify the data on PLHIV. As an intersectoral group, it included representatives from the Vital Records Offices (ZAGS), </w:t>
            </w:r>
            <w:proofErr w:type="spellStart"/>
            <w:r w:rsidRPr="006F2EBD">
              <w:rPr>
                <w:rFonts w:asciiTheme="minorHAnsi" w:hAnsiTheme="minorHAnsi"/>
                <w:sz w:val="20"/>
                <w:lang w:val="en-GB"/>
              </w:rPr>
              <w:t>MoI</w:t>
            </w:r>
            <w:proofErr w:type="spellEnd"/>
            <w:r w:rsidRPr="006F2EBD">
              <w:rPr>
                <w:rFonts w:asciiTheme="minorHAnsi" w:hAnsiTheme="minorHAnsi"/>
                <w:sz w:val="20"/>
                <w:lang w:val="en-GB"/>
              </w:rPr>
              <w:t>, Border Service, State Registration Service and the Ministry of Health. This will enable determining the actual number of PLHIV accessible and living in the country. The first year of the plan's implementation proved the efficiency</w:t>
            </w:r>
            <w:r w:rsidRPr="00436195">
              <w:rPr>
                <w:rFonts w:asciiTheme="minorHAnsi" w:hAnsiTheme="minorHAnsi"/>
                <w:sz w:val="20"/>
                <w:lang w:val="en-GB"/>
              </w:rPr>
              <w:t xml:space="preserve"> of </w:t>
            </w:r>
            <w:r>
              <w:rPr>
                <w:rFonts w:asciiTheme="minorHAnsi" w:hAnsiTheme="minorHAnsi"/>
                <w:sz w:val="20"/>
                <w:lang w:val="en-GB"/>
              </w:rPr>
              <w:t xml:space="preserve">this </w:t>
            </w:r>
            <w:r w:rsidRPr="00436195">
              <w:rPr>
                <w:rFonts w:asciiTheme="minorHAnsi" w:hAnsiTheme="minorHAnsi"/>
                <w:sz w:val="20"/>
                <w:lang w:val="en-GB"/>
              </w:rPr>
              <w:t>integrated approach resulting in</w:t>
            </w:r>
            <w:r>
              <w:rPr>
                <w:rFonts w:asciiTheme="minorHAnsi" w:hAnsiTheme="minorHAnsi"/>
                <w:sz w:val="20"/>
                <w:lang w:val="en-GB"/>
              </w:rPr>
              <w:t xml:space="preserve"> an</w:t>
            </w:r>
            <w:r w:rsidRPr="00436195">
              <w:rPr>
                <w:rFonts w:asciiTheme="minorHAnsi" w:hAnsiTheme="minorHAnsi"/>
                <w:sz w:val="20"/>
                <w:lang w:val="en-GB"/>
              </w:rPr>
              <w:t xml:space="preserve"> improved treatment coverage by 1,170 PLHIV</w:t>
            </w:r>
            <w:r>
              <w:rPr>
                <w:rFonts w:asciiTheme="minorHAnsi" w:hAnsiTheme="minorHAnsi"/>
                <w:sz w:val="20"/>
                <w:lang w:val="en-GB"/>
              </w:rPr>
              <w:t>,</w:t>
            </w:r>
            <w:r w:rsidRPr="00436195">
              <w:rPr>
                <w:rFonts w:asciiTheme="minorHAnsi" w:hAnsiTheme="minorHAnsi"/>
                <w:sz w:val="20"/>
                <w:lang w:val="en-GB"/>
              </w:rPr>
              <w:t xml:space="preserve"> whereas the undetectable viral load increased by 20%. </w:t>
            </w:r>
          </w:p>
        </w:tc>
      </w:tr>
    </w:tbl>
    <w:p w14:paraId="319B2DEF" w14:textId="77777777" w:rsidR="00971DBD" w:rsidRDefault="00B654E1" w:rsidP="00485066">
      <w:pPr>
        <w:pStyle w:val="affff3"/>
        <w:rPr>
          <w:rFonts w:cs="Arial"/>
          <w:bCs/>
        </w:rPr>
      </w:pPr>
      <w:r>
        <w:rPr>
          <w:rFonts w:cs="Arial"/>
          <w:bCs/>
        </w:rPr>
        <w:t xml:space="preserve">  </w:t>
      </w:r>
    </w:p>
    <w:p w14:paraId="6A4D81D0" w14:textId="667D35A2" w:rsidR="00485066" w:rsidRPr="00971DBD" w:rsidRDefault="00971DBD" w:rsidP="00971DBD">
      <w:pPr>
        <w:spacing w:after="160" w:line="0" w:lineRule="auto"/>
        <w:rPr>
          <w:rFonts w:cs="Arial"/>
          <w:bCs/>
        </w:rPr>
      </w:pPr>
      <w:r>
        <w:rPr>
          <w:rFonts w:cs="Arial"/>
          <w:bCs/>
        </w:rPr>
        <w:br w:type="page"/>
      </w:r>
      <w:r w:rsidR="00B654E1" w:rsidRPr="00971DBD">
        <w:rPr>
          <w:rFonts w:cs="Arial"/>
          <w:bCs/>
        </w:rPr>
        <w:lastRenderedPageBreak/>
        <w:t xml:space="preserve">   </w:t>
      </w:r>
    </w:p>
    <w:p w14:paraId="283B565F" w14:textId="35B1B1E5" w:rsidR="001D57CE" w:rsidRPr="009A63DB" w:rsidRDefault="008D0B88" w:rsidP="009A63DB">
      <w:pPr>
        <w:pStyle w:val="21"/>
        <w:keepLines w:val="0"/>
        <w:numPr>
          <w:ilvl w:val="1"/>
          <w:numId w:val="18"/>
        </w:numPr>
        <w:shd w:val="clear" w:color="auto" w:fill="D9D9D9"/>
        <w:spacing w:before="0" w:line="257" w:lineRule="auto"/>
        <w:jc w:val="both"/>
      </w:pPr>
      <w:r w:rsidRPr="009A63DB">
        <w:rPr>
          <w:rFonts w:eastAsia="Times New Roman"/>
          <w:bCs w:val="0"/>
          <w:lang w:val="en-GB"/>
        </w:rPr>
        <w:t xml:space="preserve">Matching Funds </w:t>
      </w:r>
      <w:r w:rsidR="00F401B6">
        <w:rPr>
          <w:rFonts w:eastAsia="Times New Roman"/>
          <w:bCs w:val="0"/>
          <w:lang w:val="en-GB"/>
        </w:rPr>
        <w:t>(if applicable)</w:t>
      </w:r>
    </w:p>
    <w:p w14:paraId="2F558209" w14:textId="3ADB073D" w:rsidR="00F112AD" w:rsidRDefault="00F112AD" w:rsidP="00882DC3">
      <w:pPr>
        <w:spacing w:after="0" w:line="257" w:lineRule="auto"/>
        <w:jc w:val="both"/>
        <w:rPr>
          <w:lang w:val="en-GB" w:eastAsia="en-GB"/>
        </w:rPr>
      </w:pPr>
      <w:r>
        <w:rPr>
          <w:lang w:val="en-GB" w:eastAsia="en-GB"/>
        </w:rPr>
        <w:t xml:space="preserve">This question should only </w:t>
      </w:r>
      <w:proofErr w:type="gramStart"/>
      <w:r>
        <w:rPr>
          <w:lang w:val="en-GB" w:eastAsia="en-GB"/>
        </w:rPr>
        <w:t>be answered</w:t>
      </w:r>
      <w:proofErr w:type="gramEnd"/>
      <w:r>
        <w:rPr>
          <w:lang w:val="en-GB" w:eastAsia="en-GB"/>
        </w:rPr>
        <w:t xml:space="preserve"> by applicants with designated matching funds, as indicated in the allocation letter. </w:t>
      </w:r>
    </w:p>
    <w:p w14:paraId="50CC60AB" w14:textId="77777777" w:rsidR="00F112AD" w:rsidRDefault="00F112AD" w:rsidP="00882DC3">
      <w:pPr>
        <w:spacing w:after="0" w:line="257" w:lineRule="auto"/>
        <w:jc w:val="both"/>
        <w:rPr>
          <w:lang w:val="en-GB" w:eastAsia="en-GB"/>
        </w:rPr>
      </w:pPr>
    </w:p>
    <w:p w14:paraId="107978CE" w14:textId="318D5F6E" w:rsidR="00BE0F0C" w:rsidRDefault="00F112AD" w:rsidP="00882DC3">
      <w:pPr>
        <w:spacing w:after="0" w:line="257" w:lineRule="auto"/>
        <w:jc w:val="both"/>
        <w:rPr>
          <w:rFonts w:cs="Arial"/>
          <w:bCs/>
        </w:rPr>
      </w:pPr>
      <w:r>
        <w:rPr>
          <w:lang w:val="en-GB" w:eastAsia="en-GB"/>
        </w:rPr>
        <w:t>D</w:t>
      </w:r>
      <w:r w:rsidR="00D276B4">
        <w:rPr>
          <w:lang w:val="en-GB" w:eastAsia="en-GB"/>
        </w:rPr>
        <w:t>escribe</w:t>
      </w:r>
      <w:r w:rsidR="00B2724B">
        <w:rPr>
          <w:lang w:val="en-GB" w:eastAsia="en-GB"/>
        </w:rPr>
        <w:t xml:space="preserve"> how</w:t>
      </w:r>
      <w:r w:rsidR="00D276B4">
        <w:rPr>
          <w:lang w:val="en-GB" w:eastAsia="en-GB"/>
        </w:rPr>
        <w:t xml:space="preserve"> the </w:t>
      </w:r>
      <w:r w:rsidR="00D276B4" w:rsidRPr="0096146C">
        <w:rPr>
          <w:b/>
          <w:lang w:val="en-GB" w:eastAsia="en-GB"/>
        </w:rPr>
        <w:t>programmatic and financial conditions</w:t>
      </w:r>
      <w:r w:rsidR="005028D9">
        <w:rPr>
          <w:lang w:val="en-GB" w:eastAsia="en-GB"/>
        </w:rPr>
        <w:t xml:space="preserve">, </w:t>
      </w:r>
      <w:r w:rsidR="00D276B4">
        <w:rPr>
          <w:lang w:val="en-GB" w:eastAsia="en-GB"/>
        </w:rPr>
        <w:t xml:space="preserve">as outlined in </w:t>
      </w:r>
      <w:r>
        <w:rPr>
          <w:lang w:val="en-GB" w:eastAsia="en-GB"/>
        </w:rPr>
        <w:t xml:space="preserve">the </w:t>
      </w:r>
      <w:r w:rsidR="009B1BDA">
        <w:rPr>
          <w:lang w:val="en-GB" w:eastAsia="en-GB"/>
        </w:rPr>
        <w:t>a</w:t>
      </w:r>
      <w:r w:rsidR="00D276B4">
        <w:rPr>
          <w:lang w:val="en-GB" w:eastAsia="en-GB"/>
        </w:rPr>
        <w:t xml:space="preserve">llocation </w:t>
      </w:r>
      <w:r w:rsidR="009B1BDA">
        <w:rPr>
          <w:lang w:val="en-GB" w:eastAsia="en-GB"/>
        </w:rPr>
        <w:t>l</w:t>
      </w:r>
      <w:r w:rsidR="00D276B4">
        <w:rPr>
          <w:lang w:val="en-GB" w:eastAsia="en-GB"/>
        </w:rPr>
        <w:t>ett</w:t>
      </w:r>
      <w:r w:rsidR="001D57CE">
        <w:rPr>
          <w:lang w:val="en-GB" w:eastAsia="en-GB"/>
        </w:rPr>
        <w:t>e</w:t>
      </w:r>
      <w:r w:rsidR="00D276B4">
        <w:rPr>
          <w:lang w:val="en-GB" w:eastAsia="en-GB"/>
        </w:rPr>
        <w:t>r</w:t>
      </w:r>
      <w:r w:rsidR="005028D9">
        <w:rPr>
          <w:lang w:val="en-GB"/>
        </w:rPr>
        <w:t xml:space="preserve">, </w:t>
      </w:r>
      <w:r w:rsidR="002624AD">
        <w:rPr>
          <w:lang w:val="en-GB" w:eastAsia="en-GB"/>
        </w:rPr>
        <w:t>have</w:t>
      </w:r>
      <w:r w:rsidR="005028D9">
        <w:rPr>
          <w:lang w:val="en-GB" w:eastAsia="en-GB"/>
        </w:rPr>
        <w:t xml:space="preserve"> </w:t>
      </w:r>
      <w:proofErr w:type="gramStart"/>
      <w:r w:rsidR="005028D9">
        <w:rPr>
          <w:lang w:val="en-GB" w:eastAsia="en-GB"/>
        </w:rPr>
        <w:t>been met</w:t>
      </w:r>
      <w:proofErr w:type="gramEnd"/>
      <w:r w:rsidR="00DC7BE1">
        <w:rPr>
          <w:lang w:val="en-GB" w:eastAsia="en-GB"/>
        </w:rPr>
        <w:t>.</w:t>
      </w:r>
      <w:r w:rsidR="005028D9">
        <w:rPr>
          <w:lang w:val="en-GB" w:eastAsia="en-GB"/>
        </w:rPr>
        <w:t xml:space="preserve"> </w:t>
      </w:r>
    </w:p>
    <w:p w14:paraId="31C1A032" w14:textId="0AFDB40F" w:rsidR="006253D6" w:rsidRPr="00125D85" w:rsidRDefault="006253D6" w:rsidP="00882DC3">
      <w:pPr>
        <w:spacing w:after="0" w:line="257" w:lineRule="auto"/>
        <w:jc w:val="both"/>
        <w:rPr>
          <w:rFonts w:cs="Arial"/>
          <w:bCs/>
        </w:rPr>
      </w:pPr>
    </w:p>
    <w:tbl>
      <w:tblPr>
        <w:tblStyle w:val="aa"/>
        <w:tblW w:w="0" w:type="auto"/>
        <w:tblLook w:val="04A0" w:firstRow="1" w:lastRow="0" w:firstColumn="1" w:lastColumn="0" w:noHBand="0" w:noVBand="1"/>
      </w:tblPr>
      <w:tblGrid>
        <w:gridCol w:w="10456"/>
      </w:tblGrid>
      <w:tr w:rsidR="006253D6" w:rsidRPr="006F2EBD" w14:paraId="7F8F06C0" w14:textId="77777777" w:rsidTr="005279BC">
        <w:tc>
          <w:tcPr>
            <w:tcW w:w="10790" w:type="dxa"/>
          </w:tcPr>
          <w:p w14:paraId="1F1C3A80" w14:textId="45778FB8" w:rsidR="00397B91" w:rsidRPr="006F2EBD" w:rsidRDefault="00F00FAC" w:rsidP="00214AFE">
            <w:pPr>
              <w:jc w:val="both"/>
              <w:rPr>
                <w:rFonts w:cs="Arial"/>
              </w:rPr>
            </w:pPr>
            <w:r w:rsidRPr="006F2EBD">
              <w:rPr>
                <w:rFonts w:asciiTheme="minorHAnsi" w:eastAsia="Times New Roman" w:hAnsiTheme="minorHAnsi" w:cs="Times New Roman"/>
                <w:sz w:val="20"/>
                <w:szCs w:val="20"/>
                <w:lang w:val="en-GB"/>
              </w:rPr>
              <w:t xml:space="preserve">The matching funds component takes account of all provisions outlined in the GF notification letter for all seven programmatic areas to reduce legal barriers. This component </w:t>
            </w:r>
            <w:proofErr w:type="gramStart"/>
            <w:r w:rsidRPr="006F2EBD">
              <w:rPr>
                <w:rFonts w:asciiTheme="minorHAnsi" w:eastAsia="Times New Roman" w:hAnsiTheme="minorHAnsi" w:cs="Times New Roman"/>
                <w:sz w:val="20"/>
                <w:szCs w:val="20"/>
                <w:lang w:val="en-GB"/>
              </w:rPr>
              <w:t>was developed</w:t>
            </w:r>
            <w:proofErr w:type="gramEnd"/>
            <w:r w:rsidRPr="006F2EBD">
              <w:rPr>
                <w:rFonts w:asciiTheme="minorHAnsi" w:eastAsia="Times New Roman" w:hAnsiTheme="minorHAnsi" w:cs="Times New Roman"/>
                <w:sz w:val="20"/>
                <w:szCs w:val="20"/>
                <w:lang w:val="en-GB"/>
              </w:rPr>
              <w:t xml:space="preserve"> based on the situational analysis and the prioritized most urgent needs of the country. To reflect the complexity of interventions, the activities under this component </w:t>
            </w:r>
            <w:proofErr w:type="gramStart"/>
            <w:r w:rsidRPr="006F2EBD">
              <w:rPr>
                <w:rFonts w:asciiTheme="minorHAnsi" w:eastAsia="Times New Roman" w:hAnsiTheme="minorHAnsi" w:cs="Times New Roman"/>
                <w:sz w:val="20"/>
                <w:szCs w:val="20"/>
                <w:lang w:val="en-GB"/>
              </w:rPr>
              <w:t>are outlined</w:t>
            </w:r>
            <w:proofErr w:type="gramEnd"/>
            <w:r w:rsidRPr="006F2EBD">
              <w:rPr>
                <w:rFonts w:asciiTheme="minorHAnsi" w:eastAsia="Times New Roman" w:hAnsiTheme="minorHAnsi" w:cs="Times New Roman"/>
                <w:sz w:val="20"/>
                <w:szCs w:val="20"/>
                <w:lang w:val="en-GB"/>
              </w:rPr>
              <w:t xml:space="preserve"> in the sequence based on their priority for the Kyrgyz Republic and the impact to reducing legal barriers. To this end, the authors have combined separate modules to demonstrate a coherent algorithm of actions – varying from monitoring legislation and law enforcement practices to real interventions to make a difference. The component </w:t>
            </w:r>
            <w:proofErr w:type="gramStart"/>
            <w:r w:rsidRPr="006F2EBD">
              <w:rPr>
                <w:rFonts w:asciiTheme="minorHAnsi" w:eastAsia="Times New Roman" w:hAnsiTheme="minorHAnsi" w:cs="Times New Roman"/>
                <w:sz w:val="20"/>
                <w:szCs w:val="20"/>
                <w:lang w:val="en-GB"/>
              </w:rPr>
              <w:t>was developed</w:t>
            </w:r>
            <w:proofErr w:type="gramEnd"/>
            <w:r w:rsidRPr="006F2EBD">
              <w:rPr>
                <w:rFonts w:asciiTheme="minorHAnsi" w:eastAsia="Times New Roman" w:hAnsiTheme="minorHAnsi" w:cs="Times New Roman"/>
                <w:sz w:val="20"/>
                <w:szCs w:val="20"/>
                <w:lang w:val="en-GB"/>
              </w:rPr>
              <w:t xml:space="preserve"> based on outcomes of the ongoing grant as well as the rapid assessment of legal barriers carried out in consultation with communities, governmental and non-governmental organisations. The efforts to remove legal barriers will </w:t>
            </w:r>
            <w:proofErr w:type="gramStart"/>
            <w:r w:rsidRPr="006F2EBD">
              <w:rPr>
                <w:rFonts w:asciiTheme="minorHAnsi" w:eastAsia="Times New Roman" w:hAnsiTheme="minorHAnsi" w:cs="Times New Roman"/>
                <w:sz w:val="20"/>
                <w:szCs w:val="20"/>
                <w:lang w:val="en-GB"/>
              </w:rPr>
              <w:t>be implemented</w:t>
            </w:r>
            <w:proofErr w:type="gramEnd"/>
            <w:r w:rsidRPr="006F2EBD">
              <w:rPr>
                <w:rFonts w:asciiTheme="minorHAnsi" w:eastAsia="Times New Roman" w:hAnsiTheme="minorHAnsi" w:cs="Times New Roman"/>
                <w:sz w:val="20"/>
                <w:szCs w:val="20"/>
                <w:lang w:val="en-GB"/>
              </w:rPr>
              <w:t xml:space="preserve"> in close coordination with the components on HIV and TB. Countering stigma and discrimination and promoting gender equality will be cross-cutting issues covered both under matching funds as well as the HIV and TB components. The grant will support documenting cases of human rights violation among key populations with a focus on issues of domestic violence and its implications for accessing services. Other partner interventions (UN Agencies, PEPFAR, and others) </w:t>
            </w:r>
            <w:proofErr w:type="gramStart"/>
            <w:r w:rsidRPr="006F2EBD">
              <w:rPr>
                <w:rFonts w:asciiTheme="minorHAnsi" w:eastAsia="Times New Roman" w:hAnsiTheme="minorHAnsi" w:cs="Times New Roman"/>
                <w:sz w:val="20"/>
                <w:szCs w:val="20"/>
                <w:lang w:val="en-GB"/>
              </w:rPr>
              <w:t>were considered</w:t>
            </w:r>
            <w:proofErr w:type="gramEnd"/>
            <w:r w:rsidRPr="006F2EBD">
              <w:rPr>
                <w:rFonts w:asciiTheme="minorHAnsi" w:eastAsia="Times New Roman" w:hAnsiTheme="minorHAnsi" w:cs="Times New Roman"/>
                <w:sz w:val="20"/>
                <w:szCs w:val="20"/>
                <w:lang w:val="en-GB"/>
              </w:rPr>
              <w:t xml:space="preserve"> when developing this section of the funding request. This grant will </w:t>
            </w:r>
            <w:proofErr w:type="gramStart"/>
            <w:r w:rsidRPr="006F2EBD">
              <w:rPr>
                <w:rFonts w:asciiTheme="minorHAnsi" w:eastAsia="Times New Roman" w:hAnsiTheme="minorHAnsi" w:cs="Times New Roman"/>
                <w:sz w:val="20"/>
                <w:szCs w:val="20"/>
                <w:lang w:val="en-GB"/>
              </w:rPr>
              <w:t>be focused</w:t>
            </w:r>
            <w:proofErr w:type="gramEnd"/>
            <w:r w:rsidRPr="006F2EBD">
              <w:rPr>
                <w:rFonts w:asciiTheme="minorHAnsi" w:eastAsia="Times New Roman" w:hAnsiTheme="minorHAnsi" w:cs="Times New Roman"/>
                <w:sz w:val="20"/>
                <w:szCs w:val="20"/>
                <w:lang w:val="en-GB"/>
              </w:rPr>
              <w:t xml:space="preserve"> on promoting better resilience and the institutionalisation of achievements. Above all, interventions to address legal barriers will be unified both for HIV and TB components across all areas of the component. The efforts will aim at achieving tangible outcomes – processing study or survey materials, assessments, documented human rights violations until their completion – passing managerial decisions. The interventions to overcome legal barriers will ensure improved coverage and efficacy of HIV and TB prevention and treatment services. Reducing stigma and discrimination towards key population populations will improve access to services and ensure the continuity of care at all stages of the HIV and TB treatment cascade. The partnership and interaction between government agencies and civil society organisations in terms of achieving HIV and TB programme goals will </w:t>
            </w:r>
            <w:proofErr w:type="gramStart"/>
            <w:r w:rsidRPr="006F2EBD">
              <w:rPr>
                <w:rFonts w:asciiTheme="minorHAnsi" w:eastAsia="Times New Roman" w:hAnsiTheme="minorHAnsi" w:cs="Times New Roman"/>
                <w:sz w:val="20"/>
                <w:szCs w:val="20"/>
                <w:lang w:val="en-GB"/>
              </w:rPr>
              <w:t>be strengthened</w:t>
            </w:r>
            <w:proofErr w:type="gramEnd"/>
            <w:r w:rsidRPr="006F2EBD">
              <w:rPr>
                <w:rFonts w:asciiTheme="minorHAnsi" w:eastAsia="Times New Roman" w:hAnsiTheme="minorHAnsi" w:cs="Times New Roman"/>
                <w:sz w:val="20"/>
                <w:szCs w:val="20"/>
                <w:lang w:val="en-GB"/>
              </w:rPr>
              <w:t>.</w:t>
            </w:r>
          </w:p>
        </w:tc>
      </w:tr>
    </w:tbl>
    <w:p w14:paraId="38A3CF94" w14:textId="7FBBD9D5" w:rsidR="004B4E06" w:rsidRDefault="004B4E06" w:rsidP="001F7F10">
      <w:pPr>
        <w:spacing w:after="160" w:line="0" w:lineRule="auto"/>
        <w:rPr>
          <w:rFonts w:cs="Arial"/>
          <w:szCs w:val="20"/>
        </w:rPr>
      </w:pPr>
    </w:p>
    <w:p w14:paraId="029FFBE8" w14:textId="7BC4C48C" w:rsidR="001F7F10" w:rsidRDefault="00397B91" w:rsidP="00397B91">
      <w:pPr>
        <w:tabs>
          <w:tab w:val="left" w:pos="921"/>
        </w:tabs>
        <w:spacing w:after="160" w:line="0" w:lineRule="auto"/>
        <w:rPr>
          <w:rFonts w:cs="Arial"/>
          <w:szCs w:val="20"/>
        </w:rPr>
      </w:pPr>
      <w:r>
        <w:rPr>
          <w:rFonts w:cs="Arial"/>
          <w:szCs w:val="20"/>
        </w:rPr>
        <w:tab/>
      </w:r>
    </w:p>
    <w:p w14:paraId="412779C7" w14:textId="14CC97B9" w:rsidR="00485066" w:rsidRPr="009A63DB" w:rsidRDefault="00824D66" w:rsidP="00971DBD">
      <w:pPr>
        <w:pStyle w:val="1"/>
        <w:numPr>
          <w:ilvl w:val="0"/>
          <w:numId w:val="0"/>
        </w:numPr>
        <w:pBdr>
          <w:top w:val="single" w:sz="6" w:space="1" w:color="D9D9D9" w:themeColor="background1" w:themeShade="D9"/>
          <w:left w:val="single" w:sz="6" w:space="4" w:color="D9D9D9" w:themeColor="background1" w:themeShade="D9"/>
          <w:bottom w:val="single" w:sz="6" w:space="1" w:color="D9D9D9" w:themeColor="background1" w:themeShade="D9"/>
          <w:right w:val="single" w:sz="6" w:space="4" w:color="D9D9D9" w:themeColor="background1" w:themeShade="D9"/>
        </w:pBdr>
        <w:shd w:val="clear" w:color="auto" w:fill="D9D9D9" w:themeFill="background1" w:themeFillShade="D9"/>
        <w:spacing w:before="0" w:after="0"/>
        <w:jc w:val="both"/>
        <w:rPr>
          <w:b/>
          <w:sz w:val="30"/>
        </w:rPr>
      </w:pPr>
      <w:bookmarkStart w:id="3" w:name="_Toc7075896"/>
      <w:bookmarkStart w:id="4" w:name="_Toc7080092"/>
      <w:bookmarkStart w:id="5" w:name="_Toc7080213"/>
      <w:bookmarkStart w:id="6" w:name="_Toc7080228"/>
      <w:bookmarkStart w:id="7" w:name="_Toc7082335"/>
      <w:bookmarkStart w:id="8" w:name="_Toc1122238"/>
      <w:bookmarkStart w:id="9" w:name="_Toc1127667"/>
      <w:bookmarkStart w:id="10" w:name="_Toc5011519"/>
      <w:bookmarkStart w:id="11" w:name="_Toc5195533"/>
      <w:bookmarkStart w:id="12" w:name="_Toc6994679"/>
      <w:bookmarkStart w:id="13" w:name="_Toc7000520"/>
      <w:bookmarkStart w:id="14" w:name="_Toc7000630"/>
      <w:bookmarkStart w:id="15" w:name="_Toc7074796"/>
      <w:r>
        <w:rPr>
          <w:b/>
          <w:sz w:val="30"/>
        </w:rPr>
        <w:t xml:space="preserve">Section 2: </w:t>
      </w:r>
      <w:r w:rsidR="00485066" w:rsidRPr="009A63DB">
        <w:rPr>
          <w:b/>
          <w:sz w:val="30"/>
        </w:rPr>
        <w:t xml:space="preserve">Operationalization and Implementation Arrangements </w:t>
      </w:r>
    </w:p>
    <w:bookmarkEnd w:id="3"/>
    <w:bookmarkEnd w:id="4"/>
    <w:bookmarkEnd w:id="5"/>
    <w:bookmarkEnd w:id="6"/>
    <w:bookmarkEnd w:id="7"/>
    <w:bookmarkEnd w:id="8"/>
    <w:bookmarkEnd w:id="9"/>
    <w:bookmarkEnd w:id="10"/>
    <w:bookmarkEnd w:id="11"/>
    <w:bookmarkEnd w:id="12"/>
    <w:bookmarkEnd w:id="13"/>
    <w:bookmarkEnd w:id="14"/>
    <w:bookmarkEnd w:id="15"/>
    <w:p w14:paraId="45778DA3" w14:textId="77777777" w:rsidR="00AA45C3" w:rsidRDefault="00AA45C3" w:rsidP="00485066">
      <w:pPr>
        <w:spacing w:after="0"/>
        <w:contextualSpacing/>
        <w:rPr>
          <w:rFonts w:cs="Arial"/>
          <w:bCs/>
          <w:iCs/>
        </w:rPr>
      </w:pPr>
    </w:p>
    <w:p w14:paraId="2277A076" w14:textId="73847CB4" w:rsidR="00485066" w:rsidRDefault="00485066" w:rsidP="004619FD">
      <w:pPr>
        <w:spacing w:after="0"/>
        <w:contextualSpacing/>
        <w:jc w:val="both"/>
        <w:rPr>
          <w:rFonts w:cs="Arial"/>
          <w:bCs/>
          <w:iCs/>
        </w:rPr>
      </w:pPr>
      <w:r w:rsidRPr="001D57CE">
        <w:rPr>
          <w:rFonts w:cs="Arial"/>
          <w:bCs/>
          <w:iCs/>
        </w:rPr>
        <w:t>To respond</w:t>
      </w:r>
      <w:r w:rsidR="00A522BA">
        <w:rPr>
          <w:rFonts w:cs="Arial"/>
          <w:bCs/>
          <w:iCs/>
        </w:rPr>
        <w:t xml:space="preserve"> to the questions below</w:t>
      </w:r>
      <w:r w:rsidRPr="001D57CE">
        <w:rPr>
          <w:rFonts w:cs="Arial"/>
          <w:bCs/>
          <w:iCs/>
        </w:rPr>
        <w:t xml:space="preserve">, refer to the </w:t>
      </w:r>
      <w:r w:rsidRPr="00F62A97">
        <w:rPr>
          <w:rFonts w:cs="Arial"/>
          <w:i/>
        </w:rPr>
        <w:t>Instructions</w:t>
      </w:r>
      <w:r w:rsidR="000E0ACF">
        <w:rPr>
          <w:rFonts w:cs="Arial"/>
          <w:bCs/>
          <w:iCs/>
        </w:rPr>
        <w:t xml:space="preserve"> </w:t>
      </w:r>
      <w:r w:rsidR="00E46CA3">
        <w:rPr>
          <w:rFonts w:cs="Arial"/>
          <w:bCs/>
          <w:iCs/>
        </w:rPr>
        <w:t xml:space="preserve">and </w:t>
      </w:r>
      <w:r w:rsidR="002E1987">
        <w:rPr>
          <w:rFonts w:cs="Arial"/>
          <w:bCs/>
          <w:iCs/>
        </w:rPr>
        <w:t xml:space="preserve">an </w:t>
      </w:r>
      <w:r w:rsidR="00475BE9">
        <w:rPr>
          <w:rFonts w:cs="Arial"/>
          <w:bCs/>
          <w:iCs/>
        </w:rPr>
        <w:t xml:space="preserve">updated </w:t>
      </w:r>
      <w:r w:rsidR="0004628A">
        <w:rPr>
          <w:rFonts w:cs="Arial"/>
          <w:b/>
          <w:bCs/>
          <w:iCs/>
        </w:rPr>
        <w:t>I</w:t>
      </w:r>
      <w:r w:rsidR="000242DD" w:rsidRPr="00475BE9">
        <w:rPr>
          <w:rFonts w:cs="Arial"/>
          <w:b/>
          <w:bCs/>
          <w:iCs/>
        </w:rPr>
        <w:t xml:space="preserve">mplementation </w:t>
      </w:r>
      <w:r w:rsidR="0004628A">
        <w:rPr>
          <w:rFonts w:cs="Arial"/>
          <w:b/>
          <w:bCs/>
          <w:iCs/>
        </w:rPr>
        <w:t>A</w:t>
      </w:r>
      <w:r w:rsidR="0004628A" w:rsidRPr="00475BE9">
        <w:rPr>
          <w:rFonts w:cs="Arial"/>
          <w:b/>
          <w:bCs/>
          <w:iCs/>
        </w:rPr>
        <w:t xml:space="preserve">rrangement </w:t>
      </w:r>
      <w:r w:rsidR="0004628A">
        <w:rPr>
          <w:rFonts w:cs="Arial"/>
          <w:b/>
          <w:bCs/>
          <w:iCs/>
        </w:rPr>
        <w:t>M</w:t>
      </w:r>
      <w:r w:rsidR="0004628A" w:rsidRPr="00475BE9">
        <w:rPr>
          <w:rFonts w:cs="Arial"/>
          <w:b/>
          <w:bCs/>
          <w:iCs/>
        </w:rPr>
        <w:t>ap</w:t>
      </w:r>
      <w:r w:rsidR="000242DD">
        <w:rPr>
          <w:rStyle w:val="af"/>
          <w:rFonts w:cs="Arial"/>
          <w:bCs/>
          <w:iCs/>
        </w:rPr>
        <w:footnoteReference w:id="42"/>
      </w:r>
      <w:r w:rsidRPr="001D57CE">
        <w:rPr>
          <w:rFonts w:cs="Arial"/>
          <w:bCs/>
          <w:iCs/>
        </w:rPr>
        <w:t>.</w:t>
      </w:r>
    </w:p>
    <w:p w14:paraId="4B7380D8" w14:textId="2922C353" w:rsidR="00A375A9" w:rsidRDefault="00A375A9" w:rsidP="004619FD">
      <w:pPr>
        <w:spacing w:after="0"/>
        <w:contextualSpacing/>
        <w:jc w:val="both"/>
        <w:rPr>
          <w:rFonts w:cs="Arial"/>
          <w:bCs/>
          <w:iCs/>
        </w:rPr>
      </w:pPr>
    </w:p>
    <w:p w14:paraId="399C718E" w14:textId="41F15FFE" w:rsidR="00485066" w:rsidRPr="001D57CE" w:rsidRDefault="00485066" w:rsidP="008B5FE3">
      <w:pPr>
        <w:pStyle w:val="affff3"/>
        <w:numPr>
          <w:ilvl w:val="0"/>
          <w:numId w:val="20"/>
        </w:numPr>
        <w:spacing w:after="0" w:line="260" w:lineRule="atLeast"/>
        <w:rPr>
          <w:rFonts w:cs="Arial"/>
        </w:rPr>
      </w:pPr>
      <w:r w:rsidRPr="001D57CE">
        <w:rPr>
          <w:rFonts w:cs="Arial"/>
        </w:rPr>
        <w:t xml:space="preserve">Describe how the proposed </w:t>
      </w:r>
      <w:r w:rsidRPr="00F401B6">
        <w:rPr>
          <w:rFonts w:cs="Arial"/>
          <w:b/>
        </w:rPr>
        <w:t>implementation arrangements</w:t>
      </w:r>
      <w:r w:rsidRPr="001D57CE">
        <w:rPr>
          <w:rFonts w:cs="Arial"/>
        </w:rPr>
        <w:t xml:space="preserve"> will ensure </w:t>
      </w:r>
      <w:r w:rsidRPr="00F401B6">
        <w:rPr>
          <w:rFonts w:cs="Arial"/>
        </w:rPr>
        <w:t>efficient program delivery</w:t>
      </w:r>
      <w:r w:rsidR="00D87F02" w:rsidRPr="001D57CE">
        <w:rPr>
          <w:rFonts w:cs="Arial"/>
        </w:rPr>
        <w:t>.</w:t>
      </w:r>
      <w:r w:rsidRPr="001D57CE">
        <w:br/>
      </w:r>
    </w:p>
    <w:tbl>
      <w:tblPr>
        <w:tblStyle w:val="aa"/>
        <w:tblW w:w="0" w:type="auto"/>
        <w:tblLook w:val="04A0" w:firstRow="1" w:lastRow="0" w:firstColumn="1" w:lastColumn="0" w:noHBand="0" w:noVBand="1"/>
      </w:tblPr>
      <w:tblGrid>
        <w:gridCol w:w="10456"/>
      </w:tblGrid>
      <w:tr w:rsidR="00485066" w:rsidRPr="001D57CE" w14:paraId="375CA32D" w14:textId="77777777" w:rsidTr="005279BC">
        <w:tc>
          <w:tcPr>
            <w:tcW w:w="10790" w:type="dxa"/>
          </w:tcPr>
          <w:p w14:paraId="5299E385" w14:textId="77777777" w:rsidR="00F00FAC" w:rsidRPr="00436195" w:rsidRDefault="00F00FAC" w:rsidP="00F00FAC">
            <w:pPr>
              <w:jc w:val="both"/>
              <w:rPr>
                <w:rFonts w:asciiTheme="minorHAnsi" w:hAnsiTheme="minorHAnsi"/>
                <w:sz w:val="20"/>
                <w:lang w:val="en-GB"/>
              </w:rPr>
            </w:pPr>
            <w:r w:rsidRPr="00436195">
              <w:rPr>
                <w:rFonts w:asciiTheme="minorHAnsi" w:hAnsiTheme="minorHAnsi"/>
                <w:sz w:val="20"/>
                <w:lang w:val="en-GB"/>
              </w:rPr>
              <w:t xml:space="preserve">The scheduled implementation arrangements presented below are deemed as </w:t>
            </w:r>
            <w:proofErr w:type="gramStart"/>
            <w:r w:rsidRPr="00436195">
              <w:rPr>
                <w:rFonts w:asciiTheme="minorHAnsi" w:hAnsiTheme="minorHAnsi"/>
                <w:sz w:val="20"/>
                <w:lang w:val="en-GB"/>
              </w:rPr>
              <w:t>fairly effective</w:t>
            </w:r>
            <w:proofErr w:type="gramEnd"/>
            <w:r w:rsidRPr="00436195">
              <w:rPr>
                <w:rFonts w:asciiTheme="minorHAnsi" w:hAnsiTheme="minorHAnsi"/>
                <w:sz w:val="20"/>
                <w:lang w:val="en-GB"/>
              </w:rPr>
              <w:t xml:space="preserve"> to achieve the program</w:t>
            </w:r>
            <w:r>
              <w:rPr>
                <w:rFonts w:asciiTheme="minorHAnsi" w:hAnsiTheme="minorHAnsi"/>
                <w:sz w:val="20"/>
                <w:lang w:val="en-GB"/>
              </w:rPr>
              <w:t>me</w:t>
            </w:r>
            <w:r w:rsidRPr="00436195">
              <w:rPr>
                <w:rFonts w:asciiTheme="minorHAnsi" w:hAnsiTheme="minorHAnsi"/>
                <w:sz w:val="20"/>
                <w:lang w:val="en-GB"/>
              </w:rPr>
              <w:t xml:space="preserve"> objectives and the expected impact.</w:t>
            </w:r>
          </w:p>
          <w:p w14:paraId="74BA4A77" w14:textId="3CC9BA63" w:rsidR="00F00FAC" w:rsidRDefault="00F00FAC" w:rsidP="00F00FAC">
            <w:pPr>
              <w:jc w:val="both"/>
              <w:rPr>
                <w:rFonts w:asciiTheme="minorHAnsi" w:hAnsiTheme="minorHAnsi"/>
                <w:sz w:val="20"/>
                <w:lang w:val="en-GB"/>
              </w:rPr>
            </w:pPr>
            <w:r w:rsidRPr="00436195">
              <w:rPr>
                <w:rFonts w:asciiTheme="minorHAnsi" w:hAnsiTheme="minorHAnsi"/>
                <w:sz w:val="20"/>
                <w:lang w:val="en-GB"/>
              </w:rPr>
              <w:t xml:space="preserve">The United Nations Development Program (UNDP), the ongoing Principal Recipient (PR), </w:t>
            </w:r>
            <w:r>
              <w:rPr>
                <w:rFonts w:asciiTheme="minorHAnsi" w:hAnsiTheme="minorHAnsi"/>
                <w:sz w:val="20"/>
                <w:lang w:val="en-GB"/>
              </w:rPr>
              <w:t>fulfil</w:t>
            </w:r>
            <w:r w:rsidRPr="00436195">
              <w:rPr>
                <w:rFonts w:asciiTheme="minorHAnsi" w:hAnsiTheme="minorHAnsi"/>
                <w:sz w:val="20"/>
                <w:lang w:val="en-GB"/>
              </w:rPr>
              <w:t xml:space="preserve">s its functions and implements procedures in line with GF requirements as well as national legislation. </w:t>
            </w:r>
            <w:r>
              <w:rPr>
                <w:rFonts w:asciiTheme="minorHAnsi" w:hAnsiTheme="minorHAnsi"/>
                <w:sz w:val="20"/>
                <w:lang w:val="en-GB"/>
              </w:rPr>
              <w:t xml:space="preserve">The </w:t>
            </w:r>
            <w:r w:rsidRPr="00436195">
              <w:rPr>
                <w:rFonts w:asciiTheme="minorHAnsi" w:hAnsiTheme="minorHAnsi"/>
                <w:sz w:val="20"/>
                <w:lang w:val="en-GB"/>
              </w:rPr>
              <w:t>PR is responsible for project implementation including the supervision of sub-recipients (SR) and sub-sub-recipients (SSR). UNDP fulfils the functions of procurement (health and non-health products, equipment and services), project’s financial management, monitoring and evaluation, as well as reporting to the GF.</w:t>
            </w:r>
          </w:p>
          <w:p w14:paraId="6F1120D8" w14:textId="3AFD2359" w:rsidR="00F00FAC" w:rsidRPr="00436195" w:rsidRDefault="00F00FAC" w:rsidP="00F00FAC">
            <w:pPr>
              <w:jc w:val="both"/>
              <w:rPr>
                <w:rFonts w:asciiTheme="minorHAnsi" w:hAnsiTheme="minorHAnsi"/>
                <w:color w:val="FF0000"/>
                <w:sz w:val="20"/>
                <w:lang w:val="en-GB"/>
              </w:rPr>
            </w:pPr>
            <w:r w:rsidRPr="00436195">
              <w:rPr>
                <w:rFonts w:asciiTheme="minorHAnsi" w:hAnsiTheme="minorHAnsi"/>
                <w:sz w:val="20"/>
                <w:lang w:val="en-GB"/>
              </w:rPr>
              <w:t xml:space="preserve">The HIV and TB </w:t>
            </w:r>
            <w:r>
              <w:rPr>
                <w:rFonts w:asciiTheme="minorHAnsi" w:hAnsiTheme="minorHAnsi"/>
                <w:sz w:val="20"/>
                <w:lang w:val="en-GB"/>
              </w:rPr>
              <w:t>Country Coordinating</w:t>
            </w:r>
            <w:r w:rsidRPr="00436195">
              <w:rPr>
                <w:rFonts w:asciiTheme="minorHAnsi" w:hAnsiTheme="minorHAnsi"/>
                <w:sz w:val="20"/>
                <w:lang w:val="en-GB"/>
              </w:rPr>
              <w:t xml:space="preserve"> Mechanism (CCM) under the Coordinating Council of Public Health (CCPH/KSOZ) will continue to oversee the project implementation and ensure </w:t>
            </w:r>
            <w:r>
              <w:rPr>
                <w:rFonts w:asciiTheme="minorHAnsi" w:hAnsiTheme="minorHAnsi"/>
                <w:sz w:val="20"/>
                <w:lang w:val="en-GB"/>
              </w:rPr>
              <w:t xml:space="preserve">the </w:t>
            </w:r>
            <w:r w:rsidRPr="00436195">
              <w:rPr>
                <w:rFonts w:asciiTheme="minorHAnsi" w:hAnsiTheme="minorHAnsi"/>
                <w:sz w:val="20"/>
                <w:lang w:val="en-GB"/>
              </w:rPr>
              <w:t>proper coordination across various sectors and program</w:t>
            </w:r>
            <w:r>
              <w:rPr>
                <w:rFonts w:asciiTheme="minorHAnsi" w:hAnsiTheme="minorHAnsi"/>
                <w:sz w:val="20"/>
                <w:lang w:val="en-GB"/>
              </w:rPr>
              <w:t>me</w:t>
            </w:r>
            <w:r w:rsidRPr="00436195">
              <w:rPr>
                <w:rFonts w:asciiTheme="minorHAnsi" w:hAnsiTheme="minorHAnsi"/>
                <w:sz w:val="20"/>
                <w:lang w:val="en-GB"/>
              </w:rPr>
              <w:t>s</w:t>
            </w:r>
            <w:r>
              <w:rPr>
                <w:rFonts w:asciiTheme="minorHAnsi" w:hAnsiTheme="minorHAnsi"/>
                <w:sz w:val="20"/>
                <w:lang w:val="en-GB"/>
              </w:rPr>
              <w:t>,</w:t>
            </w:r>
            <w:r w:rsidRPr="00436195">
              <w:rPr>
                <w:rFonts w:asciiTheme="minorHAnsi" w:hAnsiTheme="minorHAnsi"/>
                <w:sz w:val="20"/>
                <w:lang w:val="en-GB"/>
              </w:rPr>
              <w:t xml:space="preserve"> which will ensure alignment of </w:t>
            </w:r>
            <w:r w:rsidRPr="002C2934">
              <w:rPr>
                <w:rFonts w:asciiTheme="minorHAnsi" w:hAnsiTheme="minorHAnsi"/>
                <w:sz w:val="20"/>
                <w:lang w:val="en-GB"/>
              </w:rPr>
              <w:t xml:space="preserve">all ongoing activities and prevent inefficient use of funds, overlapping of activities, etc. Twice a year, UNDP will submit the grant performance dashboard for the CCM to review it. </w:t>
            </w:r>
            <w:r>
              <w:rPr>
                <w:rFonts w:asciiTheme="minorHAnsi" w:hAnsiTheme="minorHAnsi"/>
                <w:sz w:val="20"/>
                <w:lang w:val="en-GB"/>
              </w:rPr>
              <w:t>This</w:t>
            </w:r>
            <w:r w:rsidRPr="002C2934">
              <w:rPr>
                <w:rFonts w:asciiTheme="minorHAnsi" w:hAnsiTheme="minorHAnsi"/>
                <w:sz w:val="20"/>
                <w:lang w:val="en-GB"/>
              </w:rPr>
              <w:t xml:space="preserve"> information </w:t>
            </w:r>
            <w:r>
              <w:rPr>
                <w:rFonts w:asciiTheme="minorHAnsi" w:hAnsiTheme="minorHAnsi"/>
                <w:sz w:val="20"/>
                <w:lang w:val="en-GB"/>
              </w:rPr>
              <w:t>dashboard</w:t>
            </w:r>
            <w:r w:rsidRPr="002C2934">
              <w:rPr>
                <w:rFonts w:asciiTheme="minorHAnsi" w:hAnsiTheme="minorHAnsi"/>
                <w:sz w:val="20"/>
                <w:lang w:val="en-GB"/>
              </w:rPr>
              <w:t xml:space="preserve"> will reflect</w:t>
            </w:r>
            <w:r w:rsidRPr="00436195">
              <w:rPr>
                <w:rFonts w:asciiTheme="minorHAnsi" w:hAnsiTheme="minorHAnsi"/>
                <w:sz w:val="20"/>
                <w:lang w:val="en-GB"/>
              </w:rPr>
              <w:t xml:space="preserve"> the current progress in project implementation, achievement of indicators, expenditures and implementation challenges. The CCM will use this information to approve amendments in the program</w:t>
            </w:r>
            <w:r>
              <w:rPr>
                <w:rFonts w:asciiTheme="minorHAnsi" w:hAnsiTheme="minorHAnsi"/>
                <w:sz w:val="20"/>
                <w:lang w:val="en-GB"/>
              </w:rPr>
              <w:t>me</w:t>
            </w:r>
            <w:r w:rsidRPr="00436195">
              <w:rPr>
                <w:rFonts w:asciiTheme="minorHAnsi" w:hAnsiTheme="minorHAnsi"/>
                <w:sz w:val="20"/>
                <w:lang w:val="en-GB"/>
              </w:rPr>
              <w:t xml:space="preserve"> and the allocation/reallocation of resources, if necessary. </w:t>
            </w:r>
          </w:p>
          <w:p w14:paraId="7F25E5DE" w14:textId="77777777" w:rsidR="00F00FAC" w:rsidRPr="00436195" w:rsidRDefault="00F00FAC" w:rsidP="00F00FAC">
            <w:pPr>
              <w:jc w:val="both"/>
              <w:rPr>
                <w:rFonts w:asciiTheme="minorHAnsi" w:hAnsiTheme="minorHAnsi" w:cstheme="minorHAnsi"/>
                <w:b/>
                <w:bCs/>
                <w:sz w:val="20"/>
                <w:szCs w:val="20"/>
                <w:lang w:val="en-GB"/>
              </w:rPr>
            </w:pPr>
            <w:r w:rsidRPr="00436195">
              <w:rPr>
                <w:rFonts w:asciiTheme="minorHAnsi" w:hAnsiTheme="minorHAnsi" w:cstheme="minorHAnsi"/>
                <w:b/>
                <w:bCs/>
                <w:sz w:val="20"/>
                <w:szCs w:val="20"/>
                <w:lang w:val="en-GB"/>
              </w:rPr>
              <w:lastRenderedPageBreak/>
              <w:t>Implementation arrangements for Sub-Recipients</w:t>
            </w:r>
          </w:p>
          <w:p w14:paraId="34213AB9" w14:textId="1C41F256" w:rsidR="00F00FAC" w:rsidRPr="007609CE" w:rsidRDefault="00F00FAC" w:rsidP="006831F2">
            <w:pPr>
              <w:spacing w:before="120"/>
              <w:jc w:val="both"/>
              <w:rPr>
                <w:rFonts w:asciiTheme="minorHAnsi" w:hAnsiTheme="minorHAnsi" w:cstheme="minorHAnsi"/>
                <w:sz w:val="20"/>
                <w:szCs w:val="20"/>
                <w:lang w:val="en-GB"/>
              </w:rPr>
            </w:pPr>
            <w:r w:rsidRPr="00436195">
              <w:rPr>
                <w:rFonts w:asciiTheme="minorHAnsi" w:hAnsiTheme="minorHAnsi" w:cstheme="minorHAnsi"/>
                <w:sz w:val="20"/>
                <w:szCs w:val="20"/>
                <w:lang w:val="en-GB"/>
              </w:rPr>
              <w:t xml:space="preserve">The procedures for </w:t>
            </w:r>
            <w:r w:rsidRPr="007609CE">
              <w:rPr>
                <w:rFonts w:asciiTheme="minorHAnsi" w:hAnsiTheme="minorHAnsi" w:cstheme="minorHAnsi"/>
                <w:sz w:val="20"/>
                <w:szCs w:val="20"/>
                <w:lang w:val="en-GB"/>
              </w:rPr>
              <w:t xml:space="preserve">selection of sub-recipients depend on the type of the entity of a sub-recipient (governmental or non-governmental, UN agency, private sector organisation) and will </w:t>
            </w:r>
            <w:proofErr w:type="gramStart"/>
            <w:r w:rsidRPr="007609CE">
              <w:rPr>
                <w:rFonts w:asciiTheme="minorHAnsi" w:hAnsiTheme="minorHAnsi" w:cstheme="minorHAnsi"/>
                <w:sz w:val="20"/>
                <w:szCs w:val="20"/>
                <w:lang w:val="en-GB"/>
              </w:rPr>
              <w:t>be done</w:t>
            </w:r>
            <w:proofErr w:type="gramEnd"/>
            <w:r w:rsidRPr="007609CE">
              <w:rPr>
                <w:rFonts w:asciiTheme="minorHAnsi" w:hAnsiTheme="minorHAnsi" w:cstheme="minorHAnsi"/>
                <w:sz w:val="20"/>
                <w:szCs w:val="20"/>
                <w:lang w:val="en-GB"/>
              </w:rPr>
              <w:t xml:space="preserve"> in line with the UNDP/GF. The UNDP Country Office will assess the technical and financial capacity of a potential sub-recipient (including procurement capacity, if necessary) and recommend the required measures to address any identified capacity gaps. Following the capacity assessment, the UNDP Country Office signs a standard SR agreement. The selection of NGOs and private sector organisations shall </w:t>
            </w:r>
            <w:proofErr w:type="gramStart"/>
            <w:r w:rsidRPr="007609CE">
              <w:rPr>
                <w:rFonts w:asciiTheme="minorHAnsi" w:hAnsiTheme="minorHAnsi" w:cstheme="minorHAnsi"/>
                <w:sz w:val="20"/>
                <w:szCs w:val="20"/>
                <w:lang w:val="en-GB"/>
              </w:rPr>
              <w:t>be governed</w:t>
            </w:r>
            <w:proofErr w:type="gramEnd"/>
            <w:r w:rsidRPr="007609CE">
              <w:rPr>
                <w:rFonts w:asciiTheme="minorHAnsi" w:hAnsiTheme="minorHAnsi" w:cstheme="minorHAnsi"/>
                <w:sz w:val="20"/>
                <w:szCs w:val="20"/>
                <w:lang w:val="en-GB"/>
              </w:rPr>
              <w:t xml:space="preserve"> by procedures outlined in the Section “Contract, Asset and Procurement Management” of UNDP’s Programme and Operations Policies and Procedures. </w:t>
            </w:r>
          </w:p>
          <w:p w14:paraId="79D68BB8" w14:textId="77777777" w:rsidR="00F00FAC" w:rsidRPr="00436195" w:rsidRDefault="00F00FAC" w:rsidP="00F00FAC">
            <w:pPr>
              <w:jc w:val="both"/>
              <w:rPr>
                <w:rFonts w:asciiTheme="minorHAnsi" w:hAnsiTheme="minorHAnsi" w:cstheme="minorHAnsi"/>
                <w:sz w:val="20"/>
                <w:szCs w:val="20"/>
                <w:lang w:val="en-GB"/>
              </w:rPr>
            </w:pPr>
            <w:r w:rsidRPr="007609CE">
              <w:rPr>
                <w:rFonts w:asciiTheme="minorHAnsi" w:hAnsiTheme="minorHAnsi" w:cstheme="minorHAnsi"/>
                <w:sz w:val="20"/>
                <w:szCs w:val="20"/>
                <w:lang w:val="en-GB"/>
              </w:rPr>
              <w:t xml:space="preserve">To further strengthen the role of the </w:t>
            </w:r>
            <w:proofErr w:type="spellStart"/>
            <w:r w:rsidRPr="007609CE">
              <w:rPr>
                <w:rFonts w:asciiTheme="minorHAnsi" w:hAnsiTheme="minorHAnsi" w:cstheme="minorHAnsi"/>
                <w:sz w:val="20"/>
                <w:szCs w:val="20"/>
                <w:lang w:val="en-GB"/>
              </w:rPr>
              <w:t>MoH</w:t>
            </w:r>
            <w:proofErr w:type="spellEnd"/>
            <w:r w:rsidRPr="007609CE">
              <w:rPr>
                <w:rFonts w:asciiTheme="minorHAnsi" w:hAnsiTheme="minorHAnsi" w:cstheme="minorHAnsi"/>
                <w:sz w:val="20"/>
                <w:szCs w:val="20"/>
                <w:lang w:val="en-GB"/>
              </w:rPr>
              <w:t xml:space="preserve"> in the national TB and HIV response and to ensure the sustainability of the programmes, through the Order of </w:t>
            </w:r>
            <w:proofErr w:type="spellStart"/>
            <w:r w:rsidRPr="007609CE">
              <w:rPr>
                <w:rFonts w:asciiTheme="minorHAnsi" w:hAnsiTheme="minorHAnsi" w:cstheme="minorHAnsi"/>
                <w:sz w:val="20"/>
                <w:szCs w:val="20"/>
                <w:lang w:val="en-GB"/>
              </w:rPr>
              <w:t>MoH</w:t>
            </w:r>
            <w:proofErr w:type="spellEnd"/>
            <w:r w:rsidRPr="007609CE">
              <w:rPr>
                <w:rFonts w:asciiTheme="minorHAnsi" w:hAnsiTheme="minorHAnsi" w:cstheme="minorHAnsi"/>
                <w:sz w:val="20"/>
                <w:szCs w:val="20"/>
                <w:lang w:val="en-GB"/>
              </w:rPr>
              <w:t xml:space="preserve"> as of 2019, the Health Development and Medical Technology </w:t>
            </w:r>
            <w:proofErr w:type="spellStart"/>
            <w:r w:rsidRPr="007609CE">
              <w:rPr>
                <w:rFonts w:asciiTheme="minorHAnsi" w:hAnsiTheme="minorHAnsi" w:cstheme="minorHAnsi"/>
                <w:sz w:val="20"/>
                <w:szCs w:val="20"/>
                <w:lang w:val="en-GB"/>
              </w:rPr>
              <w:t>Center</w:t>
            </w:r>
            <w:proofErr w:type="spellEnd"/>
            <w:r w:rsidRPr="007609CE">
              <w:rPr>
                <w:rFonts w:asciiTheme="minorHAnsi" w:hAnsiTheme="minorHAnsi" w:cstheme="minorHAnsi"/>
                <w:sz w:val="20"/>
                <w:szCs w:val="20"/>
                <w:lang w:val="en-GB"/>
              </w:rPr>
              <w:t xml:space="preserve"> (HD&amp;MTC)  was entrusted with the coordination, mobilisation</w:t>
            </w:r>
            <w:r w:rsidRPr="00436195">
              <w:rPr>
                <w:rFonts w:asciiTheme="minorHAnsi" w:hAnsiTheme="minorHAnsi" w:cstheme="minorHAnsi"/>
                <w:sz w:val="20"/>
                <w:szCs w:val="20"/>
                <w:lang w:val="en-GB"/>
              </w:rPr>
              <w:t xml:space="preserve"> and efficient use of donor </w:t>
            </w:r>
            <w:r>
              <w:rPr>
                <w:rFonts w:asciiTheme="minorHAnsi" w:hAnsiTheme="minorHAnsi" w:cstheme="minorHAnsi"/>
                <w:sz w:val="20"/>
                <w:szCs w:val="20"/>
                <w:lang w:val="en-GB"/>
              </w:rPr>
              <w:t>funding</w:t>
            </w:r>
            <w:r w:rsidRPr="00436195">
              <w:rPr>
                <w:rFonts w:asciiTheme="minorHAnsi" w:hAnsiTheme="minorHAnsi" w:cstheme="minorHAnsi"/>
                <w:sz w:val="20"/>
                <w:szCs w:val="20"/>
                <w:lang w:val="en-GB"/>
              </w:rPr>
              <w:t xml:space="preserve"> and grant</w:t>
            </w:r>
            <w:r>
              <w:rPr>
                <w:rFonts w:asciiTheme="minorHAnsi" w:hAnsiTheme="minorHAnsi" w:cstheme="minorHAnsi"/>
                <w:sz w:val="20"/>
                <w:szCs w:val="20"/>
                <w:lang w:val="en-GB"/>
              </w:rPr>
              <w:t>s</w:t>
            </w:r>
            <w:r w:rsidRPr="00436195">
              <w:rPr>
                <w:rFonts w:asciiTheme="minorHAnsi" w:hAnsiTheme="minorHAnsi" w:cstheme="minorHAnsi"/>
                <w:sz w:val="20"/>
                <w:szCs w:val="20"/>
                <w:lang w:val="en-GB"/>
              </w:rPr>
              <w:t xml:space="preserve"> as well as </w:t>
            </w:r>
            <w:r>
              <w:rPr>
                <w:rFonts w:asciiTheme="minorHAnsi" w:hAnsiTheme="minorHAnsi" w:cstheme="minorHAnsi"/>
                <w:sz w:val="20"/>
                <w:szCs w:val="20"/>
                <w:lang w:val="en-GB"/>
              </w:rPr>
              <w:t>with the participation</w:t>
            </w:r>
            <w:r w:rsidRPr="00436195">
              <w:rPr>
                <w:rFonts w:asciiTheme="minorHAnsi" w:hAnsiTheme="minorHAnsi" w:cstheme="minorHAnsi"/>
                <w:sz w:val="20"/>
                <w:szCs w:val="20"/>
                <w:lang w:val="en-GB"/>
              </w:rPr>
              <w:t xml:space="preserve"> in the management and implementation of international investment program</w:t>
            </w:r>
            <w:r>
              <w:rPr>
                <w:rFonts w:asciiTheme="minorHAnsi" w:hAnsiTheme="minorHAnsi" w:cstheme="minorHAnsi"/>
                <w:sz w:val="20"/>
                <w:szCs w:val="20"/>
                <w:lang w:val="en-GB"/>
              </w:rPr>
              <w:t>me</w:t>
            </w:r>
            <w:r w:rsidRPr="00436195">
              <w:rPr>
                <w:rFonts w:asciiTheme="minorHAnsi" w:hAnsiTheme="minorHAnsi" w:cstheme="minorHAnsi"/>
                <w:sz w:val="20"/>
                <w:szCs w:val="20"/>
                <w:lang w:val="en-GB"/>
              </w:rPr>
              <w:t>s and projects</w:t>
            </w:r>
            <w:r>
              <w:rPr>
                <w:rFonts w:asciiTheme="minorHAnsi" w:hAnsiTheme="minorHAnsi" w:cstheme="minorHAnsi"/>
                <w:sz w:val="20"/>
                <w:szCs w:val="20"/>
                <w:lang w:val="en-GB"/>
              </w:rPr>
              <w:t>,</w:t>
            </w:r>
            <w:r w:rsidRPr="00436195">
              <w:rPr>
                <w:rFonts w:asciiTheme="minorHAnsi" w:hAnsiTheme="minorHAnsi" w:cstheme="minorHAnsi"/>
                <w:sz w:val="20"/>
                <w:szCs w:val="20"/>
                <w:lang w:val="en-GB"/>
              </w:rPr>
              <w:t xml:space="preserve"> including</w:t>
            </w:r>
            <w:r>
              <w:rPr>
                <w:rFonts w:asciiTheme="minorHAnsi" w:hAnsiTheme="minorHAnsi" w:cstheme="minorHAnsi"/>
                <w:sz w:val="20"/>
                <w:szCs w:val="20"/>
                <w:lang w:val="en-GB"/>
              </w:rPr>
              <w:t xml:space="preserve"> the</w:t>
            </w:r>
            <w:r w:rsidRPr="00436195">
              <w:rPr>
                <w:rFonts w:asciiTheme="minorHAnsi" w:hAnsiTheme="minorHAnsi" w:cstheme="minorHAnsi"/>
                <w:sz w:val="20"/>
                <w:szCs w:val="20"/>
                <w:lang w:val="en-GB"/>
              </w:rPr>
              <w:t xml:space="preserve"> implementation of grant activities under both </w:t>
            </w:r>
            <w:r>
              <w:rPr>
                <w:rFonts w:asciiTheme="minorHAnsi" w:hAnsiTheme="minorHAnsi" w:cstheme="minorHAnsi"/>
                <w:sz w:val="20"/>
                <w:szCs w:val="20"/>
                <w:lang w:val="en-GB"/>
              </w:rPr>
              <w:t xml:space="preserve">GF </w:t>
            </w:r>
            <w:r w:rsidRPr="00436195">
              <w:rPr>
                <w:rFonts w:asciiTheme="minorHAnsi" w:hAnsiTheme="minorHAnsi" w:cstheme="minorHAnsi"/>
                <w:sz w:val="20"/>
                <w:szCs w:val="20"/>
                <w:lang w:val="en-GB"/>
              </w:rPr>
              <w:t xml:space="preserve">components. As a legal entity, HD&amp;MTC has a separate bank account and </w:t>
            </w:r>
            <w:proofErr w:type="gramStart"/>
            <w:r w:rsidRPr="00436195">
              <w:rPr>
                <w:rFonts w:asciiTheme="minorHAnsi" w:hAnsiTheme="minorHAnsi" w:cstheme="minorHAnsi"/>
                <w:sz w:val="20"/>
                <w:szCs w:val="20"/>
                <w:lang w:val="en-GB"/>
              </w:rPr>
              <w:t>is entitled</w:t>
            </w:r>
            <w:proofErr w:type="gramEnd"/>
            <w:r w:rsidRPr="00436195">
              <w:rPr>
                <w:rFonts w:asciiTheme="minorHAnsi" w:hAnsiTheme="minorHAnsi" w:cstheme="minorHAnsi"/>
                <w:sz w:val="20"/>
                <w:szCs w:val="20"/>
                <w:lang w:val="en-GB"/>
              </w:rPr>
              <w:t xml:space="preserve"> to conclude agreements with legal entities and individuals. HD&amp;MTC will act as the principal sub-recipient (PSR) of UNDP (Principal Recipient) and will </w:t>
            </w:r>
            <w:proofErr w:type="gramStart"/>
            <w:r w:rsidRPr="00436195">
              <w:rPr>
                <w:rFonts w:asciiTheme="minorHAnsi" w:hAnsiTheme="minorHAnsi" w:cstheme="minorHAnsi"/>
                <w:sz w:val="20"/>
                <w:szCs w:val="20"/>
                <w:lang w:val="en-GB"/>
              </w:rPr>
              <w:t xml:space="preserve">be in charge </w:t>
            </w:r>
            <w:r>
              <w:rPr>
                <w:rFonts w:asciiTheme="minorHAnsi" w:hAnsiTheme="minorHAnsi" w:cstheme="minorHAnsi"/>
                <w:sz w:val="20"/>
                <w:szCs w:val="20"/>
                <w:lang w:val="en-GB"/>
              </w:rPr>
              <w:t>of</w:t>
            </w:r>
            <w:proofErr w:type="gramEnd"/>
            <w:r>
              <w:rPr>
                <w:rFonts w:asciiTheme="minorHAnsi" w:hAnsiTheme="minorHAnsi" w:cstheme="minorHAnsi"/>
                <w:sz w:val="20"/>
                <w:szCs w:val="20"/>
                <w:lang w:val="en-GB"/>
              </w:rPr>
              <w:t xml:space="preserve"> the</w:t>
            </w:r>
            <w:r w:rsidRPr="00436195">
              <w:rPr>
                <w:rFonts w:asciiTheme="minorHAnsi" w:hAnsiTheme="minorHAnsi" w:cstheme="minorHAnsi"/>
                <w:sz w:val="20"/>
                <w:szCs w:val="20"/>
                <w:lang w:val="en-GB"/>
              </w:rPr>
              <w:t xml:space="preserve"> management, implementation, monitoring and evaluation of HIV and TB prevention, care and support interventions implemented by public health</w:t>
            </w:r>
            <w:r>
              <w:rPr>
                <w:rFonts w:asciiTheme="minorHAnsi" w:hAnsiTheme="minorHAnsi" w:cstheme="minorHAnsi"/>
                <w:sz w:val="20"/>
                <w:szCs w:val="20"/>
                <w:lang w:val="en-GB"/>
              </w:rPr>
              <w:t xml:space="preserve"> organis</w:t>
            </w:r>
            <w:r w:rsidRPr="00436195">
              <w:rPr>
                <w:rFonts w:asciiTheme="minorHAnsi" w:hAnsiTheme="minorHAnsi" w:cstheme="minorHAnsi"/>
                <w:sz w:val="20"/>
                <w:szCs w:val="20"/>
                <w:lang w:val="en-GB"/>
              </w:rPr>
              <w:t>ations. In its turn, to ensure</w:t>
            </w:r>
            <w:r>
              <w:rPr>
                <w:rFonts w:asciiTheme="minorHAnsi" w:hAnsiTheme="minorHAnsi" w:cstheme="minorHAnsi"/>
                <w:sz w:val="20"/>
                <w:szCs w:val="20"/>
                <w:lang w:val="en-GB"/>
              </w:rPr>
              <w:t xml:space="preserve"> the</w:t>
            </w:r>
            <w:r w:rsidRPr="00436195">
              <w:rPr>
                <w:rFonts w:asciiTheme="minorHAnsi" w:hAnsiTheme="minorHAnsi" w:cstheme="minorHAnsi"/>
                <w:sz w:val="20"/>
                <w:szCs w:val="20"/>
                <w:lang w:val="en-GB"/>
              </w:rPr>
              <w:t xml:space="preserve"> efficiency of implemented interventions, achieve the project’s objectives and facilitate the grant management processes, HD&amp;MTC shall implement the whole range of project cycle activities for three sub-recipients (HD&amp;MTC </w:t>
            </w:r>
            <w:r>
              <w:rPr>
                <w:rFonts w:asciiTheme="minorHAnsi" w:hAnsiTheme="minorHAnsi" w:cstheme="minorHAnsi"/>
                <w:sz w:val="20"/>
                <w:szCs w:val="20"/>
                <w:lang w:val="en-GB"/>
              </w:rPr>
              <w:t xml:space="preserve">is </w:t>
            </w:r>
            <w:r w:rsidRPr="00436195">
              <w:rPr>
                <w:rFonts w:asciiTheme="minorHAnsi" w:hAnsiTheme="minorHAnsi" w:cstheme="minorHAnsi"/>
                <w:sz w:val="20"/>
                <w:szCs w:val="20"/>
                <w:lang w:val="en-GB"/>
              </w:rPr>
              <w:t xml:space="preserve">SR, i.e. UNDP sub-sub-recipients): the </w:t>
            </w:r>
            <w:r>
              <w:rPr>
                <w:rFonts w:asciiTheme="minorHAnsi" w:hAnsiTheme="minorHAnsi" w:cstheme="minorHAnsi"/>
                <w:sz w:val="20"/>
                <w:szCs w:val="20"/>
                <w:lang w:val="en-GB"/>
              </w:rPr>
              <w:t xml:space="preserve">NTP, the </w:t>
            </w:r>
            <w:r w:rsidRPr="00436195">
              <w:rPr>
                <w:rFonts w:asciiTheme="minorHAnsi" w:hAnsiTheme="minorHAnsi" w:cstheme="minorHAnsi"/>
                <w:sz w:val="20"/>
                <w:szCs w:val="20"/>
                <w:lang w:val="en-GB"/>
              </w:rPr>
              <w:t xml:space="preserve">RAC and the Republican Narcology </w:t>
            </w:r>
            <w:proofErr w:type="spellStart"/>
            <w:r w:rsidRPr="00436195">
              <w:rPr>
                <w:rFonts w:asciiTheme="minorHAnsi" w:hAnsiTheme="minorHAnsi" w:cstheme="minorHAnsi"/>
                <w:sz w:val="20"/>
                <w:szCs w:val="20"/>
                <w:lang w:val="en-GB"/>
              </w:rPr>
              <w:t>Center</w:t>
            </w:r>
            <w:proofErr w:type="spellEnd"/>
            <w:r w:rsidRPr="00436195">
              <w:rPr>
                <w:rFonts w:asciiTheme="minorHAnsi" w:hAnsiTheme="minorHAnsi" w:cstheme="minorHAnsi"/>
                <w:sz w:val="20"/>
                <w:szCs w:val="20"/>
                <w:lang w:val="en-GB"/>
              </w:rPr>
              <w:t xml:space="preserve"> (RNC) with minimum project staff members. HD&amp;</w:t>
            </w:r>
            <w:proofErr w:type="gramStart"/>
            <w:r w:rsidRPr="00436195">
              <w:rPr>
                <w:rFonts w:asciiTheme="minorHAnsi" w:hAnsiTheme="minorHAnsi" w:cstheme="minorHAnsi"/>
                <w:sz w:val="20"/>
                <w:szCs w:val="20"/>
                <w:lang w:val="en-GB"/>
              </w:rPr>
              <w:t>MTC  operations</w:t>
            </w:r>
            <w:proofErr w:type="gramEnd"/>
            <w:r w:rsidRPr="00436195">
              <w:rPr>
                <w:rFonts w:asciiTheme="minorHAnsi" w:hAnsiTheme="minorHAnsi" w:cstheme="minorHAnsi"/>
                <w:sz w:val="20"/>
                <w:szCs w:val="20"/>
                <w:lang w:val="en-GB"/>
              </w:rPr>
              <w:t xml:space="preserve">  shall be governed by the effective Operational Guidelines, which is </w:t>
            </w:r>
            <w:r>
              <w:rPr>
                <w:rFonts w:asciiTheme="minorHAnsi" w:hAnsiTheme="minorHAnsi" w:cstheme="minorHAnsi"/>
                <w:sz w:val="20"/>
                <w:szCs w:val="20"/>
                <w:lang w:val="en-GB"/>
              </w:rPr>
              <w:t>harmonis</w:t>
            </w:r>
            <w:r w:rsidRPr="00436195">
              <w:rPr>
                <w:rFonts w:asciiTheme="minorHAnsi" w:hAnsiTheme="minorHAnsi" w:cstheme="minorHAnsi"/>
                <w:sz w:val="20"/>
                <w:szCs w:val="20"/>
                <w:lang w:val="en-GB"/>
              </w:rPr>
              <w:t>ed with GF procedures and national legislation.</w:t>
            </w:r>
          </w:p>
          <w:p w14:paraId="36BAFABF" w14:textId="77777777" w:rsidR="00F00FAC" w:rsidRPr="00436195" w:rsidRDefault="00F00FAC" w:rsidP="00F00FAC">
            <w:pPr>
              <w:jc w:val="both"/>
              <w:rPr>
                <w:rFonts w:asciiTheme="minorHAnsi" w:hAnsiTheme="minorHAnsi" w:cstheme="minorHAnsi"/>
                <w:sz w:val="20"/>
                <w:szCs w:val="20"/>
                <w:lang w:val="en-GB"/>
              </w:rPr>
            </w:pPr>
            <w:r w:rsidRPr="00436195">
              <w:rPr>
                <w:rFonts w:asciiTheme="minorHAnsi" w:hAnsiTheme="minorHAnsi" w:cstheme="minorHAnsi"/>
                <w:sz w:val="20"/>
                <w:szCs w:val="20"/>
                <w:lang w:val="en-GB"/>
              </w:rPr>
              <w:t>HD&amp;MTC will manage the following activities:</w:t>
            </w:r>
          </w:p>
          <w:p w14:paraId="3E323041" w14:textId="320E2C21" w:rsidR="00F00FAC" w:rsidRPr="00436195" w:rsidRDefault="00F00FAC" w:rsidP="00F00FAC">
            <w:pPr>
              <w:jc w:val="both"/>
              <w:rPr>
                <w:rFonts w:asciiTheme="minorHAnsi" w:hAnsiTheme="minorHAnsi" w:cstheme="minorHAnsi"/>
                <w:sz w:val="20"/>
                <w:szCs w:val="20"/>
                <w:lang w:val="en-GB"/>
              </w:rPr>
            </w:pPr>
            <w:r w:rsidRPr="00436195">
              <w:rPr>
                <w:rFonts w:asciiTheme="minorHAnsi" w:hAnsiTheme="minorHAnsi" w:cstheme="minorHAnsi"/>
                <w:sz w:val="20"/>
                <w:szCs w:val="20"/>
                <w:lang w:val="en-GB"/>
              </w:rPr>
              <w:t>NT</w:t>
            </w:r>
            <w:r w:rsidR="006831F2">
              <w:rPr>
                <w:rFonts w:asciiTheme="minorHAnsi" w:hAnsiTheme="minorHAnsi" w:cstheme="minorHAnsi"/>
                <w:sz w:val="20"/>
                <w:szCs w:val="20"/>
                <w:lang w:val="en-GB"/>
              </w:rPr>
              <w:t>C</w:t>
            </w:r>
            <w:r w:rsidRPr="00436195">
              <w:rPr>
                <w:rFonts w:asciiTheme="minorHAnsi" w:hAnsiTheme="minorHAnsi" w:cstheme="minorHAnsi"/>
                <w:sz w:val="20"/>
                <w:szCs w:val="20"/>
                <w:lang w:val="en-GB"/>
              </w:rPr>
              <w:t xml:space="preserve"> – implement interventions aimed </w:t>
            </w:r>
            <w:r>
              <w:rPr>
                <w:rFonts w:asciiTheme="minorHAnsi" w:hAnsiTheme="minorHAnsi" w:cstheme="minorHAnsi"/>
                <w:sz w:val="20"/>
                <w:szCs w:val="20"/>
                <w:lang w:val="en-GB"/>
              </w:rPr>
              <w:t>at responding to</w:t>
            </w:r>
            <w:r w:rsidRPr="00436195">
              <w:rPr>
                <w:rFonts w:asciiTheme="minorHAnsi" w:hAnsiTheme="minorHAnsi" w:cstheme="minorHAnsi"/>
                <w:sz w:val="20"/>
                <w:szCs w:val="20"/>
                <w:lang w:val="en-GB"/>
              </w:rPr>
              <w:t xml:space="preserve"> </w:t>
            </w:r>
            <w:r>
              <w:rPr>
                <w:rFonts w:asciiTheme="minorHAnsi" w:hAnsiTheme="minorHAnsi" w:cstheme="minorHAnsi"/>
                <w:sz w:val="20"/>
                <w:szCs w:val="20"/>
                <w:lang w:val="en-GB"/>
              </w:rPr>
              <w:t>drug-resistant tuberculosis (</w:t>
            </w:r>
            <w:r w:rsidRPr="00436195">
              <w:rPr>
                <w:rFonts w:asciiTheme="minorHAnsi" w:hAnsiTheme="minorHAnsi" w:cstheme="minorHAnsi"/>
                <w:sz w:val="20"/>
                <w:szCs w:val="20"/>
                <w:lang w:val="en-GB"/>
              </w:rPr>
              <w:t>DR-TB</w:t>
            </w:r>
            <w:r>
              <w:rPr>
                <w:rFonts w:asciiTheme="minorHAnsi" w:hAnsiTheme="minorHAnsi" w:cstheme="minorHAnsi"/>
                <w:sz w:val="20"/>
                <w:szCs w:val="20"/>
                <w:lang w:val="en-GB"/>
              </w:rPr>
              <w:t>),</w:t>
            </w:r>
            <w:r w:rsidRPr="00436195">
              <w:rPr>
                <w:rFonts w:asciiTheme="minorHAnsi" w:hAnsiTheme="minorHAnsi" w:cstheme="minorHAnsi"/>
                <w:sz w:val="20"/>
                <w:szCs w:val="20"/>
                <w:lang w:val="en-GB"/>
              </w:rPr>
              <w:t xml:space="preserve"> including detection, diagnosis and treatment of TB cases including those in prisons;</w:t>
            </w:r>
          </w:p>
          <w:p w14:paraId="2671F04D" w14:textId="77777777" w:rsidR="00F00FAC" w:rsidRPr="00436195" w:rsidRDefault="00F00FAC" w:rsidP="00F00FAC">
            <w:pPr>
              <w:jc w:val="both"/>
              <w:rPr>
                <w:rFonts w:asciiTheme="minorHAnsi" w:hAnsiTheme="minorHAnsi" w:cstheme="minorHAnsi"/>
                <w:sz w:val="20"/>
                <w:szCs w:val="20"/>
                <w:lang w:val="en-GB"/>
              </w:rPr>
            </w:pPr>
            <w:r w:rsidRPr="00436195">
              <w:rPr>
                <w:rFonts w:asciiTheme="minorHAnsi" w:hAnsiTheme="minorHAnsi" w:cstheme="minorHAnsi"/>
                <w:sz w:val="20"/>
                <w:szCs w:val="20"/>
                <w:lang w:val="en-GB"/>
              </w:rPr>
              <w:t>RAC – implement treatment and care (T&amp;C) program</w:t>
            </w:r>
            <w:r>
              <w:rPr>
                <w:rFonts w:asciiTheme="minorHAnsi" w:hAnsiTheme="minorHAnsi" w:cstheme="minorHAnsi"/>
                <w:sz w:val="20"/>
                <w:szCs w:val="20"/>
                <w:lang w:val="en-GB"/>
              </w:rPr>
              <w:t>me</w:t>
            </w:r>
            <w:r w:rsidRPr="00436195">
              <w:rPr>
                <w:rFonts w:asciiTheme="minorHAnsi" w:hAnsiTheme="minorHAnsi" w:cstheme="minorHAnsi"/>
                <w:sz w:val="20"/>
                <w:szCs w:val="20"/>
                <w:lang w:val="en-GB"/>
              </w:rPr>
              <w:t xml:space="preserve"> for key populations (KPs) and all PLHIV, HIV related testing and counselling of KPGs, </w:t>
            </w:r>
            <w:r>
              <w:rPr>
                <w:rFonts w:asciiTheme="minorHAnsi" w:hAnsiTheme="minorHAnsi" w:cstheme="minorHAnsi"/>
                <w:sz w:val="20"/>
                <w:szCs w:val="20"/>
                <w:lang w:val="en-GB"/>
              </w:rPr>
              <w:t>developing</w:t>
            </w:r>
            <w:r w:rsidRPr="00436195">
              <w:rPr>
                <w:rFonts w:asciiTheme="minorHAnsi" w:hAnsiTheme="minorHAnsi" w:cstheme="minorHAnsi"/>
                <w:sz w:val="20"/>
                <w:szCs w:val="20"/>
                <w:lang w:val="en-GB"/>
              </w:rPr>
              <w:t xml:space="preserve"> the capacity of providers of health and non-health services related to HIV, M&amp;E and stigma reduction measures.</w:t>
            </w:r>
          </w:p>
          <w:p w14:paraId="7C1C86C5" w14:textId="77777777" w:rsidR="00F00FAC" w:rsidRPr="00436195" w:rsidRDefault="00F00FAC" w:rsidP="00F00FAC">
            <w:pPr>
              <w:jc w:val="both"/>
              <w:rPr>
                <w:rFonts w:asciiTheme="minorHAnsi" w:hAnsiTheme="minorHAnsi" w:cstheme="minorHAnsi"/>
                <w:sz w:val="20"/>
                <w:szCs w:val="20"/>
                <w:lang w:val="en-GB"/>
              </w:rPr>
            </w:pPr>
            <w:r w:rsidRPr="00436195">
              <w:rPr>
                <w:rFonts w:asciiTheme="minorHAnsi" w:hAnsiTheme="minorHAnsi" w:cstheme="minorHAnsi"/>
                <w:sz w:val="20"/>
                <w:szCs w:val="20"/>
                <w:lang w:val="en-GB"/>
              </w:rPr>
              <w:t xml:space="preserve">RNC – </w:t>
            </w:r>
            <w:r w:rsidRPr="000B49D2">
              <w:rPr>
                <w:rFonts w:asciiTheme="minorHAnsi" w:hAnsiTheme="minorHAnsi" w:cstheme="minorHAnsi"/>
                <w:sz w:val="20"/>
                <w:szCs w:val="20"/>
                <w:lang w:val="en-GB"/>
              </w:rPr>
              <w:t>implementing Opioid Substitution Treatment (OST)</w:t>
            </w:r>
            <w:r w:rsidRPr="00436195">
              <w:rPr>
                <w:rFonts w:asciiTheme="minorHAnsi" w:hAnsiTheme="minorHAnsi" w:cstheme="minorHAnsi"/>
                <w:sz w:val="20"/>
                <w:szCs w:val="20"/>
                <w:lang w:val="en-GB"/>
              </w:rPr>
              <w:t xml:space="preserve"> for PWID, including </w:t>
            </w:r>
            <w:r>
              <w:rPr>
                <w:rFonts w:asciiTheme="minorHAnsi" w:hAnsiTheme="minorHAnsi" w:cstheme="minorHAnsi"/>
                <w:sz w:val="20"/>
                <w:szCs w:val="20"/>
                <w:lang w:val="en-GB"/>
              </w:rPr>
              <w:t>in prison</w:t>
            </w:r>
            <w:r w:rsidRPr="00436195">
              <w:rPr>
                <w:rFonts w:asciiTheme="minorHAnsi" w:hAnsiTheme="minorHAnsi" w:cstheme="minorHAnsi"/>
                <w:sz w:val="20"/>
                <w:szCs w:val="20"/>
                <w:lang w:val="en-GB"/>
              </w:rPr>
              <w:t xml:space="preserve"> settings, prevention program</w:t>
            </w:r>
            <w:r>
              <w:rPr>
                <w:rFonts w:asciiTheme="minorHAnsi" w:hAnsiTheme="minorHAnsi" w:cstheme="minorHAnsi"/>
                <w:sz w:val="20"/>
                <w:szCs w:val="20"/>
                <w:lang w:val="en-GB"/>
              </w:rPr>
              <w:t>me</w:t>
            </w:r>
            <w:r w:rsidRPr="00436195">
              <w:rPr>
                <w:rFonts w:asciiTheme="minorHAnsi" w:hAnsiTheme="minorHAnsi" w:cstheme="minorHAnsi"/>
                <w:sz w:val="20"/>
                <w:szCs w:val="20"/>
                <w:lang w:val="en-GB"/>
              </w:rPr>
              <w:t xml:space="preserve">s for </w:t>
            </w:r>
            <w:r w:rsidRPr="000B49D2">
              <w:rPr>
                <w:rFonts w:asciiTheme="minorHAnsi" w:hAnsiTheme="minorHAnsi" w:cstheme="minorHAnsi"/>
                <w:sz w:val="20"/>
                <w:szCs w:val="20"/>
                <w:lang w:val="en-GB"/>
              </w:rPr>
              <w:t>PWID (needle exchange points)</w:t>
            </w:r>
            <w:r>
              <w:rPr>
                <w:rFonts w:asciiTheme="minorHAnsi" w:hAnsiTheme="minorHAnsi" w:cstheme="minorHAnsi"/>
                <w:sz w:val="20"/>
                <w:szCs w:val="20"/>
                <w:lang w:val="en-GB"/>
              </w:rPr>
              <w:t>,</w:t>
            </w:r>
            <w:r w:rsidRPr="000B49D2">
              <w:rPr>
                <w:rFonts w:asciiTheme="minorHAnsi" w:hAnsiTheme="minorHAnsi" w:cstheme="minorHAnsi"/>
                <w:sz w:val="20"/>
                <w:szCs w:val="20"/>
                <w:lang w:val="en-GB"/>
              </w:rPr>
              <w:t xml:space="preserve"> incl</w:t>
            </w:r>
            <w:r w:rsidRPr="00436195">
              <w:rPr>
                <w:rFonts w:asciiTheme="minorHAnsi" w:hAnsiTheme="minorHAnsi" w:cstheme="minorHAnsi"/>
                <w:sz w:val="20"/>
                <w:szCs w:val="20"/>
                <w:lang w:val="en-GB"/>
              </w:rPr>
              <w:t>uding</w:t>
            </w:r>
            <w:r>
              <w:rPr>
                <w:rFonts w:asciiTheme="minorHAnsi" w:hAnsiTheme="minorHAnsi" w:cstheme="minorHAnsi"/>
                <w:sz w:val="20"/>
                <w:szCs w:val="20"/>
                <w:lang w:val="en-GB"/>
              </w:rPr>
              <w:t xml:space="preserve"> in</w:t>
            </w:r>
            <w:r w:rsidRPr="00436195">
              <w:rPr>
                <w:rFonts w:asciiTheme="minorHAnsi" w:hAnsiTheme="minorHAnsi" w:cstheme="minorHAnsi"/>
                <w:sz w:val="20"/>
                <w:szCs w:val="20"/>
                <w:lang w:val="en-GB"/>
              </w:rPr>
              <w:t xml:space="preserve"> prison settings, overdose prevention program</w:t>
            </w:r>
            <w:r>
              <w:rPr>
                <w:rFonts w:asciiTheme="minorHAnsi" w:hAnsiTheme="minorHAnsi" w:cstheme="minorHAnsi"/>
                <w:sz w:val="20"/>
                <w:szCs w:val="20"/>
                <w:lang w:val="en-GB"/>
              </w:rPr>
              <w:t>me</w:t>
            </w:r>
            <w:r w:rsidRPr="00436195">
              <w:rPr>
                <w:rFonts w:asciiTheme="minorHAnsi" w:hAnsiTheme="minorHAnsi" w:cstheme="minorHAnsi"/>
                <w:sz w:val="20"/>
                <w:szCs w:val="20"/>
                <w:lang w:val="en-GB"/>
              </w:rPr>
              <w:t>, implements the “public defenders” component, oversees the implementation of the above program</w:t>
            </w:r>
            <w:r>
              <w:rPr>
                <w:rFonts w:asciiTheme="minorHAnsi" w:hAnsiTheme="minorHAnsi" w:cstheme="minorHAnsi"/>
                <w:sz w:val="20"/>
                <w:szCs w:val="20"/>
                <w:lang w:val="en-GB"/>
              </w:rPr>
              <w:t>me</w:t>
            </w:r>
            <w:r w:rsidRPr="00436195">
              <w:rPr>
                <w:rFonts w:asciiTheme="minorHAnsi" w:hAnsiTheme="minorHAnsi" w:cstheme="minorHAnsi"/>
                <w:sz w:val="20"/>
                <w:szCs w:val="20"/>
                <w:lang w:val="en-GB"/>
              </w:rPr>
              <w:t xml:space="preserve">s in the penal system. </w:t>
            </w:r>
          </w:p>
          <w:p w14:paraId="6D6B3ABC" w14:textId="77777777" w:rsidR="00F00FAC" w:rsidRPr="00436195" w:rsidRDefault="00F00FAC" w:rsidP="00F00FAC">
            <w:pPr>
              <w:jc w:val="both"/>
              <w:rPr>
                <w:rFonts w:asciiTheme="minorHAnsi" w:hAnsiTheme="minorHAnsi" w:cstheme="minorHAnsi"/>
                <w:sz w:val="20"/>
                <w:szCs w:val="20"/>
                <w:lang w:val="en-GB"/>
              </w:rPr>
            </w:pPr>
            <w:r w:rsidRPr="00436195">
              <w:rPr>
                <w:rFonts w:asciiTheme="minorHAnsi" w:hAnsiTheme="minorHAnsi" w:cstheme="minorHAnsi"/>
                <w:sz w:val="20"/>
                <w:szCs w:val="20"/>
                <w:lang w:val="en-GB"/>
              </w:rPr>
              <w:t xml:space="preserve">Currently, HD&amp;MTC has NGO contracting arrangements in place that </w:t>
            </w:r>
            <w:proofErr w:type="gramStart"/>
            <w:r w:rsidRPr="00436195">
              <w:rPr>
                <w:rFonts w:asciiTheme="minorHAnsi" w:hAnsiTheme="minorHAnsi" w:cstheme="minorHAnsi"/>
                <w:sz w:val="20"/>
                <w:szCs w:val="20"/>
                <w:lang w:val="en-GB"/>
              </w:rPr>
              <w:t>is implemented</w:t>
            </w:r>
            <w:proofErr w:type="gramEnd"/>
            <w:r w:rsidRPr="00436195">
              <w:rPr>
                <w:rFonts w:asciiTheme="minorHAnsi" w:hAnsiTheme="minorHAnsi" w:cstheme="minorHAnsi"/>
                <w:sz w:val="20"/>
                <w:szCs w:val="20"/>
                <w:lang w:val="en-GB"/>
              </w:rPr>
              <w:t xml:space="preserve"> under state social contracting. However, due to some restrictions (the inability to anonymously deliver services to beneficiaries, </w:t>
            </w:r>
            <w:r>
              <w:rPr>
                <w:rFonts w:asciiTheme="minorHAnsi" w:hAnsiTheme="minorHAnsi" w:cstheme="minorHAnsi"/>
                <w:sz w:val="20"/>
                <w:szCs w:val="20"/>
                <w:lang w:val="en-GB"/>
              </w:rPr>
              <w:t xml:space="preserve">the </w:t>
            </w:r>
            <w:r w:rsidRPr="00436195">
              <w:rPr>
                <w:rFonts w:asciiTheme="minorHAnsi" w:hAnsiTheme="minorHAnsi" w:cstheme="minorHAnsi"/>
                <w:sz w:val="20"/>
                <w:szCs w:val="20"/>
                <w:lang w:val="en-GB"/>
              </w:rPr>
              <w:t xml:space="preserve">lack of capacity to ensure continuity of services, etc.), HD&amp;MTC will not be able to provide prevention services to </w:t>
            </w:r>
            <w:r>
              <w:rPr>
                <w:rFonts w:asciiTheme="minorHAnsi" w:hAnsiTheme="minorHAnsi" w:cstheme="minorHAnsi"/>
                <w:sz w:val="20"/>
                <w:szCs w:val="20"/>
                <w:lang w:val="en-GB"/>
              </w:rPr>
              <w:t>key populations</w:t>
            </w:r>
            <w:r w:rsidRPr="00436195">
              <w:rPr>
                <w:rFonts w:asciiTheme="minorHAnsi" w:hAnsiTheme="minorHAnsi" w:cstheme="minorHAnsi"/>
                <w:sz w:val="20"/>
                <w:szCs w:val="20"/>
                <w:lang w:val="en-GB"/>
              </w:rPr>
              <w:t xml:space="preserve"> directly. To that end, SSR will </w:t>
            </w:r>
            <w:proofErr w:type="gramStart"/>
            <w:r w:rsidRPr="00436195">
              <w:rPr>
                <w:rFonts w:asciiTheme="minorHAnsi" w:hAnsiTheme="minorHAnsi" w:cstheme="minorHAnsi"/>
                <w:sz w:val="20"/>
                <w:szCs w:val="20"/>
                <w:lang w:val="en-GB"/>
              </w:rPr>
              <w:t>be selected</w:t>
            </w:r>
            <w:proofErr w:type="gramEnd"/>
            <w:r w:rsidRPr="00436195">
              <w:rPr>
                <w:rFonts w:asciiTheme="minorHAnsi" w:hAnsiTheme="minorHAnsi" w:cstheme="minorHAnsi"/>
                <w:sz w:val="20"/>
                <w:szCs w:val="20"/>
                <w:lang w:val="en-GB"/>
              </w:rPr>
              <w:t xml:space="preserve"> from among NGOs following the procedures described above, which will be contracted directly as part of </w:t>
            </w:r>
            <w:r>
              <w:rPr>
                <w:rFonts w:asciiTheme="minorHAnsi" w:hAnsiTheme="minorHAnsi" w:cstheme="minorHAnsi"/>
                <w:sz w:val="20"/>
                <w:szCs w:val="20"/>
                <w:lang w:val="en-GB"/>
              </w:rPr>
              <w:t xml:space="preserve">the </w:t>
            </w:r>
            <w:r w:rsidRPr="00436195">
              <w:rPr>
                <w:rFonts w:asciiTheme="minorHAnsi" w:hAnsiTheme="minorHAnsi" w:cstheme="minorHAnsi"/>
                <w:sz w:val="20"/>
                <w:szCs w:val="20"/>
                <w:lang w:val="en-GB"/>
              </w:rPr>
              <w:t>Small Grants Program</w:t>
            </w:r>
            <w:r>
              <w:rPr>
                <w:rFonts w:asciiTheme="minorHAnsi" w:hAnsiTheme="minorHAnsi" w:cstheme="minorHAnsi"/>
                <w:sz w:val="20"/>
                <w:szCs w:val="20"/>
                <w:lang w:val="en-GB"/>
              </w:rPr>
              <w:t>me</w:t>
            </w:r>
            <w:r w:rsidRPr="00436195">
              <w:rPr>
                <w:rFonts w:asciiTheme="minorHAnsi" w:hAnsiTheme="minorHAnsi" w:cstheme="minorHAnsi"/>
                <w:sz w:val="20"/>
                <w:szCs w:val="20"/>
                <w:lang w:val="en-GB"/>
              </w:rPr>
              <w:t xml:space="preserve">. Social contracting arrangements that enable HD&amp;MTC to conclude contracts with all NGOs, will </w:t>
            </w:r>
            <w:proofErr w:type="gramStart"/>
            <w:r w:rsidRPr="00436195">
              <w:rPr>
                <w:rFonts w:asciiTheme="minorHAnsi" w:hAnsiTheme="minorHAnsi" w:cstheme="minorHAnsi"/>
                <w:sz w:val="20"/>
                <w:szCs w:val="20"/>
                <w:lang w:val="en-GB"/>
              </w:rPr>
              <w:t>be further refined</w:t>
            </w:r>
            <w:proofErr w:type="gramEnd"/>
            <w:r w:rsidRPr="00436195">
              <w:rPr>
                <w:rFonts w:asciiTheme="minorHAnsi" w:hAnsiTheme="minorHAnsi" w:cstheme="minorHAnsi"/>
                <w:sz w:val="20"/>
                <w:szCs w:val="20"/>
                <w:lang w:val="en-GB"/>
              </w:rPr>
              <w:t xml:space="preserve"> and HD&amp;MTC shall gradually manage the NGOs. This process will </w:t>
            </w:r>
            <w:proofErr w:type="gramStart"/>
            <w:r w:rsidRPr="00436195">
              <w:rPr>
                <w:rFonts w:asciiTheme="minorHAnsi" w:hAnsiTheme="minorHAnsi" w:cstheme="minorHAnsi"/>
                <w:sz w:val="20"/>
                <w:szCs w:val="20"/>
                <w:lang w:val="en-GB"/>
              </w:rPr>
              <w:t>be managed</w:t>
            </w:r>
            <w:proofErr w:type="gramEnd"/>
            <w:r w:rsidRPr="00436195">
              <w:rPr>
                <w:rFonts w:asciiTheme="minorHAnsi" w:hAnsiTheme="minorHAnsi" w:cstheme="minorHAnsi"/>
                <w:sz w:val="20"/>
                <w:szCs w:val="20"/>
                <w:lang w:val="en-GB"/>
              </w:rPr>
              <w:t xml:space="preserve"> by PR and coordinated with the CCM and GF. Thus, during the second year of the grant implementation it </w:t>
            </w:r>
            <w:proofErr w:type="gramStart"/>
            <w:r w:rsidRPr="00436195">
              <w:rPr>
                <w:rFonts w:asciiTheme="minorHAnsi" w:hAnsiTheme="minorHAnsi" w:cstheme="minorHAnsi"/>
                <w:sz w:val="20"/>
                <w:szCs w:val="20"/>
                <w:lang w:val="en-GB"/>
              </w:rPr>
              <w:t>is intended</w:t>
            </w:r>
            <w:proofErr w:type="gramEnd"/>
            <w:r w:rsidRPr="00436195">
              <w:rPr>
                <w:rFonts w:asciiTheme="minorHAnsi" w:hAnsiTheme="minorHAnsi" w:cstheme="minorHAnsi"/>
                <w:sz w:val="20"/>
                <w:szCs w:val="20"/>
                <w:lang w:val="en-GB"/>
              </w:rPr>
              <w:t xml:space="preserve"> that HD&amp;MTC will manage, at least,</w:t>
            </w:r>
            <w:r>
              <w:rPr>
                <w:rFonts w:asciiTheme="minorHAnsi" w:hAnsiTheme="minorHAnsi" w:cstheme="minorHAnsi"/>
                <w:sz w:val="20"/>
                <w:szCs w:val="20"/>
                <w:lang w:val="en-GB"/>
              </w:rPr>
              <w:t xml:space="preserve"> two</w:t>
            </w:r>
            <w:r w:rsidRPr="00436195">
              <w:rPr>
                <w:rFonts w:asciiTheme="minorHAnsi" w:hAnsiTheme="minorHAnsi" w:cstheme="minorHAnsi"/>
                <w:sz w:val="20"/>
                <w:szCs w:val="20"/>
                <w:lang w:val="en-GB"/>
              </w:rPr>
              <w:t xml:space="preserve"> </w:t>
            </w:r>
            <w:r>
              <w:rPr>
                <w:rFonts w:asciiTheme="minorHAnsi" w:hAnsiTheme="minorHAnsi" w:cstheme="minorHAnsi"/>
                <w:sz w:val="20"/>
                <w:szCs w:val="20"/>
                <w:lang w:val="en-GB"/>
              </w:rPr>
              <w:t>NGOs, and during the third year four</w:t>
            </w:r>
            <w:r w:rsidRPr="00436195">
              <w:rPr>
                <w:rFonts w:asciiTheme="minorHAnsi" w:hAnsiTheme="minorHAnsi" w:cstheme="minorHAnsi"/>
                <w:sz w:val="20"/>
                <w:szCs w:val="20"/>
                <w:lang w:val="en-GB"/>
              </w:rPr>
              <w:t xml:space="preserve"> NGOs implementing HIV prevention program</w:t>
            </w:r>
            <w:r>
              <w:rPr>
                <w:rFonts w:asciiTheme="minorHAnsi" w:hAnsiTheme="minorHAnsi" w:cstheme="minorHAnsi"/>
                <w:sz w:val="20"/>
                <w:szCs w:val="20"/>
                <w:lang w:val="en-GB"/>
              </w:rPr>
              <w:t>me</w:t>
            </w:r>
            <w:r w:rsidRPr="00436195">
              <w:rPr>
                <w:rFonts w:asciiTheme="minorHAnsi" w:hAnsiTheme="minorHAnsi" w:cstheme="minorHAnsi"/>
                <w:sz w:val="20"/>
                <w:szCs w:val="20"/>
                <w:lang w:val="en-GB"/>
              </w:rPr>
              <w:t xml:space="preserve">s. Concurrently, the PR will continue </w:t>
            </w:r>
            <w:r>
              <w:rPr>
                <w:rFonts w:asciiTheme="minorHAnsi" w:hAnsiTheme="minorHAnsi" w:cstheme="minorHAnsi"/>
                <w:sz w:val="20"/>
                <w:szCs w:val="20"/>
                <w:lang w:val="en-GB"/>
              </w:rPr>
              <w:t>developing</w:t>
            </w:r>
            <w:r w:rsidRPr="00436195">
              <w:rPr>
                <w:rFonts w:asciiTheme="minorHAnsi" w:hAnsiTheme="minorHAnsi" w:cstheme="minorHAnsi"/>
                <w:sz w:val="20"/>
                <w:szCs w:val="20"/>
                <w:lang w:val="en-GB"/>
              </w:rPr>
              <w:t xml:space="preserve"> the capacity of </w:t>
            </w:r>
            <w:r>
              <w:rPr>
                <w:rFonts w:asciiTheme="minorHAnsi" w:hAnsiTheme="minorHAnsi" w:cstheme="minorHAnsi"/>
                <w:sz w:val="20"/>
                <w:szCs w:val="20"/>
                <w:lang w:val="en-GB"/>
              </w:rPr>
              <w:t xml:space="preserve">the </w:t>
            </w:r>
            <w:proofErr w:type="spellStart"/>
            <w:r w:rsidRPr="00436195">
              <w:rPr>
                <w:rFonts w:asciiTheme="minorHAnsi" w:hAnsiTheme="minorHAnsi" w:cstheme="minorHAnsi"/>
                <w:sz w:val="20"/>
                <w:szCs w:val="20"/>
                <w:lang w:val="en-GB"/>
              </w:rPr>
              <w:t>MoH</w:t>
            </w:r>
            <w:proofErr w:type="spellEnd"/>
            <w:r w:rsidRPr="00436195">
              <w:rPr>
                <w:rFonts w:asciiTheme="minorHAnsi" w:hAnsiTheme="minorHAnsi" w:cstheme="minorHAnsi"/>
                <w:sz w:val="20"/>
                <w:szCs w:val="20"/>
                <w:lang w:val="en-GB"/>
              </w:rPr>
              <w:t xml:space="preserve"> in terms of procurement and management of pharmaceuticals, tests, laboratory equipment and jointly with development partners support the supply chain management for the two program</w:t>
            </w:r>
            <w:r>
              <w:rPr>
                <w:rFonts w:asciiTheme="minorHAnsi" w:hAnsiTheme="minorHAnsi" w:cstheme="minorHAnsi"/>
                <w:sz w:val="20"/>
                <w:szCs w:val="20"/>
                <w:lang w:val="en-GB"/>
              </w:rPr>
              <w:t>me</w:t>
            </w:r>
            <w:r w:rsidRPr="00436195">
              <w:rPr>
                <w:rFonts w:asciiTheme="minorHAnsi" w:hAnsiTheme="minorHAnsi" w:cstheme="minorHAnsi"/>
                <w:sz w:val="20"/>
                <w:szCs w:val="20"/>
                <w:lang w:val="en-GB"/>
              </w:rPr>
              <w:t xml:space="preserve">s and </w:t>
            </w:r>
            <w:r>
              <w:rPr>
                <w:rFonts w:asciiTheme="minorHAnsi" w:hAnsiTheme="minorHAnsi" w:cstheme="minorHAnsi"/>
                <w:sz w:val="20"/>
                <w:szCs w:val="20"/>
                <w:lang w:val="en-GB"/>
              </w:rPr>
              <w:t xml:space="preserve">the </w:t>
            </w:r>
            <w:proofErr w:type="spellStart"/>
            <w:r w:rsidRPr="00436195">
              <w:rPr>
                <w:rFonts w:asciiTheme="minorHAnsi" w:hAnsiTheme="minorHAnsi" w:cstheme="minorHAnsi"/>
                <w:sz w:val="20"/>
                <w:szCs w:val="20"/>
                <w:lang w:val="en-GB"/>
              </w:rPr>
              <w:t>MoH</w:t>
            </w:r>
            <w:proofErr w:type="spellEnd"/>
            <w:r w:rsidRPr="00436195">
              <w:rPr>
                <w:rFonts w:asciiTheme="minorHAnsi" w:hAnsiTheme="minorHAnsi" w:cstheme="minorHAnsi"/>
                <w:sz w:val="20"/>
                <w:szCs w:val="20"/>
                <w:lang w:val="en-GB"/>
              </w:rPr>
              <w:t xml:space="preserve"> as a whole.</w:t>
            </w:r>
          </w:p>
          <w:p w14:paraId="45B93236" w14:textId="77777777" w:rsidR="00F00FAC" w:rsidRPr="00436195" w:rsidRDefault="00F00FAC" w:rsidP="00F00FAC">
            <w:pPr>
              <w:jc w:val="both"/>
              <w:rPr>
                <w:rFonts w:asciiTheme="minorHAnsi" w:hAnsiTheme="minorHAnsi" w:cstheme="minorHAnsi"/>
                <w:sz w:val="20"/>
                <w:szCs w:val="20"/>
                <w:lang w:val="en-GB"/>
              </w:rPr>
            </w:pPr>
            <w:r>
              <w:rPr>
                <w:rFonts w:asciiTheme="minorHAnsi" w:hAnsiTheme="minorHAnsi" w:cstheme="minorHAnsi"/>
                <w:sz w:val="20"/>
                <w:szCs w:val="20"/>
                <w:lang w:val="en-GB"/>
              </w:rPr>
              <w:t>The Local Fund Agent is</w:t>
            </w:r>
            <w:r w:rsidRPr="00436195">
              <w:rPr>
                <w:rFonts w:asciiTheme="minorHAnsi" w:hAnsiTheme="minorHAnsi" w:cstheme="minorHAnsi"/>
                <w:sz w:val="20"/>
                <w:szCs w:val="20"/>
                <w:lang w:val="en-GB"/>
              </w:rPr>
              <w:t xml:space="preserve"> currently the United Nati</w:t>
            </w:r>
            <w:r>
              <w:rPr>
                <w:rFonts w:asciiTheme="minorHAnsi" w:hAnsiTheme="minorHAnsi" w:cstheme="minorHAnsi"/>
                <w:sz w:val="20"/>
                <w:szCs w:val="20"/>
                <w:lang w:val="en-GB"/>
              </w:rPr>
              <w:t>ons Office for Project Services (</w:t>
            </w:r>
            <w:r w:rsidRPr="00436195">
              <w:rPr>
                <w:rFonts w:asciiTheme="minorHAnsi" w:hAnsiTheme="minorHAnsi" w:cstheme="minorHAnsi"/>
                <w:sz w:val="20"/>
                <w:szCs w:val="20"/>
                <w:lang w:val="en-GB"/>
              </w:rPr>
              <w:t>UNOPS</w:t>
            </w:r>
            <w:r>
              <w:rPr>
                <w:rFonts w:asciiTheme="minorHAnsi" w:hAnsiTheme="minorHAnsi" w:cstheme="minorHAnsi"/>
                <w:sz w:val="20"/>
                <w:szCs w:val="20"/>
                <w:lang w:val="en-GB"/>
              </w:rPr>
              <w:t>)</w:t>
            </w:r>
            <w:r w:rsidRPr="00436195">
              <w:rPr>
                <w:rFonts w:asciiTheme="minorHAnsi" w:hAnsiTheme="minorHAnsi" w:cstheme="minorHAnsi"/>
                <w:sz w:val="20"/>
                <w:szCs w:val="20"/>
                <w:lang w:val="en-GB"/>
              </w:rPr>
              <w:t xml:space="preserve">, Kyrgyzstan, </w:t>
            </w:r>
            <w:r>
              <w:rPr>
                <w:rFonts w:asciiTheme="minorHAnsi" w:hAnsiTheme="minorHAnsi" w:cstheme="minorHAnsi"/>
                <w:sz w:val="20"/>
                <w:szCs w:val="20"/>
                <w:lang w:val="en-GB"/>
              </w:rPr>
              <w:t xml:space="preserve">which </w:t>
            </w:r>
            <w:r w:rsidRPr="00436195">
              <w:rPr>
                <w:rFonts w:asciiTheme="minorHAnsi" w:hAnsiTheme="minorHAnsi" w:cstheme="minorHAnsi"/>
                <w:sz w:val="20"/>
                <w:szCs w:val="20"/>
                <w:lang w:val="en-GB"/>
              </w:rPr>
              <w:t xml:space="preserve">operates under the terms of reference agreed with the GF, including on-site verification. External audits of </w:t>
            </w:r>
            <w:r>
              <w:rPr>
                <w:rFonts w:asciiTheme="minorHAnsi" w:hAnsiTheme="minorHAnsi" w:cstheme="minorHAnsi"/>
                <w:sz w:val="20"/>
                <w:szCs w:val="20"/>
                <w:lang w:val="en-GB"/>
              </w:rPr>
              <w:t xml:space="preserve">the </w:t>
            </w:r>
            <w:r w:rsidRPr="00436195">
              <w:rPr>
                <w:rFonts w:asciiTheme="minorHAnsi" w:hAnsiTheme="minorHAnsi" w:cstheme="minorHAnsi"/>
                <w:sz w:val="20"/>
                <w:szCs w:val="20"/>
                <w:lang w:val="en-GB"/>
              </w:rPr>
              <w:t xml:space="preserve">principal implementer and sub-recipients </w:t>
            </w:r>
            <w:proofErr w:type="gramStart"/>
            <w:r w:rsidRPr="00436195">
              <w:rPr>
                <w:rFonts w:asciiTheme="minorHAnsi" w:hAnsiTheme="minorHAnsi" w:cstheme="minorHAnsi"/>
                <w:sz w:val="20"/>
                <w:szCs w:val="20"/>
                <w:lang w:val="en-GB"/>
              </w:rPr>
              <w:t>are done</w:t>
            </w:r>
            <w:proofErr w:type="gramEnd"/>
            <w:r w:rsidRPr="00436195">
              <w:rPr>
                <w:rFonts w:asciiTheme="minorHAnsi" w:hAnsiTheme="minorHAnsi" w:cstheme="minorHAnsi"/>
                <w:sz w:val="20"/>
                <w:szCs w:val="20"/>
                <w:lang w:val="en-GB"/>
              </w:rPr>
              <w:t xml:space="preserve"> on </w:t>
            </w:r>
            <w:r>
              <w:rPr>
                <w:rFonts w:asciiTheme="minorHAnsi" w:hAnsiTheme="minorHAnsi" w:cstheme="minorHAnsi"/>
                <w:sz w:val="20"/>
                <w:szCs w:val="20"/>
                <w:lang w:val="en-GB"/>
              </w:rPr>
              <w:t xml:space="preserve">an </w:t>
            </w:r>
            <w:r w:rsidRPr="00436195">
              <w:rPr>
                <w:rFonts w:asciiTheme="minorHAnsi" w:hAnsiTheme="minorHAnsi" w:cstheme="minorHAnsi"/>
                <w:sz w:val="20"/>
                <w:szCs w:val="20"/>
                <w:lang w:val="en-GB"/>
              </w:rPr>
              <w:t>annual basis in accordance with UNDP procedures and rules aimed at evaluating the project effectiveness and financial management</w:t>
            </w:r>
            <w:r>
              <w:rPr>
                <w:rFonts w:asciiTheme="minorHAnsi" w:hAnsiTheme="minorHAnsi" w:cstheme="minorHAnsi"/>
                <w:sz w:val="20"/>
                <w:szCs w:val="20"/>
                <w:lang w:val="en-GB"/>
              </w:rPr>
              <w:t>.</w:t>
            </w:r>
            <w:r w:rsidRPr="00436195">
              <w:rPr>
                <w:rFonts w:asciiTheme="minorHAnsi" w:hAnsiTheme="minorHAnsi" w:cstheme="minorHAnsi"/>
                <w:sz w:val="20"/>
                <w:szCs w:val="20"/>
                <w:lang w:val="en-GB"/>
              </w:rPr>
              <w:t xml:space="preserve"> </w:t>
            </w:r>
          </w:p>
          <w:p w14:paraId="6CC81B74" w14:textId="52494A6F" w:rsidR="00F00FAC" w:rsidRDefault="00F00FAC" w:rsidP="00F00FAC">
            <w:pPr>
              <w:jc w:val="both"/>
              <w:rPr>
                <w:rFonts w:asciiTheme="minorHAnsi" w:hAnsiTheme="minorHAnsi" w:cstheme="minorHAnsi"/>
                <w:sz w:val="20"/>
                <w:szCs w:val="20"/>
                <w:lang w:val="en-GB"/>
              </w:rPr>
            </w:pPr>
            <w:r w:rsidRPr="00436195">
              <w:rPr>
                <w:rFonts w:asciiTheme="minorHAnsi" w:hAnsiTheme="minorHAnsi" w:cstheme="minorHAnsi"/>
                <w:sz w:val="20"/>
                <w:szCs w:val="20"/>
                <w:lang w:val="en-GB"/>
              </w:rPr>
              <w:t xml:space="preserve">The </w:t>
            </w:r>
            <w:r>
              <w:rPr>
                <w:rFonts w:asciiTheme="minorHAnsi" w:hAnsiTheme="minorHAnsi" w:cstheme="minorHAnsi"/>
                <w:sz w:val="20"/>
                <w:szCs w:val="20"/>
                <w:lang w:val="en-GB"/>
              </w:rPr>
              <w:t>organis</w:t>
            </w:r>
            <w:r w:rsidRPr="00436195">
              <w:rPr>
                <w:rFonts w:asciiTheme="minorHAnsi" w:hAnsiTheme="minorHAnsi" w:cstheme="minorHAnsi"/>
                <w:sz w:val="20"/>
                <w:szCs w:val="20"/>
                <w:lang w:val="en-GB"/>
              </w:rPr>
              <w:t xml:space="preserve">ational and functional structure of grant management </w:t>
            </w:r>
            <w:proofErr w:type="gramStart"/>
            <w:r w:rsidRPr="00436195">
              <w:rPr>
                <w:rFonts w:asciiTheme="minorHAnsi" w:hAnsiTheme="minorHAnsi" w:cstheme="minorHAnsi"/>
                <w:sz w:val="20"/>
                <w:szCs w:val="20"/>
                <w:lang w:val="en-GB"/>
              </w:rPr>
              <w:t>is given</w:t>
            </w:r>
            <w:proofErr w:type="gramEnd"/>
            <w:r w:rsidRPr="00436195">
              <w:rPr>
                <w:rFonts w:asciiTheme="minorHAnsi" w:hAnsiTheme="minorHAnsi" w:cstheme="minorHAnsi"/>
                <w:sz w:val="20"/>
                <w:szCs w:val="20"/>
                <w:lang w:val="en-GB"/>
              </w:rPr>
              <w:t xml:space="preserve"> in the </w:t>
            </w:r>
            <w:r w:rsidRPr="007609CE">
              <w:rPr>
                <w:rFonts w:asciiTheme="minorHAnsi" w:hAnsiTheme="minorHAnsi" w:cstheme="minorHAnsi"/>
                <w:sz w:val="20"/>
                <w:szCs w:val="20"/>
                <w:lang w:val="en-GB"/>
              </w:rPr>
              <w:t>Annex</w:t>
            </w:r>
            <w:r w:rsidR="005D384C">
              <w:rPr>
                <w:rFonts w:asciiTheme="minorHAnsi" w:hAnsiTheme="minorHAnsi" w:cstheme="minorHAnsi"/>
                <w:sz w:val="20"/>
                <w:szCs w:val="20"/>
                <w:lang w:val="en-GB"/>
              </w:rPr>
              <w:t xml:space="preserve"> ‘Implementation Arrangement Map”.</w:t>
            </w:r>
          </w:p>
          <w:p w14:paraId="18FCF4CD" w14:textId="21652039" w:rsidR="00485066" w:rsidRPr="005D384C" w:rsidRDefault="005D384C" w:rsidP="005D384C">
            <w:pPr>
              <w:jc w:val="both"/>
              <w:rPr>
                <w:rFonts w:asciiTheme="minorHAnsi" w:hAnsiTheme="minorHAnsi"/>
                <w:sz w:val="20"/>
                <w:szCs w:val="20"/>
              </w:rPr>
            </w:pPr>
            <w:r w:rsidRPr="005D384C">
              <w:rPr>
                <w:rFonts w:asciiTheme="minorHAnsi" w:hAnsiTheme="minorHAnsi"/>
                <w:sz w:val="20"/>
                <w:szCs w:val="20"/>
                <w:lang w:val="en-GB"/>
              </w:rPr>
              <w:t xml:space="preserve">It should </w:t>
            </w:r>
            <w:proofErr w:type="gramStart"/>
            <w:r w:rsidRPr="005D384C">
              <w:rPr>
                <w:rFonts w:asciiTheme="minorHAnsi" w:hAnsiTheme="minorHAnsi"/>
                <w:sz w:val="20"/>
                <w:szCs w:val="20"/>
                <w:lang w:val="en-GB"/>
              </w:rPr>
              <w:t>be note</w:t>
            </w:r>
            <w:r>
              <w:rPr>
                <w:rFonts w:asciiTheme="minorHAnsi" w:hAnsiTheme="minorHAnsi"/>
                <w:sz w:val="20"/>
                <w:szCs w:val="20"/>
                <w:lang w:val="en-GB"/>
              </w:rPr>
              <w:t>d</w:t>
            </w:r>
            <w:proofErr w:type="gramEnd"/>
            <w:r>
              <w:rPr>
                <w:rFonts w:asciiTheme="minorHAnsi" w:hAnsiTheme="minorHAnsi"/>
                <w:sz w:val="20"/>
                <w:szCs w:val="20"/>
                <w:lang w:val="en-GB"/>
              </w:rPr>
              <w:t xml:space="preserve"> </w:t>
            </w:r>
            <w:r w:rsidRPr="005D384C">
              <w:rPr>
                <w:rFonts w:asciiTheme="minorHAnsi" w:hAnsiTheme="minorHAnsi"/>
                <w:sz w:val="20"/>
                <w:szCs w:val="20"/>
                <w:lang w:val="en-GB"/>
              </w:rPr>
              <w:t xml:space="preserve">that </w:t>
            </w:r>
            <w:r w:rsidRPr="005D384C">
              <w:rPr>
                <w:rFonts w:cs="Arial"/>
                <w:color w:val="222222"/>
                <w:sz w:val="20"/>
                <w:szCs w:val="20"/>
                <w:shd w:val="clear" w:color="auto" w:fill="FFFFFF"/>
              </w:rPr>
              <w:t xml:space="preserve">the final decision on PR was done </w:t>
            </w:r>
            <w:r>
              <w:rPr>
                <w:rFonts w:cs="Arial"/>
                <w:color w:val="222222"/>
                <w:sz w:val="20"/>
                <w:szCs w:val="20"/>
                <w:shd w:val="clear" w:color="auto" w:fill="FFFFFF"/>
              </w:rPr>
              <w:t>a week prior to the FR submission</w:t>
            </w:r>
            <w:r w:rsidRPr="005D384C">
              <w:rPr>
                <w:rFonts w:cs="Arial"/>
                <w:color w:val="222222"/>
                <w:sz w:val="20"/>
                <w:szCs w:val="20"/>
                <w:shd w:val="clear" w:color="auto" w:fill="FFFFFF"/>
              </w:rPr>
              <w:t xml:space="preserve"> and that there was no time to include adequately all the costs, as the planning was done with assumption of MOH to be a PR. In that regard, GF should be aware that the budget would be revised accordingly during the negotiation phase in order to include the 7% GMS</w:t>
            </w:r>
            <w:r>
              <w:rPr>
                <w:rFonts w:cs="Arial"/>
                <w:color w:val="222222"/>
                <w:sz w:val="20"/>
                <w:szCs w:val="20"/>
                <w:shd w:val="clear" w:color="auto" w:fill="FFFFFF"/>
              </w:rPr>
              <w:t>.</w:t>
            </w:r>
          </w:p>
        </w:tc>
      </w:tr>
    </w:tbl>
    <w:p w14:paraId="77ECCEE2" w14:textId="67513B2D" w:rsidR="00485066" w:rsidRPr="001D57CE" w:rsidRDefault="00485066" w:rsidP="00485066">
      <w:pPr>
        <w:spacing w:after="0"/>
        <w:contextualSpacing/>
        <w:rPr>
          <w:rFonts w:cs="Arial"/>
          <w:bCs/>
          <w:iCs/>
        </w:rPr>
      </w:pPr>
    </w:p>
    <w:p w14:paraId="6B7B6961" w14:textId="191C1782" w:rsidR="00E442A2" w:rsidRPr="001D57CE" w:rsidRDefault="00B2724B" w:rsidP="008B5FE3">
      <w:pPr>
        <w:pStyle w:val="affff3"/>
        <w:numPr>
          <w:ilvl w:val="0"/>
          <w:numId w:val="21"/>
        </w:numPr>
        <w:spacing w:after="0" w:line="260" w:lineRule="atLeast"/>
        <w:jc w:val="both"/>
        <w:rPr>
          <w:rFonts w:cs="Arial"/>
        </w:rPr>
      </w:pPr>
      <w:r>
        <w:t>De</w:t>
      </w:r>
      <w:r w:rsidR="00E442A2" w:rsidRPr="001D57CE">
        <w:t xml:space="preserve">scribe the role that </w:t>
      </w:r>
      <w:r w:rsidR="00E442A2" w:rsidRPr="0096146C">
        <w:rPr>
          <w:b/>
        </w:rPr>
        <w:t>community-based organizations</w:t>
      </w:r>
      <w:r w:rsidR="00E442A2" w:rsidRPr="001D57CE">
        <w:t xml:space="preserve"> will play under the implementation arrangements.</w:t>
      </w:r>
    </w:p>
    <w:p w14:paraId="7886AAC4" w14:textId="77777777" w:rsidR="00E442A2" w:rsidRPr="008C21CF" w:rsidRDefault="00E442A2" w:rsidP="00E442A2">
      <w:pPr>
        <w:pStyle w:val="affff3"/>
        <w:spacing w:after="0"/>
        <w:ind w:left="360"/>
        <w:rPr>
          <w:bCs/>
          <w:iCs/>
        </w:rPr>
      </w:pPr>
    </w:p>
    <w:tbl>
      <w:tblPr>
        <w:tblStyle w:val="aa"/>
        <w:tblW w:w="0" w:type="auto"/>
        <w:tblLook w:val="04A0" w:firstRow="1" w:lastRow="0" w:firstColumn="1" w:lastColumn="0" w:noHBand="0" w:noVBand="1"/>
      </w:tblPr>
      <w:tblGrid>
        <w:gridCol w:w="10456"/>
      </w:tblGrid>
      <w:tr w:rsidR="00E442A2" w:rsidRPr="001D57CE" w14:paraId="052E012C" w14:textId="77777777" w:rsidTr="009B1BDA">
        <w:tc>
          <w:tcPr>
            <w:tcW w:w="10790" w:type="dxa"/>
          </w:tcPr>
          <w:p w14:paraId="4DC03127" w14:textId="77777777" w:rsidR="00F00FAC" w:rsidRPr="00436195" w:rsidRDefault="00F00FAC" w:rsidP="00214AFE">
            <w:pPr>
              <w:jc w:val="both"/>
              <w:rPr>
                <w:rFonts w:asciiTheme="minorHAnsi" w:hAnsiTheme="minorHAnsi" w:cstheme="minorHAnsi"/>
                <w:sz w:val="20"/>
                <w:szCs w:val="20"/>
                <w:lang w:val="en-GB"/>
              </w:rPr>
            </w:pPr>
            <w:r w:rsidRPr="00436195">
              <w:rPr>
                <w:rFonts w:asciiTheme="minorHAnsi" w:hAnsiTheme="minorHAnsi" w:cstheme="minorHAnsi"/>
                <w:sz w:val="20"/>
                <w:szCs w:val="20"/>
                <w:lang w:val="en-GB"/>
              </w:rPr>
              <w:t>The HIV and TB Country Coordinat</w:t>
            </w:r>
            <w:r>
              <w:rPr>
                <w:rFonts w:asciiTheme="minorHAnsi" w:hAnsiTheme="minorHAnsi" w:cstheme="minorHAnsi"/>
                <w:sz w:val="20"/>
                <w:szCs w:val="20"/>
                <w:lang w:val="en-GB"/>
              </w:rPr>
              <w:t>ing</w:t>
            </w:r>
            <w:r w:rsidRPr="00436195">
              <w:rPr>
                <w:rFonts w:asciiTheme="minorHAnsi" w:hAnsiTheme="minorHAnsi" w:cstheme="minorHAnsi"/>
                <w:sz w:val="20"/>
                <w:szCs w:val="20"/>
                <w:lang w:val="en-GB"/>
              </w:rPr>
              <w:t xml:space="preserve"> Mechanism was established under the Coordinating Council of Public Health under the Government of the Kyrgyz Republic </w:t>
            </w:r>
            <w:proofErr w:type="gramStart"/>
            <w:r w:rsidRPr="00436195">
              <w:rPr>
                <w:rFonts w:asciiTheme="minorHAnsi" w:hAnsiTheme="minorHAnsi" w:cstheme="minorHAnsi"/>
                <w:sz w:val="20"/>
                <w:szCs w:val="20"/>
                <w:lang w:val="en-GB"/>
              </w:rPr>
              <w:t>in order to</w:t>
            </w:r>
            <w:proofErr w:type="gramEnd"/>
            <w:r w:rsidRPr="00436195">
              <w:rPr>
                <w:rFonts w:asciiTheme="minorHAnsi" w:hAnsiTheme="minorHAnsi" w:cstheme="minorHAnsi"/>
                <w:sz w:val="20"/>
                <w:szCs w:val="20"/>
                <w:lang w:val="en-GB"/>
              </w:rPr>
              <w:t xml:space="preserve"> provide oversight, coordinate and interact with concerned government agencies as well as non-for-profit and community organi</w:t>
            </w:r>
            <w:r>
              <w:rPr>
                <w:rFonts w:asciiTheme="minorHAnsi" w:hAnsiTheme="minorHAnsi" w:cstheme="minorHAnsi"/>
                <w:sz w:val="20"/>
                <w:szCs w:val="20"/>
                <w:lang w:val="en-GB"/>
              </w:rPr>
              <w:t>s</w:t>
            </w:r>
            <w:r w:rsidRPr="00436195">
              <w:rPr>
                <w:rFonts w:asciiTheme="minorHAnsi" w:hAnsiTheme="minorHAnsi" w:cstheme="minorHAnsi"/>
                <w:sz w:val="20"/>
                <w:szCs w:val="20"/>
                <w:lang w:val="en-GB"/>
              </w:rPr>
              <w:t xml:space="preserve">ations. Members of civil society and non-for-profit organizations represented in CCM including people living or affected by HIV and TB, or persons representing them, participate in </w:t>
            </w:r>
            <w:r>
              <w:rPr>
                <w:rFonts w:asciiTheme="minorHAnsi" w:hAnsiTheme="minorHAnsi" w:cstheme="minorHAnsi"/>
                <w:sz w:val="20"/>
                <w:szCs w:val="20"/>
                <w:lang w:val="en-GB"/>
              </w:rPr>
              <w:t>the CCM</w:t>
            </w:r>
            <w:r w:rsidRPr="00436195">
              <w:rPr>
                <w:rFonts w:asciiTheme="minorHAnsi" w:hAnsiTheme="minorHAnsi" w:cstheme="minorHAnsi"/>
                <w:sz w:val="20"/>
                <w:szCs w:val="20"/>
                <w:lang w:val="en-GB"/>
              </w:rPr>
              <w:t xml:space="preserve"> functions. These include overseeing</w:t>
            </w:r>
            <w:r>
              <w:rPr>
                <w:rFonts w:asciiTheme="minorHAnsi" w:hAnsiTheme="minorHAnsi" w:cstheme="minorHAnsi"/>
                <w:sz w:val="20"/>
                <w:szCs w:val="20"/>
                <w:lang w:val="en-GB"/>
              </w:rPr>
              <w:t xml:space="preserve"> </w:t>
            </w:r>
            <w:r w:rsidRPr="00436195">
              <w:rPr>
                <w:rFonts w:asciiTheme="minorHAnsi" w:hAnsiTheme="minorHAnsi" w:cstheme="minorHAnsi"/>
                <w:sz w:val="20"/>
                <w:szCs w:val="20"/>
                <w:lang w:val="en-GB"/>
              </w:rPr>
              <w:t>collaboration</w:t>
            </w:r>
            <w:r>
              <w:rPr>
                <w:rFonts w:asciiTheme="minorHAnsi" w:hAnsiTheme="minorHAnsi" w:cstheme="minorHAnsi"/>
                <w:sz w:val="20"/>
                <w:szCs w:val="20"/>
                <w:lang w:val="en-GB"/>
              </w:rPr>
              <w:t xml:space="preserve"> and cooperation</w:t>
            </w:r>
            <w:r w:rsidRPr="00436195">
              <w:rPr>
                <w:rFonts w:asciiTheme="minorHAnsi" w:hAnsiTheme="minorHAnsi" w:cstheme="minorHAnsi"/>
                <w:sz w:val="20"/>
                <w:szCs w:val="20"/>
                <w:lang w:val="en-GB"/>
              </w:rPr>
              <w:t xml:space="preserve">, monitoring and oversight over financial resources and </w:t>
            </w:r>
            <w:r>
              <w:rPr>
                <w:rFonts w:asciiTheme="minorHAnsi" w:hAnsiTheme="minorHAnsi" w:cstheme="minorHAnsi"/>
                <w:sz w:val="20"/>
                <w:szCs w:val="20"/>
                <w:lang w:val="en-GB"/>
              </w:rPr>
              <w:t>programme</w:t>
            </w:r>
            <w:r w:rsidRPr="00436195">
              <w:rPr>
                <w:rFonts w:asciiTheme="minorHAnsi" w:hAnsiTheme="minorHAnsi" w:cstheme="minorHAnsi"/>
                <w:sz w:val="20"/>
                <w:szCs w:val="20"/>
                <w:lang w:val="en-GB"/>
              </w:rPr>
              <w:t xml:space="preserve"> activities. </w:t>
            </w:r>
          </w:p>
          <w:p w14:paraId="612A7B42" w14:textId="77777777" w:rsidR="00F00FAC" w:rsidRPr="00436195" w:rsidRDefault="00F00FAC" w:rsidP="00214AFE">
            <w:pPr>
              <w:jc w:val="both"/>
              <w:rPr>
                <w:rFonts w:asciiTheme="minorHAnsi" w:hAnsiTheme="minorHAnsi" w:cstheme="minorHAnsi"/>
                <w:sz w:val="20"/>
                <w:szCs w:val="20"/>
                <w:lang w:val="en-GB"/>
              </w:rPr>
            </w:pPr>
            <w:r w:rsidRPr="000B49D2">
              <w:rPr>
                <w:rFonts w:asciiTheme="minorHAnsi" w:hAnsiTheme="minorHAnsi" w:cstheme="minorHAnsi"/>
                <w:sz w:val="20"/>
                <w:szCs w:val="20"/>
                <w:lang w:val="en-GB"/>
              </w:rPr>
              <w:t>Non-governmental and community organisations as SRs of GF grants play the leading role in implementing the prevention program</w:t>
            </w:r>
            <w:r>
              <w:rPr>
                <w:rFonts w:asciiTheme="minorHAnsi" w:hAnsiTheme="minorHAnsi" w:cstheme="minorHAnsi"/>
                <w:sz w:val="20"/>
                <w:szCs w:val="20"/>
                <w:lang w:val="en-GB"/>
              </w:rPr>
              <w:t>me</w:t>
            </w:r>
            <w:r w:rsidRPr="000B49D2">
              <w:rPr>
                <w:rFonts w:asciiTheme="minorHAnsi" w:hAnsiTheme="minorHAnsi" w:cstheme="minorHAnsi"/>
                <w:sz w:val="20"/>
                <w:szCs w:val="20"/>
                <w:lang w:val="en-GB"/>
              </w:rPr>
              <w:t>s among key populations, care and support prog</w:t>
            </w:r>
            <w:r w:rsidRPr="00436195">
              <w:rPr>
                <w:rFonts w:asciiTheme="minorHAnsi" w:hAnsiTheme="minorHAnsi" w:cstheme="minorHAnsi"/>
                <w:sz w:val="20"/>
                <w:szCs w:val="20"/>
                <w:lang w:val="en-GB"/>
              </w:rPr>
              <w:t>ram</w:t>
            </w:r>
            <w:r>
              <w:rPr>
                <w:rFonts w:asciiTheme="minorHAnsi" w:hAnsiTheme="minorHAnsi" w:cstheme="minorHAnsi"/>
                <w:sz w:val="20"/>
                <w:szCs w:val="20"/>
                <w:lang w:val="en-GB"/>
              </w:rPr>
              <w:t>me</w:t>
            </w:r>
            <w:r w:rsidRPr="00436195">
              <w:rPr>
                <w:rFonts w:asciiTheme="minorHAnsi" w:hAnsiTheme="minorHAnsi" w:cstheme="minorHAnsi"/>
                <w:sz w:val="20"/>
                <w:szCs w:val="20"/>
                <w:lang w:val="en-GB"/>
              </w:rPr>
              <w:t>s for people living with HIV and TB, harm reduction program</w:t>
            </w:r>
            <w:r>
              <w:rPr>
                <w:rFonts w:asciiTheme="minorHAnsi" w:hAnsiTheme="minorHAnsi" w:cstheme="minorHAnsi"/>
                <w:sz w:val="20"/>
                <w:szCs w:val="20"/>
                <w:lang w:val="en-GB"/>
              </w:rPr>
              <w:t>me</w:t>
            </w:r>
            <w:r w:rsidRPr="00436195">
              <w:rPr>
                <w:rFonts w:asciiTheme="minorHAnsi" w:hAnsiTheme="minorHAnsi" w:cstheme="minorHAnsi"/>
                <w:sz w:val="20"/>
                <w:szCs w:val="20"/>
                <w:lang w:val="en-GB"/>
              </w:rPr>
              <w:t xml:space="preserve">s and </w:t>
            </w:r>
            <w:r>
              <w:rPr>
                <w:rFonts w:asciiTheme="minorHAnsi" w:hAnsiTheme="minorHAnsi" w:cstheme="minorHAnsi"/>
                <w:sz w:val="20"/>
                <w:szCs w:val="20"/>
                <w:lang w:val="en-GB"/>
              </w:rPr>
              <w:t xml:space="preserve">for </w:t>
            </w:r>
            <w:r w:rsidRPr="00436195">
              <w:rPr>
                <w:rFonts w:asciiTheme="minorHAnsi" w:hAnsiTheme="minorHAnsi" w:cstheme="minorHAnsi"/>
                <w:sz w:val="20"/>
                <w:szCs w:val="20"/>
                <w:lang w:val="en-GB"/>
              </w:rPr>
              <w:t xml:space="preserve">creating </w:t>
            </w:r>
            <w:r>
              <w:rPr>
                <w:rFonts w:asciiTheme="minorHAnsi" w:hAnsiTheme="minorHAnsi" w:cstheme="minorHAnsi"/>
                <w:sz w:val="20"/>
                <w:szCs w:val="20"/>
                <w:lang w:val="en-GB"/>
              </w:rPr>
              <w:t xml:space="preserve">an </w:t>
            </w:r>
            <w:r w:rsidRPr="00436195">
              <w:rPr>
                <w:rFonts w:asciiTheme="minorHAnsi" w:hAnsiTheme="minorHAnsi" w:cstheme="minorHAnsi"/>
                <w:sz w:val="20"/>
                <w:szCs w:val="20"/>
                <w:lang w:val="en-GB"/>
              </w:rPr>
              <w:t xml:space="preserve">enabling environment for </w:t>
            </w:r>
            <w:r>
              <w:rPr>
                <w:rFonts w:asciiTheme="minorHAnsi" w:hAnsiTheme="minorHAnsi" w:cstheme="minorHAnsi"/>
                <w:sz w:val="20"/>
                <w:szCs w:val="20"/>
                <w:lang w:val="en-GB"/>
              </w:rPr>
              <w:t xml:space="preserve">the </w:t>
            </w:r>
            <w:r w:rsidRPr="00436195">
              <w:rPr>
                <w:rFonts w:asciiTheme="minorHAnsi" w:hAnsiTheme="minorHAnsi" w:cstheme="minorHAnsi"/>
                <w:sz w:val="20"/>
                <w:szCs w:val="20"/>
                <w:lang w:val="en-GB"/>
              </w:rPr>
              <w:t>implementation of HIV and TB program</w:t>
            </w:r>
            <w:r>
              <w:rPr>
                <w:rFonts w:asciiTheme="minorHAnsi" w:hAnsiTheme="minorHAnsi" w:cstheme="minorHAnsi"/>
                <w:sz w:val="20"/>
                <w:szCs w:val="20"/>
                <w:lang w:val="en-GB"/>
              </w:rPr>
              <w:t>me</w:t>
            </w:r>
            <w:r w:rsidRPr="00436195">
              <w:rPr>
                <w:rFonts w:asciiTheme="minorHAnsi" w:hAnsiTheme="minorHAnsi" w:cstheme="minorHAnsi"/>
                <w:sz w:val="20"/>
                <w:szCs w:val="20"/>
                <w:lang w:val="en-GB"/>
              </w:rPr>
              <w:t xml:space="preserve">s, including advocacy activities </w:t>
            </w:r>
            <w:r>
              <w:rPr>
                <w:rFonts w:asciiTheme="minorHAnsi" w:hAnsiTheme="minorHAnsi" w:cstheme="minorHAnsi"/>
                <w:sz w:val="20"/>
                <w:szCs w:val="20"/>
                <w:lang w:val="en-GB"/>
              </w:rPr>
              <w:t xml:space="preserve">and </w:t>
            </w:r>
            <w:r w:rsidRPr="00436195">
              <w:rPr>
                <w:rFonts w:asciiTheme="minorHAnsi" w:hAnsiTheme="minorHAnsi" w:cstheme="minorHAnsi"/>
                <w:sz w:val="20"/>
                <w:szCs w:val="20"/>
                <w:lang w:val="en-GB"/>
              </w:rPr>
              <w:t xml:space="preserve">activities aimed at reducing stigma and discrimination. </w:t>
            </w:r>
          </w:p>
          <w:p w14:paraId="35C787DE" w14:textId="501E7741" w:rsidR="00F00FAC" w:rsidRPr="00436195" w:rsidRDefault="00F00FAC" w:rsidP="00214AFE">
            <w:pPr>
              <w:jc w:val="both"/>
              <w:rPr>
                <w:rFonts w:asciiTheme="minorHAnsi" w:hAnsiTheme="minorHAnsi" w:cstheme="minorHAnsi"/>
                <w:sz w:val="20"/>
                <w:szCs w:val="20"/>
                <w:lang w:val="en-GB"/>
              </w:rPr>
            </w:pPr>
            <w:r>
              <w:rPr>
                <w:rFonts w:asciiTheme="minorHAnsi" w:hAnsiTheme="minorHAnsi" w:cstheme="minorHAnsi"/>
                <w:sz w:val="20"/>
                <w:szCs w:val="20"/>
                <w:lang w:val="en-GB"/>
              </w:rPr>
              <w:t>Meaningful community</w:t>
            </w:r>
            <w:r w:rsidRPr="00436195">
              <w:rPr>
                <w:rFonts w:asciiTheme="minorHAnsi" w:hAnsiTheme="minorHAnsi" w:cstheme="minorHAnsi"/>
                <w:sz w:val="20"/>
                <w:szCs w:val="20"/>
                <w:lang w:val="en-GB"/>
              </w:rPr>
              <w:t xml:space="preserve"> engagement in grant implementation will </w:t>
            </w:r>
            <w:proofErr w:type="gramStart"/>
            <w:r w:rsidRPr="00436195">
              <w:rPr>
                <w:rFonts w:asciiTheme="minorHAnsi" w:hAnsiTheme="minorHAnsi" w:cstheme="minorHAnsi"/>
                <w:sz w:val="20"/>
                <w:szCs w:val="20"/>
                <w:lang w:val="en-GB"/>
              </w:rPr>
              <w:t>be ensured</w:t>
            </w:r>
            <w:proofErr w:type="gramEnd"/>
            <w:r w:rsidRPr="00436195">
              <w:rPr>
                <w:rFonts w:asciiTheme="minorHAnsi" w:hAnsiTheme="minorHAnsi" w:cstheme="minorHAnsi"/>
                <w:sz w:val="20"/>
                <w:szCs w:val="20"/>
                <w:lang w:val="en-GB"/>
              </w:rPr>
              <w:t xml:space="preserve"> through </w:t>
            </w:r>
            <w:r>
              <w:rPr>
                <w:rFonts w:asciiTheme="minorHAnsi" w:hAnsiTheme="minorHAnsi" w:cstheme="minorHAnsi"/>
                <w:sz w:val="20"/>
                <w:szCs w:val="20"/>
                <w:lang w:val="en-GB"/>
              </w:rPr>
              <w:t xml:space="preserve">the </w:t>
            </w:r>
            <w:r w:rsidRPr="00436195">
              <w:rPr>
                <w:rFonts w:asciiTheme="minorHAnsi" w:hAnsiTheme="minorHAnsi" w:cstheme="minorHAnsi"/>
                <w:sz w:val="20"/>
                <w:szCs w:val="20"/>
                <w:lang w:val="en-GB"/>
              </w:rPr>
              <w:t>engagement of key population</w:t>
            </w:r>
            <w:r>
              <w:rPr>
                <w:rFonts w:asciiTheme="minorHAnsi" w:hAnsiTheme="minorHAnsi" w:cstheme="minorHAnsi"/>
                <w:sz w:val="20"/>
                <w:szCs w:val="20"/>
                <w:lang w:val="en-GB"/>
              </w:rPr>
              <w:t>s</w:t>
            </w:r>
            <w:r w:rsidRPr="00436195">
              <w:rPr>
                <w:rFonts w:asciiTheme="minorHAnsi" w:hAnsiTheme="minorHAnsi" w:cstheme="minorHAnsi"/>
                <w:sz w:val="20"/>
                <w:szCs w:val="20"/>
                <w:lang w:val="en-GB"/>
              </w:rPr>
              <w:t xml:space="preserve"> in the board of trustees, </w:t>
            </w:r>
            <w:r>
              <w:rPr>
                <w:rFonts w:asciiTheme="minorHAnsi" w:hAnsiTheme="minorHAnsi" w:cstheme="minorHAnsi"/>
                <w:sz w:val="20"/>
                <w:szCs w:val="20"/>
                <w:lang w:val="en-GB"/>
              </w:rPr>
              <w:t xml:space="preserve">the </w:t>
            </w:r>
            <w:r w:rsidRPr="00436195">
              <w:rPr>
                <w:rFonts w:asciiTheme="minorHAnsi" w:hAnsiTheme="minorHAnsi" w:cstheme="minorHAnsi"/>
                <w:sz w:val="20"/>
                <w:szCs w:val="20"/>
                <w:lang w:val="en-GB"/>
              </w:rPr>
              <w:t>public councils under Ministries involved in</w:t>
            </w:r>
            <w:r>
              <w:rPr>
                <w:rFonts w:asciiTheme="minorHAnsi" w:hAnsiTheme="minorHAnsi" w:cstheme="minorHAnsi"/>
                <w:sz w:val="20"/>
                <w:szCs w:val="20"/>
                <w:lang w:val="en-GB"/>
              </w:rPr>
              <w:t xml:space="preserve"> the</w:t>
            </w:r>
            <w:r w:rsidRPr="00436195">
              <w:rPr>
                <w:rFonts w:asciiTheme="minorHAnsi" w:hAnsiTheme="minorHAnsi" w:cstheme="minorHAnsi"/>
                <w:sz w:val="20"/>
                <w:szCs w:val="20"/>
                <w:lang w:val="en-GB"/>
              </w:rPr>
              <w:t xml:space="preserve"> implementation of the national HIV and TB program</w:t>
            </w:r>
            <w:r>
              <w:rPr>
                <w:rFonts w:asciiTheme="minorHAnsi" w:hAnsiTheme="minorHAnsi" w:cstheme="minorHAnsi"/>
                <w:sz w:val="20"/>
                <w:szCs w:val="20"/>
                <w:lang w:val="en-GB"/>
              </w:rPr>
              <w:t>me</w:t>
            </w:r>
            <w:r w:rsidRPr="00436195">
              <w:rPr>
                <w:rFonts w:asciiTheme="minorHAnsi" w:hAnsiTheme="minorHAnsi" w:cstheme="minorHAnsi"/>
                <w:sz w:val="20"/>
                <w:szCs w:val="20"/>
                <w:lang w:val="en-GB"/>
              </w:rPr>
              <w:t xml:space="preserve">s. The activities depend on community requests that </w:t>
            </w:r>
            <w:proofErr w:type="gramStart"/>
            <w:r w:rsidRPr="00436195">
              <w:rPr>
                <w:rFonts w:asciiTheme="minorHAnsi" w:hAnsiTheme="minorHAnsi" w:cstheme="minorHAnsi"/>
                <w:sz w:val="20"/>
                <w:szCs w:val="20"/>
                <w:lang w:val="en-GB"/>
              </w:rPr>
              <w:t>are submitted</w:t>
            </w:r>
            <w:proofErr w:type="gramEnd"/>
            <w:r w:rsidRPr="00436195">
              <w:rPr>
                <w:rFonts w:asciiTheme="minorHAnsi" w:hAnsiTheme="minorHAnsi" w:cstheme="minorHAnsi"/>
                <w:sz w:val="20"/>
                <w:szCs w:val="20"/>
                <w:lang w:val="en-GB"/>
              </w:rPr>
              <w:t xml:space="preserve"> through various avenues – PR/SR monitoring, national forum of communities, NGO forum, </w:t>
            </w:r>
            <w:r>
              <w:rPr>
                <w:rFonts w:asciiTheme="minorHAnsi" w:hAnsiTheme="minorHAnsi" w:cstheme="minorHAnsi"/>
                <w:sz w:val="20"/>
                <w:szCs w:val="20"/>
                <w:lang w:val="en-GB"/>
              </w:rPr>
              <w:t>HIV and TB stigma indic</w:t>
            </w:r>
            <w:r w:rsidRPr="00436195">
              <w:rPr>
                <w:rFonts w:asciiTheme="minorHAnsi" w:hAnsiTheme="minorHAnsi" w:cstheme="minorHAnsi"/>
                <w:sz w:val="20"/>
                <w:szCs w:val="20"/>
                <w:lang w:val="en-GB"/>
              </w:rPr>
              <w:t>es results, etc. The expansion of</w:t>
            </w:r>
            <w:r>
              <w:rPr>
                <w:rFonts w:asciiTheme="minorHAnsi" w:hAnsiTheme="minorHAnsi" w:cstheme="minorHAnsi"/>
                <w:sz w:val="20"/>
                <w:szCs w:val="20"/>
                <w:lang w:val="en-GB"/>
              </w:rPr>
              <w:t xml:space="preserve"> c</w:t>
            </w:r>
            <w:r w:rsidRPr="00436195">
              <w:rPr>
                <w:rFonts w:asciiTheme="minorHAnsi" w:hAnsiTheme="minorHAnsi" w:cstheme="minorHAnsi"/>
                <w:sz w:val="20"/>
                <w:szCs w:val="20"/>
                <w:lang w:val="en-GB"/>
              </w:rPr>
              <w:t>ommunity monitoring and training of community leaders and members on this approach will ensure</w:t>
            </w:r>
            <w:r>
              <w:rPr>
                <w:rFonts w:asciiTheme="minorHAnsi" w:hAnsiTheme="minorHAnsi" w:cstheme="minorHAnsi"/>
                <w:sz w:val="20"/>
                <w:szCs w:val="20"/>
                <w:lang w:val="en-GB"/>
              </w:rPr>
              <w:t xml:space="preserve"> a</w:t>
            </w:r>
            <w:r w:rsidRPr="00436195">
              <w:rPr>
                <w:rFonts w:asciiTheme="minorHAnsi" w:hAnsiTheme="minorHAnsi" w:cstheme="minorHAnsi"/>
                <w:sz w:val="20"/>
                <w:szCs w:val="20"/>
                <w:lang w:val="en-GB"/>
              </w:rPr>
              <w:t xml:space="preserve"> meaningful engagement in the evaluation of the quality, accessibility of services and </w:t>
            </w:r>
            <w:r>
              <w:rPr>
                <w:rFonts w:asciiTheme="minorHAnsi" w:hAnsiTheme="minorHAnsi" w:cstheme="minorHAnsi"/>
                <w:sz w:val="20"/>
                <w:szCs w:val="20"/>
                <w:lang w:val="en-GB"/>
              </w:rPr>
              <w:t>a rights-</w:t>
            </w:r>
            <w:r w:rsidRPr="00436195">
              <w:rPr>
                <w:rFonts w:asciiTheme="minorHAnsi" w:hAnsiTheme="minorHAnsi" w:cstheme="minorHAnsi"/>
                <w:sz w:val="20"/>
                <w:szCs w:val="20"/>
                <w:lang w:val="en-GB"/>
              </w:rPr>
              <w:t xml:space="preserve">based approach. </w:t>
            </w:r>
          </w:p>
          <w:p w14:paraId="42B410E9" w14:textId="77777777" w:rsidR="00F00FAC" w:rsidRPr="00436195" w:rsidRDefault="00F00FAC" w:rsidP="00214AFE">
            <w:pPr>
              <w:jc w:val="both"/>
              <w:rPr>
                <w:rFonts w:asciiTheme="minorHAnsi" w:hAnsiTheme="minorHAnsi" w:cstheme="minorHAnsi"/>
                <w:sz w:val="20"/>
                <w:szCs w:val="20"/>
                <w:lang w:val="en-GB"/>
              </w:rPr>
            </w:pPr>
            <w:r w:rsidRPr="00436195">
              <w:rPr>
                <w:rFonts w:asciiTheme="minorHAnsi" w:hAnsiTheme="minorHAnsi" w:cstheme="minorHAnsi"/>
                <w:sz w:val="20"/>
                <w:szCs w:val="20"/>
                <w:lang w:val="en-GB"/>
              </w:rPr>
              <w:t>Communities</w:t>
            </w:r>
            <w:r>
              <w:rPr>
                <w:rFonts w:asciiTheme="minorHAnsi" w:hAnsiTheme="minorHAnsi" w:cstheme="minorHAnsi"/>
                <w:sz w:val="20"/>
                <w:szCs w:val="20"/>
                <w:lang w:val="en-GB"/>
              </w:rPr>
              <w:t xml:space="preserve"> will be </w:t>
            </w:r>
            <w:r w:rsidRPr="00436195">
              <w:rPr>
                <w:rFonts w:asciiTheme="minorHAnsi" w:hAnsiTheme="minorHAnsi" w:cstheme="minorHAnsi"/>
                <w:sz w:val="20"/>
                <w:szCs w:val="20"/>
                <w:lang w:val="en-GB"/>
              </w:rPr>
              <w:t>engaged in the implementation of the prevention, treatment, care and support activities. The rapid HIV-testing among key populations and their sexual partners (index testing), the psychosocial counsel</w:t>
            </w:r>
            <w:r>
              <w:rPr>
                <w:rFonts w:asciiTheme="minorHAnsi" w:hAnsiTheme="minorHAnsi" w:cstheme="minorHAnsi"/>
                <w:sz w:val="20"/>
                <w:szCs w:val="20"/>
                <w:lang w:val="en-GB"/>
              </w:rPr>
              <w:t>l</w:t>
            </w:r>
            <w:r w:rsidRPr="00436195">
              <w:rPr>
                <w:rFonts w:asciiTheme="minorHAnsi" w:hAnsiTheme="minorHAnsi" w:cstheme="minorHAnsi"/>
                <w:sz w:val="20"/>
                <w:szCs w:val="20"/>
                <w:lang w:val="en-GB"/>
              </w:rPr>
              <w:t>ing and self-help groups to ensure adherence to treatment, support to the needle exchange program</w:t>
            </w:r>
            <w:r>
              <w:rPr>
                <w:rFonts w:asciiTheme="minorHAnsi" w:hAnsiTheme="minorHAnsi" w:cstheme="minorHAnsi"/>
                <w:sz w:val="20"/>
                <w:szCs w:val="20"/>
                <w:lang w:val="en-GB"/>
              </w:rPr>
              <w:t>me</w:t>
            </w:r>
            <w:r w:rsidRPr="00436195">
              <w:rPr>
                <w:rFonts w:asciiTheme="minorHAnsi" w:hAnsiTheme="minorHAnsi" w:cstheme="minorHAnsi"/>
                <w:sz w:val="20"/>
                <w:szCs w:val="20"/>
                <w:lang w:val="en-GB"/>
              </w:rPr>
              <w:t xml:space="preserve"> (NEPs), methadone treatment programs (MTP), PLHIV centr</w:t>
            </w:r>
            <w:r>
              <w:rPr>
                <w:rFonts w:asciiTheme="minorHAnsi" w:hAnsiTheme="minorHAnsi" w:cstheme="minorHAnsi"/>
                <w:sz w:val="20"/>
                <w:szCs w:val="20"/>
                <w:lang w:val="en-GB"/>
              </w:rPr>
              <w:t>e</w:t>
            </w:r>
            <w:r w:rsidRPr="00436195">
              <w:rPr>
                <w:rFonts w:asciiTheme="minorHAnsi" w:hAnsiTheme="minorHAnsi" w:cstheme="minorHAnsi"/>
                <w:sz w:val="20"/>
                <w:szCs w:val="20"/>
                <w:lang w:val="en-GB"/>
              </w:rPr>
              <w:t xml:space="preserve">s, are examples of this engagement.  </w:t>
            </w:r>
          </w:p>
          <w:p w14:paraId="372E4586" w14:textId="0A2D473F" w:rsidR="00E442A2" w:rsidRPr="001D57CE" w:rsidRDefault="00F00FAC" w:rsidP="00214AFE">
            <w:pPr>
              <w:jc w:val="both"/>
              <w:rPr>
                <w:rFonts w:cs="Arial"/>
              </w:rPr>
            </w:pPr>
            <w:r w:rsidRPr="00436195">
              <w:rPr>
                <w:rFonts w:asciiTheme="minorHAnsi" w:hAnsiTheme="minorHAnsi" w:cstheme="minorHAnsi"/>
                <w:sz w:val="20"/>
                <w:szCs w:val="20"/>
                <w:lang w:val="en-GB"/>
              </w:rPr>
              <w:t xml:space="preserve">The community engagement in overcoming legal barriers is of </w:t>
            </w:r>
            <w:proofErr w:type="gramStart"/>
            <w:r w:rsidRPr="00436195">
              <w:rPr>
                <w:rFonts w:asciiTheme="minorHAnsi" w:hAnsiTheme="minorHAnsi" w:cstheme="minorHAnsi"/>
                <w:sz w:val="20"/>
                <w:szCs w:val="20"/>
                <w:lang w:val="en-GB"/>
              </w:rPr>
              <w:t>particular importance</w:t>
            </w:r>
            <w:proofErr w:type="gramEnd"/>
            <w:r w:rsidRPr="00436195">
              <w:rPr>
                <w:rFonts w:asciiTheme="minorHAnsi" w:hAnsiTheme="minorHAnsi" w:cstheme="minorHAnsi"/>
                <w:sz w:val="20"/>
                <w:szCs w:val="20"/>
                <w:lang w:val="en-GB"/>
              </w:rPr>
              <w:t>, namely, activities to document cases of human rights violations using the “street lawyers” mechanism, training of NGOs and key community groups on human</w:t>
            </w:r>
            <w:r>
              <w:rPr>
                <w:rFonts w:asciiTheme="minorHAnsi" w:hAnsiTheme="minorHAnsi" w:cstheme="minorHAnsi"/>
                <w:sz w:val="20"/>
                <w:szCs w:val="20"/>
                <w:lang w:val="en-GB"/>
              </w:rPr>
              <w:t>-</w:t>
            </w:r>
            <w:r w:rsidRPr="00436195">
              <w:rPr>
                <w:rFonts w:asciiTheme="minorHAnsi" w:hAnsiTheme="minorHAnsi" w:cstheme="minorHAnsi"/>
                <w:sz w:val="20"/>
                <w:szCs w:val="20"/>
                <w:lang w:val="en-GB"/>
              </w:rPr>
              <w:t xml:space="preserve">rights related </w:t>
            </w:r>
            <w:r>
              <w:rPr>
                <w:rFonts w:asciiTheme="minorHAnsi" w:hAnsiTheme="minorHAnsi" w:cstheme="minorHAnsi"/>
                <w:sz w:val="20"/>
                <w:szCs w:val="20"/>
                <w:lang w:val="en-GB"/>
              </w:rPr>
              <w:t>issues</w:t>
            </w:r>
            <w:r w:rsidRPr="00436195">
              <w:rPr>
                <w:rFonts w:asciiTheme="minorHAnsi" w:hAnsiTheme="minorHAnsi" w:cstheme="minorHAnsi"/>
                <w:sz w:val="20"/>
                <w:szCs w:val="20"/>
                <w:lang w:val="en-GB"/>
              </w:rPr>
              <w:t>, involving communities in evaluating the performance of law enforcement officers and health</w:t>
            </w:r>
            <w:r>
              <w:rPr>
                <w:rFonts w:asciiTheme="minorHAnsi" w:hAnsiTheme="minorHAnsi" w:cstheme="minorHAnsi"/>
                <w:sz w:val="20"/>
                <w:szCs w:val="20"/>
                <w:lang w:val="en-GB"/>
              </w:rPr>
              <w:t xml:space="preserve"> organis</w:t>
            </w:r>
            <w:r w:rsidRPr="00436195">
              <w:rPr>
                <w:rFonts w:asciiTheme="minorHAnsi" w:hAnsiTheme="minorHAnsi" w:cstheme="minorHAnsi"/>
                <w:sz w:val="20"/>
                <w:szCs w:val="20"/>
                <w:lang w:val="en-GB"/>
              </w:rPr>
              <w:t xml:space="preserve">ations, drafting alternative reports and participation in </w:t>
            </w:r>
            <w:r>
              <w:rPr>
                <w:rFonts w:asciiTheme="minorHAnsi" w:hAnsiTheme="minorHAnsi" w:cstheme="minorHAnsi"/>
                <w:sz w:val="20"/>
                <w:szCs w:val="20"/>
                <w:lang w:val="en-GB"/>
              </w:rPr>
              <w:t>p</w:t>
            </w:r>
            <w:r w:rsidRPr="00436195">
              <w:rPr>
                <w:rFonts w:asciiTheme="minorHAnsi" w:hAnsiTheme="minorHAnsi" w:cstheme="minorHAnsi"/>
                <w:sz w:val="20"/>
                <w:szCs w:val="20"/>
                <w:lang w:val="en-GB"/>
              </w:rPr>
              <w:t>arliament sessions.</w:t>
            </w:r>
          </w:p>
        </w:tc>
      </w:tr>
    </w:tbl>
    <w:p w14:paraId="325816A0" w14:textId="4241C3CF" w:rsidR="00E442A2" w:rsidRDefault="00E442A2" w:rsidP="00485066">
      <w:pPr>
        <w:spacing w:after="0"/>
        <w:contextualSpacing/>
        <w:rPr>
          <w:rFonts w:cs="Arial"/>
          <w:bCs/>
          <w:iCs/>
        </w:rPr>
      </w:pPr>
    </w:p>
    <w:p w14:paraId="7913DB28" w14:textId="7B4A8BA8" w:rsidR="00906417" w:rsidRPr="008C21CF" w:rsidRDefault="00906417" w:rsidP="008B5FE3">
      <w:pPr>
        <w:pStyle w:val="affff3"/>
        <w:numPr>
          <w:ilvl w:val="0"/>
          <w:numId w:val="21"/>
        </w:numPr>
        <w:spacing w:before="120" w:after="0" w:line="240" w:lineRule="auto"/>
        <w:jc w:val="both"/>
        <w:rPr>
          <w:rFonts w:asciiTheme="majorHAnsi" w:hAnsiTheme="majorHAnsi" w:cstheme="majorHAnsi"/>
        </w:rPr>
      </w:pPr>
      <w:r w:rsidRPr="008C21CF">
        <w:rPr>
          <w:rFonts w:asciiTheme="majorHAnsi" w:hAnsiTheme="majorHAnsi" w:cstheme="majorHAnsi"/>
        </w:rPr>
        <w:t xml:space="preserve">Is the Principal Recipient an </w:t>
      </w:r>
      <w:r w:rsidRPr="0096146C">
        <w:rPr>
          <w:rFonts w:asciiTheme="majorHAnsi" w:hAnsiTheme="majorHAnsi" w:cstheme="majorHAnsi"/>
          <w:b/>
        </w:rPr>
        <w:t>international institution</w:t>
      </w:r>
      <w:r w:rsidRPr="008C21CF">
        <w:rPr>
          <w:rFonts w:asciiTheme="majorHAnsi" w:hAnsiTheme="majorHAnsi" w:cstheme="majorHAnsi"/>
        </w:rPr>
        <w:t xml:space="preserve"> (</w:t>
      </w:r>
      <w:r w:rsidR="00F112AD">
        <w:rPr>
          <w:rFonts w:asciiTheme="majorHAnsi" w:hAnsiTheme="majorHAnsi" w:cstheme="majorHAnsi"/>
        </w:rPr>
        <w:t>for example</w:t>
      </w:r>
      <w:r w:rsidR="002B6A8E">
        <w:rPr>
          <w:rFonts w:asciiTheme="majorHAnsi" w:hAnsiTheme="majorHAnsi" w:cstheme="majorHAnsi"/>
        </w:rPr>
        <w:t>, international NGO</w:t>
      </w:r>
      <w:r w:rsidR="00EC2673">
        <w:rPr>
          <w:rFonts w:asciiTheme="majorHAnsi" w:hAnsiTheme="majorHAnsi" w:cstheme="majorHAnsi"/>
        </w:rPr>
        <w:t xml:space="preserve"> or</w:t>
      </w:r>
      <w:r w:rsidR="001F7F10">
        <w:rPr>
          <w:rFonts w:asciiTheme="majorHAnsi" w:hAnsiTheme="majorHAnsi" w:cstheme="majorHAnsi"/>
        </w:rPr>
        <w:t xml:space="preserve"> </w:t>
      </w:r>
      <w:r w:rsidR="002B6A8E">
        <w:rPr>
          <w:rFonts w:asciiTheme="majorHAnsi" w:hAnsiTheme="majorHAnsi" w:cstheme="majorHAnsi"/>
        </w:rPr>
        <w:t>UN agency</w:t>
      </w:r>
      <w:r w:rsidRPr="008C21CF">
        <w:rPr>
          <w:rFonts w:asciiTheme="majorHAnsi" w:hAnsiTheme="majorHAnsi" w:cstheme="majorHAnsi"/>
        </w:rPr>
        <w:t>)</w:t>
      </w:r>
      <w:r w:rsidR="002B6A8E">
        <w:rPr>
          <w:rFonts w:asciiTheme="majorHAnsi" w:hAnsiTheme="majorHAnsi" w:cstheme="majorHAnsi"/>
        </w:rPr>
        <w:t>?</w:t>
      </w:r>
      <w:r w:rsidRPr="008C21CF">
        <w:rPr>
          <w:rFonts w:asciiTheme="majorHAnsi" w:hAnsiTheme="majorHAnsi" w:cstheme="majorHAnsi"/>
        </w:rPr>
        <w:t xml:space="preserve"> </w:t>
      </w:r>
    </w:p>
    <w:p w14:paraId="09CB819A" w14:textId="77777777" w:rsidR="00906417" w:rsidRPr="008C21CF" w:rsidRDefault="00906417" w:rsidP="00906417">
      <w:pPr>
        <w:pStyle w:val="affff3"/>
        <w:spacing w:before="120" w:after="0" w:line="240" w:lineRule="auto"/>
        <w:ind w:left="360"/>
        <w:jc w:val="both"/>
        <w:rPr>
          <w:rFonts w:asciiTheme="majorHAnsi" w:hAnsiTheme="majorHAnsi" w:cstheme="majorHAnsi"/>
        </w:rPr>
      </w:pPr>
    </w:p>
    <w:p w14:paraId="5F379A61" w14:textId="39915599" w:rsidR="00906417" w:rsidRPr="008C21CF" w:rsidRDefault="007161FD" w:rsidP="00663D90">
      <w:pPr>
        <w:pStyle w:val="affff3"/>
        <w:spacing w:before="120" w:after="0" w:line="240" w:lineRule="auto"/>
        <w:jc w:val="both"/>
        <w:rPr>
          <w:rFonts w:asciiTheme="majorHAnsi" w:hAnsiTheme="majorHAnsi" w:cstheme="majorHAnsi"/>
          <w:bCs/>
          <w:iCs/>
        </w:rPr>
      </w:pPr>
      <w:sdt>
        <w:sdtPr>
          <w:rPr>
            <w:rFonts w:asciiTheme="majorHAnsi" w:eastAsia="MS Gothic" w:hAnsiTheme="majorHAnsi" w:cstheme="majorHAnsi"/>
            <w:bCs/>
            <w:iCs/>
          </w:rPr>
          <w:id w:val="-869147715"/>
          <w14:checkbox>
            <w14:checked w14:val="1"/>
            <w14:checkedState w14:val="2612" w14:font="MS Gothic"/>
            <w14:uncheckedState w14:val="2610" w14:font="MS Gothic"/>
          </w14:checkbox>
        </w:sdtPr>
        <w:sdtEndPr/>
        <w:sdtContent>
          <w:r w:rsidR="00F00FAC">
            <w:rPr>
              <w:rFonts w:ascii="MS Gothic" w:eastAsia="MS Gothic" w:hAnsi="MS Gothic" w:cstheme="majorHAnsi" w:hint="eastAsia"/>
              <w:bCs/>
              <w:iCs/>
            </w:rPr>
            <w:t>☒</w:t>
          </w:r>
        </w:sdtContent>
      </w:sdt>
      <w:r w:rsidR="00906417" w:rsidRPr="008C21CF">
        <w:rPr>
          <w:rFonts w:asciiTheme="majorHAnsi" w:hAnsiTheme="majorHAnsi" w:cstheme="majorHAnsi"/>
          <w:bCs/>
          <w:iCs/>
        </w:rPr>
        <w:t xml:space="preserve"> Yes         </w:t>
      </w:r>
      <w:sdt>
        <w:sdtPr>
          <w:rPr>
            <w:rFonts w:asciiTheme="majorHAnsi" w:hAnsiTheme="majorHAnsi" w:cstheme="majorHAnsi"/>
            <w:bCs/>
            <w:iCs/>
          </w:rPr>
          <w:id w:val="996544432"/>
          <w14:checkbox>
            <w14:checked w14:val="0"/>
            <w14:checkedState w14:val="2612" w14:font="MS Gothic"/>
            <w14:uncheckedState w14:val="2610" w14:font="MS Gothic"/>
          </w14:checkbox>
        </w:sdtPr>
        <w:sdtEndPr/>
        <w:sdtContent>
          <w:r w:rsidR="00906417" w:rsidRPr="001D57CE">
            <w:rPr>
              <w:rFonts w:ascii="Segoe UI Symbol" w:hAnsi="Segoe UI Symbol" w:cs="Segoe UI Symbol"/>
              <w:bCs/>
              <w:iCs/>
            </w:rPr>
            <w:t>☐</w:t>
          </w:r>
        </w:sdtContent>
      </w:sdt>
      <w:r w:rsidR="00906417" w:rsidRPr="008C21CF">
        <w:rPr>
          <w:rFonts w:asciiTheme="majorHAnsi" w:hAnsiTheme="majorHAnsi" w:cstheme="majorHAnsi"/>
          <w:bCs/>
          <w:iCs/>
        </w:rPr>
        <w:t xml:space="preserve"> No</w:t>
      </w:r>
    </w:p>
    <w:p w14:paraId="732A663C" w14:textId="77777777" w:rsidR="00906417" w:rsidRPr="008C21CF" w:rsidRDefault="00906417" w:rsidP="00906417">
      <w:pPr>
        <w:pStyle w:val="affff3"/>
        <w:spacing w:before="120" w:after="0" w:line="240" w:lineRule="auto"/>
        <w:ind w:left="0"/>
        <w:jc w:val="both"/>
        <w:rPr>
          <w:rFonts w:asciiTheme="majorHAnsi" w:hAnsiTheme="majorHAnsi" w:cstheme="majorHAnsi"/>
        </w:rPr>
      </w:pPr>
    </w:p>
    <w:p w14:paraId="3CA0F453" w14:textId="5D040990" w:rsidR="00906417" w:rsidRPr="008C21CF" w:rsidRDefault="00906417" w:rsidP="005B21F7">
      <w:pPr>
        <w:pStyle w:val="affff3"/>
        <w:spacing w:before="120" w:after="0" w:line="240" w:lineRule="auto"/>
        <w:ind w:left="360"/>
        <w:jc w:val="both"/>
        <w:rPr>
          <w:rFonts w:asciiTheme="majorHAnsi" w:hAnsiTheme="majorHAnsi" w:cstheme="majorHAnsi"/>
        </w:rPr>
      </w:pPr>
      <w:r w:rsidRPr="00B2724B">
        <w:rPr>
          <w:rFonts w:asciiTheme="majorHAnsi" w:hAnsiTheme="majorHAnsi" w:cstheme="majorHAnsi"/>
        </w:rPr>
        <w:t>If</w:t>
      </w:r>
      <w:r w:rsidRPr="008C21CF">
        <w:rPr>
          <w:rFonts w:asciiTheme="majorHAnsi" w:hAnsiTheme="majorHAnsi" w:cstheme="majorHAnsi"/>
          <w:b/>
        </w:rPr>
        <w:t xml:space="preserve"> yes</w:t>
      </w:r>
      <w:r w:rsidRPr="008C21CF">
        <w:rPr>
          <w:rFonts w:asciiTheme="majorHAnsi" w:hAnsiTheme="majorHAnsi" w:cstheme="majorHAnsi"/>
        </w:rPr>
        <w:t xml:space="preserve">, describe how the Principal Recipient’s responsibilities pertaining to the national disease response will eventually be </w:t>
      </w:r>
      <w:r w:rsidRPr="0096146C">
        <w:rPr>
          <w:rFonts w:asciiTheme="majorHAnsi" w:hAnsiTheme="majorHAnsi" w:cstheme="majorHAnsi"/>
          <w:b/>
        </w:rPr>
        <w:t xml:space="preserve">transferred to national </w:t>
      </w:r>
      <w:r w:rsidR="003844E1">
        <w:rPr>
          <w:rFonts w:asciiTheme="majorHAnsi" w:hAnsiTheme="majorHAnsi" w:cstheme="majorHAnsi"/>
          <w:b/>
        </w:rPr>
        <w:t>entities</w:t>
      </w:r>
      <w:r w:rsidRPr="008C21CF">
        <w:rPr>
          <w:rFonts w:asciiTheme="majorHAnsi" w:hAnsiTheme="majorHAnsi" w:cstheme="majorHAnsi"/>
        </w:rPr>
        <w:t xml:space="preserve">. </w:t>
      </w:r>
      <w:r w:rsidR="008140B4">
        <w:rPr>
          <w:rFonts w:asciiTheme="majorHAnsi" w:hAnsiTheme="majorHAnsi" w:cstheme="majorHAnsi"/>
        </w:rPr>
        <w:t>Also</w:t>
      </w:r>
      <w:r w:rsidR="00F112AD">
        <w:rPr>
          <w:rFonts w:asciiTheme="majorHAnsi" w:hAnsiTheme="majorHAnsi" w:cstheme="majorHAnsi"/>
        </w:rPr>
        <w:t>,</w:t>
      </w:r>
      <w:r w:rsidR="00B2724B">
        <w:rPr>
          <w:rFonts w:asciiTheme="majorHAnsi" w:hAnsiTheme="majorHAnsi" w:cstheme="majorHAnsi"/>
        </w:rPr>
        <w:t xml:space="preserve"> </w:t>
      </w:r>
      <w:r w:rsidR="00663D90">
        <w:rPr>
          <w:rFonts w:asciiTheme="majorHAnsi" w:hAnsiTheme="majorHAnsi" w:cstheme="majorHAnsi"/>
        </w:rPr>
        <w:t>(</w:t>
      </w:r>
      <w:proofErr w:type="spellStart"/>
      <w:r w:rsidR="00B2724B">
        <w:rPr>
          <w:rFonts w:asciiTheme="majorHAnsi" w:hAnsiTheme="majorHAnsi" w:cstheme="majorHAnsi"/>
        </w:rPr>
        <w:t>i</w:t>
      </w:r>
      <w:proofErr w:type="spellEnd"/>
      <w:r w:rsidR="00B2724B">
        <w:rPr>
          <w:rFonts w:asciiTheme="majorHAnsi" w:hAnsiTheme="majorHAnsi" w:cstheme="majorHAnsi"/>
        </w:rPr>
        <w:t>)</w:t>
      </w:r>
      <w:r w:rsidR="008140B4" w:rsidRPr="008C21CF">
        <w:rPr>
          <w:rFonts w:asciiTheme="majorHAnsi" w:hAnsiTheme="majorHAnsi" w:cstheme="majorHAnsi"/>
        </w:rPr>
        <w:t xml:space="preserve"> </w:t>
      </w:r>
      <w:r w:rsidRPr="008C21CF">
        <w:rPr>
          <w:rFonts w:asciiTheme="majorHAnsi" w:hAnsiTheme="majorHAnsi" w:cstheme="majorHAnsi"/>
        </w:rPr>
        <w:t>outline the timeframe for transitioning these responsibilities</w:t>
      </w:r>
      <w:r w:rsidR="00B2724B">
        <w:rPr>
          <w:rFonts w:asciiTheme="majorHAnsi" w:hAnsiTheme="majorHAnsi" w:cstheme="majorHAnsi"/>
        </w:rPr>
        <w:t>,</w:t>
      </w:r>
      <w:r w:rsidRPr="008C21CF">
        <w:rPr>
          <w:rFonts w:asciiTheme="majorHAnsi" w:hAnsiTheme="majorHAnsi" w:cstheme="majorHAnsi"/>
        </w:rPr>
        <w:t xml:space="preserve"> and </w:t>
      </w:r>
      <w:r w:rsidR="00663D90">
        <w:rPr>
          <w:rFonts w:asciiTheme="majorHAnsi" w:hAnsiTheme="majorHAnsi" w:cstheme="majorHAnsi"/>
        </w:rPr>
        <w:t>(</w:t>
      </w:r>
      <w:r w:rsidR="00B2724B">
        <w:rPr>
          <w:rFonts w:asciiTheme="majorHAnsi" w:hAnsiTheme="majorHAnsi" w:cstheme="majorHAnsi"/>
        </w:rPr>
        <w:t xml:space="preserve">ii) </w:t>
      </w:r>
      <w:r w:rsidRPr="008C21CF">
        <w:rPr>
          <w:rFonts w:asciiTheme="majorHAnsi" w:hAnsiTheme="majorHAnsi" w:cstheme="majorHAnsi"/>
        </w:rPr>
        <w:t>explain how national capacities will be strengthened to lead the national disease response.</w:t>
      </w:r>
    </w:p>
    <w:p w14:paraId="05C9D69E" w14:textId="77777777" w:rsidR="00906417" w:rsidRPr="008C21CF" w:rsidRDefault="00906417" w:rsidP="00906417">
      <w:pPr>
        <w:spacing w:after="0"/>
        <w:contextualSpacing/>
        <w:rPr>
          <w:rFonts w:asciiTheme="majorHAnsi" w:hAnsiTheme="majorHAnsi" w:cstheme="majorHAnsi"/>
        </w:rPr>
      </w:pPr>
    </w:p>
    <w:tbl>
      <w:tblPr>
        <w:tblStyle w:val="aa"/>
        <w:tblW w:w="0" w:type="auto"/>
        <w:tblLook w:val="04A0" w:firstRow="1" w:lastRow="0" w:firstColumn="1" w:lastColumn="0" w:noHBand="0" w:noVBand="1"/>
      </w:tblPr>
      <w:tblGrid>
        <w:gridCol w:w="10456"/>
      </w:tblGrid>
      <w:tr w:rsidR="00906417" w:rsidRPr="001D57CE" w14:paraId="4065924C" w14:textId="77777777" w:rsidTr="009B1BDA">
        <w:tc>
          <w:tcPr>
            <w:tcW w:w="10790" w:type="dxa"/>
          </w:tcPr>
          <w:p w14:paraId="79661BE6" w14:textId="77777777" w:rsidR="00F00FAC" w:rsidRPr="00436195" w:rsidRDefault="00F00FAC" w:rsidP="00214AFE">
            <w:pPr>
              <w:jc w:val="both"/>
              <w:rPr>
                <w:rFonts w:asciiTheme="minorHAnsi" w:hAnsiTheme="minorHAnsi"/>
                <w:sz w:val="20"/>
                <w:lang w:val="en-GB"/>
              </w:rPr>
            </w:pPr>
            <w:r w:rsidRPr="00436195">
              <w:rPr>
                <w:rFonts w:asciiTheme="minorHAnsi" w:hAnsiTheme="minorHAnsi"/>
                <w:sz w:val="20"/>
                <w:lang w:val="en-GB"/>
              </w:rPr>
              <w:t xml:space="preserve">As </w:t>
            </w:r>
            <w:r>
              <w:rPr>
                <w:rFonts w:asciiTheme="minorHAnsi" w:hAnsiTheme="minorHAnsi"/>
                <w:sz w:val="20"/>
                <w:lang w:val="en-GB"/>
              </w:rPr>
              <w:t>PR</w:t>
            </w:r>
            <w:r w:rsidRPr="00436195">
              <w:rPr>
                <w:rFonts w:asciiTheme="minorHAnsi" w:hAnsiTheme="minorHAnsi"/>
                <w:sz w:val="20"/>
                <w:lang w:val="en-GB"/>
              </w:rPr>
              <w:t xml:space="preserve">, UNDP will be responsible for all practical issues pertaining to project implementation including </w:t>
            </w:r>
            <w:r w:rsidRPr="007415C8">
              <w:rPr>
                <w:rFonts w:asciiTheme="minorHAnsi" w:hAnsiTheme="minorHAnsi"/>
                <w:sz w:val="20"/>
                <w:lang w:val="en-GB"/>
              </w:rPr>
              <w:t>the supervision</w:t>
            </w:r>
            <w:r w:rsidRPr="00436195">
              <w:rPr>
                <w:rFonts w:asciiTheme="minorHAnsi" w:hAnsiTheme="minorHAnsi"/>
                <w:sz w:val="20"/>
                <w:lang w:val="en-GB"/>
              </w:rPr>
              <w:t xml:space="preserve"> of Sub-Recipients (SRs). </w:t>
            </w:r>
            <w:r>
              <w:rPr>
                <w:rFonts w:asciiTheme="minorHAnsi" w:hAnsiTheme="minorHAnsi"/>
                <w:sz w:val="20"/>
                <w:lang w:val="en-GB"/>
              </w:rPr>
              <w:t xml:space="preserve">The </w:t>
            </w:r>
            <w:r w:rsidRPr="00436195">
              <w:rPr>
                <w:rFonts w:asciiTheme="minorHAnsi" w:hAnsiTheme="minorHAnsi"/>
                <w:sz w:val="20"/>
                <w:lang w:val="en-GB"/>
              </w:rPr>
              <w:t xml:space="preserve">PR will also </w:t>
            </w:r>
            <w:r>
              <w:rPr>
                <w:rFonts w:asciiTheme="minorHAnsi" w:hAnsiTheme="minorHAnsi"/>
                <w:sz w:val="20"/>
                <w:lang w:val="en-GB"/>
              </w:rPr>
              <w:t>fulfi</w:t>
            </w:r>
            <w:r w:rsidRPr="00436195">
              <w:rPr>
                <w:rFonts w:asciiTheme="minorHAnsi" w:hAnsiTheme="minorHAnsi"/>
                <w:sz w:val="20"/>
                <w:lang w:val="en-GB"/>
              </w:rPr>
              <w:t xml:space="preserve">l the functions of procurement (health and non-health products, equipment and services), project related financial management, monitoring and evaluation as well as reporting to the GF. The PR will continue supporting further activities to </w:t>
            </w:r>
            <w:r>
              <w:rPr>
                <w:rFonts w:asciiTheme="minorHAnsi" w:hAnsiTheme="minorHAnsi"/>
                <w:sz w:val="20"/>
                <w:lang w:val="en-GB"/>
              </w:rPr>
              <w:t>develop</w:t>
            </w:r>
            <w:r w:rsidRPr="00436195">
              <w:rPr>
                <w:rFonts w:asciiTheme="minorHAnsi" w:hAnsiTheme="minorHAnsi"/>
                <w:sz w:val="20"/>
                <w:lang w:val="en-GB"/>
              </w:rPr>
              <w:t xml:space="preserve"> the capacity of all national partners in managing the </w:t>
            </w:r>
            <w:r>
              <w:rPr>
                <w:rFonts w:asciiTheme="minorHAnsi" w:hAnsiTheme="minorHAnsi"/>
                <w:sz w:val="20"/>
                <w:lang w:val="en-GB"/>
              </w:rPr>
              <w:t>GF</w:t>
            </w:r>
            <w:r w:rsidRPr="00436195">
              <w:rPr>
                <w:rFonts w:asciiTheme="minorHAnsi" w:hAnsiTheme="minorHAnsi"/>
                <w:sz w:val="20"/>
                <w:lang w:val="en-GB"/>
              </w:rPr>
              <w:t xml:space="preserve"> grants. Support will </w:t>
            </w:r>
            <w:proofErr w:type="gramStart"/>
            <w:r w:rsidRPr="00436195">
              <w:rPr>
                <w:rFonts w:asciiTheme="minorHAnsi" w:hAnsiTheme="minorHAnsi"/>
                <w:sz w:val="20"/>
                <w:lang w:val="en-GB"/>
              </w:rPr>
              <w:t>be provided</w:t>
            </w:r>
            <w:proofErr w:type="gramEnd"/>
            <w:r w:rsidRPr="00436195">
              <w:rPr>
                <w:rFonts w:asciiTheme="minorHAnsi" w:hAnsiTheme="minorHAnsi"/>
                <w:sz w:val="20"/>
                <w:lang w:val="en-GB"/>
              </w:rPr>
              <w:t xml:space="preserve"> to the </w:t>
            </w:r>
            <w:proofErr w:type="spellStart"/>
            <w:r>
              <w:rPr>
                <w:rFonts w:asciiTheme="minorHAnsi" w:hAnsiTheme="minorHAnsi"/>
                <w:sz w:val="20"/>
                <w:lang w:val="en-GB"/>
              </w:rPr>
              <w:t>MoH</w:t>
            </w:r>
            <w:proofErr w:type="spellEnd"/>
            <w:r w:rsidRPr="00436195">
              <w:rPr>
                <w:rFonts w:asciiTheme="minorHAnsi" w:hAnsiTheme="minorHAnsi"/>
                <w:sz w:val="20"/>
                <w:lang w:val="en-GB"/>
              </w:rPr>
              <w:t xml:space="preserve"> to ensure compliance with new treatment protocols and </w:t>
            </w:r>
            <w:r>
              <w:rPr>
                <w:rFonts w:asciiTheme="minorHAnsi" w:hAnsiTheme="minorHAnsi"/>
                <w:sz w:val="20"/>
                <w:lang w:val="en-GB"/>
              </w:rPr>
              <w:t>further develop</w:t>
            </w:r>
            <w:r w:rsidRPr="00436195">
              <w:rPr>
                <w:rFonts w:asciiTheme="minorHAnsi" w:hAnsiTheme="minorHAnsi"/>
                <w:sz w:val="20"/>
                <w:lang w:val="en-GB"/>
              </w:rPr>
              <w:t xml:space="preserve"> </w:t>
            </w:r>
            <w:r>
              <w:rPr>
                <w:rFonts w:asciiTheme="minorHAnsi" w:hAnsiTheme="minorHAnsi"/>
                <w:sz w:val="20"/>
                <w:lang w:val="en-GB"/>
              </w:rPr>
              <w:t>its</w:t>
            </w:r>
            <w:r w:rsidRPr="00436195">
              <w:rPr>
                <w:rFonts w:asciiTheme="minorHAnsi" w:hAnsiTheme="minorHAnsi"/>
                <w:sz w:val="20"/>
                <w:lang w:val="en-GB"/>
              </w:rPr>
              <w:t xml:space="preserve"> national capacities for forecasting, procurement and supply chain management.</w:t>
            </w:r>
          </w:p>
          <w:p w14:paraId="5D4939A5" w14:textId="77777777" w:rsidR="00F00FAC" w:rsidRPr="00436195" w:rsidRDefault="00F00FAC" w:rsidP="00214AFE">
            <w:pPr>
              <w:jc w:val="both"/>
              <w:rPr>
                <w:rFonts w:asciiTheme="minorHAnsi" w:hAnsiTheme="minorHAnsi"/>
                <w:sz w:val="20"/>
                <w:lang w:val="en-GB"/>
              </w:rPr>
            </w:pPr>
            <w:r w:rsidRPr="00436195">
              <w:rPr>
                <w:rFonts w:asciiTheme="minorHAnsi" w:hAnsiTheme="minorHAnsi"/>
                <w:sz w:val="20"/>
                <w:lang w:val="en-GB"/>
              </w:rPr>
              <w:t xml:space="preserve">The phased transition to national PR </w:t>
            </w:r>
            <w:proofErr w:type="gramStart"/>
            <w:r w:rsidRPr="00436195">
              <w:rPr>
                <w:rFonts w:asciiTheme="minorHAnsi" w:hAnsiTheme="minorHAnsi"/>
                <w:sz w:val="20"/>
                <w:lang w:val="en-GB"/>
              </w:rPr>
              <w:t>is envisaged</w:t>
            </w:r>
            <w:proofErr w:type="gramEnd"/>
            <w:r w:rsidRPr="00436195">
              <w:rPr>
                <w:rFonts w:asciiTheme="minorHAnsi" w:hAnsiTheme="minorHAnsi"/>
                <w:sz w:val="20"/>
                <w:lang w:val="en-GB"/>
              </w:rPr>
              <w:t>. As principal implementing sub-recipient, HD&amp;MTC will manage public health</w:t>
            </w:r>
            <w:r>
              <w:rPr>
                <w:rFonts w:asciiTheme="minorHAnsi" w:hAnsiTheme="minorHAnsi"/>
                <w:sz w:val="20"/>
                <w:lang w:val="en-GB"/>
              </w:rPr>
              <w:t xml:space="preserve"> organis</w:t>
            </w:r>
            <w:r w:rsidRPr="00436195">
              <w:rPr>
                <w:rFonts w:asciiTheme="minorHAnsi" w:hAnsiTheme="minorHAnsi"/>
                <w:sz w:val="20"/>
                <w:lang w:val="en-GB"/>
              </w:rPr>
              <w:t xml:space="preserve">ations throughout the grant implementation period. At the same time, </w:t>
            </w:r>
            <w:proofErr w:type="gramStart"/>
            <w:r w:rsidRPr="00436195">
              <w:rPr>
                <w:rFonts w:asciiTheme="minorHAnsi" w:hAnsiTheme="minorHAnsi"/>
                <w:sz w:val="20"/>
                <w:lang w:val="en-GB"/>
              </w:rPr>
              <w:t>taking into account</w:t>
            </w:r>
            <w:proofErr w:type="gramEnd"/>
            <w:r w:rsidRPr="00436195">
              <w:rPr>
                <w:rFonts w:asciiTheme="minorHAnsi" w:hAnsiTheme="minorHAnsi"/>
                <w:sz w:val="20"/>
                <w:lang w:val="en-GB"/>
              </w:rPr>
              <w:t xml:space="preserve"> the findings of</w:t>
            </w:r>
            <w:r>
              <w:rPr>
                <w:rFonts w:asciiTheme="minorHAnsi" w:hAnsiTheme="minorHAnsi"/>
                <w:sz w:val="20"/>
                <w:lang w:val="en-GB"/>
              </w:rPr>
              <w:t xml:space="preserve"> the</w:t>
            </w:r>
            <w:r w:rsidRPr="00436195">
              <w:rPr>
                <w:rFonts w:asciiTheme="minorHAnsi" w:hAnsiTheme="minorHAnsi"/>
                <w:sz w:val="20"/>
                <w:lang w:val="en-GB"/>
              </w:rPr>
              <w:t xml:space="preserve"> preliminary capacity assessment of </w:t>
            </w:r>
            <w:proofErr w:type="spellStart"/>
            <w:r w:rsidRPr="00436195">
              <w:rPr>
                <w:rFonts w:asciiTheme="minorHAnsi" w:hAnsiTheme="minorHAnsi"/>
                <w:sz w:val="20"/>
                <w:lang w:val="en-GB"/>
              </w:rPr>
              <w:t>MoH</w:t>
            </w:r>
            <w:proofErr w:type="spellEnd"/>
            <w:r w:rsidRPr="00436195">
              <w:rPr>
                <w:rFonts w:asciiTheme="minorHAnsi" w:hAnsiTheme="minorHAnsi"/>
                <w:sz w:val="20"/>
                <w:lang w:val="en-GB"/>
              </w:rPr>
              <w:t xml:space="preserve"> as </w:t>
            </w:r>
            <w:r>
              <w:rPr>
                <w:rFonts w:asciiTheme="minorHAnsi" w:hAnsiTheme="minorHAnsi"/>
                <w:sz w:val="20"/>
                <w:lang w:val="en-GB"/>
              </w:rPr>
              <w:t>PR</w:t>
            </w:r>
            <w:r w:rsidRPr="00436195">
              <w:rPr>
                <w:rFonts w:asciiTheme="minorHAnsi" w:hAnsiTheme="minorHAnsi"/>
                <w:sz w:val="20"/>
                <w:lang w:val="en-GB"/>
              </w:rPr>
              <w:t xml:space="preserve"> of GF grants conducted in February 2020 and the capacity assessment of </w:t>
            </w:r>
            <w:proofErr w:type="spellStart"/>
            <w:r w:rsidRPr="00436195">
              <w:rPr>
                <w:rFonts w:asciiTheme="minorHAnsi" w:hAnsiTheme="minorHAnsi"/>
                <w:sz w:val="20"/>
                <w:lang w:val="en-GB"/>
              </w:rPr>
              <w:t>MoH</w:t>
            </w:r>
            <w:proofErr w:type="spellEnd"/>
            <w:r w:rsidRPr="00436195">
              <w:rPr>
                <w:rFonts w:asciiTheme="minorHAnsi" w:hAnsiTheme="minorHAnsi"/>
                <w:sz w:val="20"/>
                <w:lang w:val="en-GB"/>
              </w:rPr>
              <w:t xml:space="preserve">/ HD&amp;MTC during the first year of implementation (2021), the </w:t>
            </w:r>
            <w:proofErr w:type="spellStart"/>
            <w:r w:rsidRPr="00436195">
              <w:rPr>
                <w:rFonts w:asciiTheme="minorHAnsi" w:hAnsiTheme="minorHAnsi"/>
                <w:sz w:val="20"/>
                <w:lang w:val="en-GB"/>
              </w:rPr>
              <w:t>MoH</w:t>
            </w:r>
            <w:proofErr w:type="spellEnd"/>
            <w:r w:rsidRPr="00436195">
              <w:rPr>
                <w:rFonts w:asciiTheme="minorHAnsi" w:hAnsiTheme="minorHAnsi"/>
                <w:sz w:val="20"/>
                <w:lang w:val="en-GB"/>
              </w:rPr>
              <w:t xml:space="preserve"> capacity </w:t>
            </w:r>
            <w:r>
              <w:rPr>
                <w:rFonts w:asciiTheme="minorHAnsi" w:hAnsiTheme="minorHAnsi"/>
                <w:sz w:val="20"/>
                <w:lang w:val="en-GB"/>
              </w:rPr>
              <w:t>development</w:t>
            </w:r>
            <w:r w:rsidRPr="00436195">
              <w:rPr>
                <w:rFonts w:asciiTheme="minorHAnsi" w:hAnsiTheme="minorHAnsi"/>
                <w:sz w:val="20"/>
                <w:lang w:val="en-GB"/>
              </w:rPr>
              <w:t xml:space="preserve"> and transition plan will be developed. </w:t>
            </w:r>
          </w:p>
          <w:p w14:paraId="16C5E16B" w14:textId="5D3548C7" w:rsidR="00906417" w:rsidRPr="008C21CF" w:rsidRDefault="00F00FAC" w:rsidP="00214AFE">
            <w:pPr>
              <w:jc w:val="both"/>
              <w:rPr>
                <w:rFonts w:asciiTheme="majorHAnsi" w:hAnsiTheme="majorHAnsi" w:cstheme="majorHAnsi"/>
              </w:rPr>
            </w:pPr>
            <w:r w:rsidRPr="00436195">
              <w:rPr>
                <w:rFonts w:asciiTheme="minorHAnsi" w:hAnsiTheme="minorHAnsi"/>
                <w:sz w:val="20"/>
                <w:lang w:val="en-GB"/>
              </w:rPr>
              <w:t>The transition plan assumes phased transfer of NGOs management functions, supply chain management functions and procurement functions. Owing to existing le</w:t>
            </w:r>
            <w:r>
              <w:rPr>
                <w:rFonts w:asciiTheme="minorHAnsi" w:hAnsiTheme="minorHAnsi"/>
                <w:sz w:val="20"/>
                <w:lang w:val="en-GB"/>
              </w:rPr>
              <w:t xml:space="preserve">gislative and systemic barriers, </w:t>
            </w:r>
            <w:r w:rsidRPr="00436195">
              <w:rPr>
                <w:rFonts w:asciiTheme="minorHAnsi" w:hAnsiTheme="minorHAnsi"/>
                <w:sz w:val="20"/>
                <w:lang w:val="en-GB"/>
              </w:rPr>
              <w:t>namely the inability to finance prevention program</w:t>
            </w:r>
            <w:r>
              <w:rPr>
                <w:rFonts w:asciiTheme="minorHAnsi" w:hAnsiTheme="minorHAnsi"/>
                <w:sz w:val="20"/>
                <w:lang w:val="en-GB"/>
              </w:rPr>
              <w:t>me</w:t>
            </w:r>
            <w:r w:rsidRPr="00436195">
              <w:rPr>
                <w:rFonts w:asciiTheme="minorHAnsi" w:hAnsiTheme="minorHAnsi"/>
                <w:sz w:val="20"/>
                <w:lang w:val="en-GB"/>
              </w:rPr>
              <w:t xml:space="preserve">s, international procurement, </w:t>
            </w:r>
            <w:proofErr w:type="spellStart"/>
            <w:r>
              <w:rPr>
                <w:rFonts w:asciiTheme="minorHAnsi" w:hAnsiTheme="minorHAnsi"/>
                <w:sz w:val="20"/>
                <w:lang w:val="en-GB"/>
              </w:rPr>
              <w:t>ensureing</w:t>
            </w:r>
            <w:proofErr w:type="spellEnd"/>
            <w:r>
              <w:rPr>
                <w:rFonts w:asciiTheme="minorHAnsi" w:hAnsiTheme="minorHAnsi"/>
                <w:sz w:val="20"/>
                <w:lang w:val="en-GB"/>
              </w:rPr>
              <w:t xml:space="preserve"> </w:t>
            </w:r>
            <w:r w:rsidRPr="00436195">
              <w:rPr>
                <w:rFonts w:asciiTheme="minorHAnsi" w:hAnsiTheme="minorHAnsi"/>
                <w:sz w:val="20"/>
                <w:lang w:val="en-GB"/>
              </w:rPr>
              <w:t>uninterrupted funding of NGO</w:t>
            </w:r>
            <w:r>
              <w:rPr>
                <w:rFonts w:asciiTheme="minorHAnsi" w:hAnsiTheme="minorHAnsi"/>
                <w:sz w:val="20"/>
                <w:lang w:val="en-GB"/>
              </w:rPr>
              <w:t>s</w:t>
            </w:r>
            <w:r w:rsidRPr="00436195">
              <w:rPr>
                <w:rFonts w:asciiTheme="minorHAnsi" w:hAnsiTheme="minorHAnsi"/>
                <w:sz w:val="20"/>
                <w:lang w:val="en-GB"/>
              </w:rPr>
              <w:t xml:space="preserve">, the Capacity Development and Transition Plan will include interventions to mitigate these issues. These will </w:t>
            </w:r>
            <w:proofErr w:type="gramStart"/>
            <w:r w:rsidRPr="00436195">
              <w:rPr>
                <w:rFonts w:asciiTheme="minorHAnsi" w:hAnsiTheme="minorHAnsi"/>
                <w:sz w:val="20"/>
                <w:lang w:val="en-GB"/>
              </w:rPr>
              <w:t>be implemented</w:t>
            </w:r>
            <w:proofErr w:type="gramEnd"/>
            <w:r w:rsidRPr="00436195">
              <w:rPr>
                <w:rFonts w:asciiTheme="minorHAnsi" w:hAnsiTheme="minorHAnsi"/>
                <w:sz w:val="20"/>
                <w:lang w:val="en-GB"/>
              </w:rPr>
              <w:t xml:space="preserve"> in line with </w:t>
            </w:r>
            <w:r>
              <w:rPr>
                <w:rFonts w:asciiTheme="minorHAnsi" w:hAnsiTheme="minorHAnsi"/>
                <w:sz w:val="20"/>
                <w:lang w:val="en-GB"/>
              </w:rPr>
              <w:t xml:space="preserve">a </w:t>
            </w:r>
            <w:r w:rsidRPr="00436195">
              <w:rPr>
                <w:rFonts w:asciiTheme="minorHAnsi" w:hAnsiTheme="minorHAnsi"/>
                <w:sz w:val="20"/>
                <w:lang w:val="en-GB"/>
              </w:rPr>
              <w:t xml:space="preserve">capacity </w:t>
            </w:r>
            <w:r>
              <w:rPr>
                <w:rFonts w:asciiTheme="minorHAnsi" w:hAnsiTheme="minorHAnsi"/>
                <w:sz w:val="20"/>
                <w:lang w:val="en-GB"/>
              </w:rPr>
              <w:t>development</w:t>
            </w:r>
            <w:r w:rsidRPr="00436195">
              <w:rPr>
                <w:rFonts w:asciiTheme="minorHAnsi" w:hAnsiTheme="minorHAnsi"/>
                <w:sz w:val="20"/>
                <w:lang w:val="en-GB"/>
              </w:rPr>
              <w:t xml:space="preserve"> plan, starting from the 2</w:t>
            </w:r>
            <w:r w:rsidRPr="00436195">
              <w:rPr>
                <w:rFonts w:asciiTheme="minorHAnsi" w:hAnsiTheme="minorHAnsi"/>
                <w:sz w:val="20"/>
                <w:vertAlign w:val="superscript"/>
                <w:lang w:val="en-GB"/>
              </w:rPr>
              <w:t>nd</w:t>
            </w:r>
            <w:r w:rsidRPr="00436195">
              <w:rPr>
                <w:rFonts w:asciiTheme="minorHAnsi" w:hAnsiTheme="minorHAnsi"/>
                <w:sz w:val="20"/>
                <w:lang w:val="en-GB"/>
              </w:rPr>
              <w:t xml:space="preserve"> year of the implementation period (2022)</w:t>
            </w:r>
            <w:r>
              <w:rPr>
                <w:rFonts w:asciiTheme="minorHAnsi" w:hAnsiTheme="minorHAnsi"/>
                <w:sz w:val="20"/>
                <w:lang w:val="en-GB"/>
              </w:rPr>
              <w:t>, when</w:t>
            </w:r>
            <w:r w:rsidRPr="00436195">
              <w:rPr>
                <w:rFonts w:asciiTheme="minorHAnsi" w:hAnsiTheme="minorHAnsi"/>
                <w:sz w:val="20"/>
                <w:lang w:val="en-GB"/>
              </w:rPr>
              <w:t xml:space="preserve"> the NGOs management function as well as ARV drugs procurement and drugs for MDR-TB treatment will be transferred to the </w:t>
            </w:r>
            <w:proofErr w:type="spellStart"/>
            <w:r w:rsidRPr="00436195">
              <w:rPr>
                <w:rFonts w:asciiTheme="minorHAnsi" w:hAnsiTheme="minorHAnsi"/>
                <w:sz w:val="20"/>
                <w:lang w:val="en-GB"/>
              </w:rPr>
              <w:t>MoH</w:t>
            </w:r>
            <w:proofErr w:type="spellEnd"/>
            <w:r w:rsidRPr="00436195">
              <w:rPr>
                <w:rFonts w:asciiTheme="minorHAnsi" w:hAnsiTheme="minorHAnsi"/>
                <w:sz w:val="20"/>
                <w:lang w:val="en-GB"/>
              </w:rPr>
              <w:t xml:space="preserve">. Concurrently, </w:t>
            </w:r>
            <w:r>
              <w:rPr>
                <w:rFonts w:asciiTheme="minorHAnsi" w:hAnsiTheme="minorHAnsi"/>
                <w:sz w:val="20"/>
                <w:lang w:val="en-GB"/>
              </w:rPr>
              <w:t xml:space="preserve">the </w:t>
            </w:r>
            <w:r w:rsidRPr="00436195">
              <w:rPr>
                <w:rFonts w:asciiTheme="minorHAnsi" w:hAnsiTheme="minorHAnsi"/>
                <w:sz w:val="20"/>
                <w:lang w:val="en-GB"/>
              </w:rPr>
              <w:t xml:space="preserve">PR in coordination with communities and development partners will carry out advocacy for continuous gradual increase in domestic funding </w:t>
            </w:r>
            <w:r>
              <w:rPr>
                <w:rFonts w:asciiTheme="minorHAnsi" w:hAnsiTheme="minorHAnsi"/>
                <w:sz w:val="20"/>
                <w:lang w:val="en-GB"/>
              </w:rPr>
              <w:t>towards</w:t>
            </w:r>
            <w:r w:rsidRPr="00436195">
              <w:rPr>
                <w:rFonts w:asciiTheme="minorHAnsi" w:hAnsiTheme="minorHAnsi"/>
                <w:sz w:val="20"/>
                <w:lang w:val="en-GB"/>
              </w:rPr>
              <w:t xml:space="preserve"> </w:t>
            </w:r>
            <w:r>
              <w:rPr>
                <w:rFonts w:asciiTheme="minorHAnsi" w:hAnsiTheme="minorHAnsi"/>
                <w:sz w:val="20"/>
                <w:lang w:val="en-GB"/>
              </w:rPr>
              <w:t xml:space="preserve">a </w:t>
            </w:r>
            <w:r w:rsidRPr="00436195">
              <w:rPr>
                <w:rFonts w:asciiTheme="minorHAnsi" w:hAnsiTheme="minorHAnsi"/>
                <w:sz w:val="20"/>
                <w:lang w:val="en-GB"/>
              </w:rPr>
              <w:t xml:space="preserve">sustainable national response to both diseases, including the potential of supporting services for key populations and </w:t>
            </w:r>
            <w:r>
              <w:rPr>
                <w:rFonts w:asciiTheme="minorHAnsi" w:hAnsiTheme="minorHAnsi"/>
                <w:sz w:val="20"/>
                <w:lang w:val="en-GB"/>
              </w:rPr>
              <w:t>TB-</w:t>
            </w:r>
            <w:r w:rsidRPr="00436195">
              <w:rPr>
                <w:rFonts w:asciiTheme="minorHAnsi" w:hAnsiTheme="minorHAnsi"/>
                <w:sz w:val="20"/>
                <w:lang w:val="en-GB"/>
              </w:rPr>
              <w:t>related state social contracting.</w:t>
            </w:r>
          </w:p>
        </w:tc>
      </w:tr>
    </w:tbl>
    <w:p w14:paraId="003B2C01" w14:textId="77777777" w:rsidR="00906417" w:rsidRPr="001D57CE" w:rsidRDefault="00906417" w:rsidP="00485066">
      <w:pPr>
        <w:spacing w:after="0"/>
        <w:contextualSpacing/>
        <w:rPr>
          <w:rFonts w:cs="Arial"/>
          <w:bCs/>
          <w:iCs/>
        </w:rPr>
      </w:pPr>
    </w:p>
    <w:p w14:paraId="6AD3EB19" w14:textId="0F16432E" w:rsidR="00BD1700" w:rsidRPr="000646CF" w:rsidRDefault="006326F8" w:rsidP="008B5FE3">
      <w:pPr>
        <w:pStyle w:val="affff3"/>
        <w:numPr>
          <w:ilvl w:val="0"/>
          <w:numId w:val="21"/>
        </w:numPr>
        <w:spacing w:after="0" w:line="260" w:lineRule="atLeast"/>
        <w:jc w:val="both"/>
        <w:rPr>
          <w:rStyle w:val="normaltextrun"/>
          <w:rFonts w:cs="Arial"/>
        </w:rPr>
      </w:pPr>
      <w:r w:rsidRPr="001D57CE">
        <w:rPr>
          <w:rStyle w:val="normaltextrun"/>
          <w:rFonts w:cs="Arial"/>
          <w:color w:val="000000"/>
          <w:shd w:val="clear" w:color="auto" w:fill="FFFFFF"/>
        </w:rPr>
        <w:t xml:space="preserve">Describe </w:t>
      </w:r>
      <w:r w:rsidR="001C0EA4">
        <w:rPr>
          <w:rStyle w:val="normaltextrun"/>
          <w:rFonts w:cs="Arial"/>
          <w:color w:val="000000"/>
          <w:shd w:val="clear" w:color="auto" w:fill="FFFFFF"/>
        </w:rPr>
        <w:t xml:space="preserve">the </w:t>
      </w:r>
      <w:r w:rsidR="001C0EA4" w:rsidRPr="00EC2673">
        <w:rPr>
          <w:rStyle w:val="normaltextrun"/>
          <w:rFonts w:cs="Arial"/>
          <w:b/>
          <w:color w:val="000000"/>
          <w:shd w:val="clear" w:color="auto" w:fill="FFFFFF"/>
        </w:rPr>
        <w:t>top three a</w:t>
      </w:r>
      <w:r w:rsidRPr="00EC2673">
        <w:rPr>
          <w:rStyle w:val="normaltextrun"/>
          <w:rFonts w:cs="Arial"/>
          <w:b/>
          <w:color w:val="000000"/>
          <w:shd w:val="clear" w:color="auto" w:fill="FFFFFF"/>
        </w:rPr>
        <w:t>nticipated implementation risks</w:t>
      </w:r>
      <w:r w:rsidRPr="001D57CE">
        <w:rPr>
          <w:rStyle w:val="normaltextrun"/>
          <w:rFonts w:cs="Arial"/>
          <w:color w:val="000000"/>
          <w:shd w:val="clear" w:color="auto" w:fill="FFFFFF"/>
        </w:rPr>
        <w:t xml:space="preserve"> that might negatively affect</w:t>
      </w:r>
      <w:r w:rsidR="00B6467A">
        <w:rPr>
          <w:rStyle w:val="normaltextrun"/>
          <w:rFonts w:cs="Arial"/>
          <w:color w:val="000000"/>
          <w:shd w:val="clear" w:color="auto" w:fill="FFFFFF"/>
        </w:rPr>
        <w:t xml:space="preserve">: </w:t>
      </w:r>
      <w:r w:rsidR="00663D90">
        <w:rPr>
          <w:rStyle w:val="normaltextrun"/>
          <w:rFonts w:cs="Arial"/>
          <w:color w:val="000000"/>
          <w:shd w:val="clear" w:color="auto" w:fill="FFFFFF"/>
        </w:rPr>
        <w:t>(</w:t>
      </w:r>
      <w:proofErr w:type="spellStart"/>
      <w:r w:rsidR="00B6467A">
        <w:rPr>
          <w:rStyle w:val="normaltextrun"/>
          <w:rFonts w:cs="Arial"/>
          <w:color w:val="000000"/>
          <w:shd w:val="clear" w:color="auto" w:fill="FFFFFF"/>
        </w:rPr>
        <w:t>i</w:t>
      </w:r>
      <w:proofErr w:type="spellEnd"/>
      <w:r w:rsidR="00B6467A">
        <w:rPr>
          <w:rStyle w:val="normaltextrun"/>
          <w:rFonts w:cs="Arial"/>
          <w:color w:val="000000"/>
          <w:shd w:val="clear" w:color="auto" w:fill="FFFFFF"/>
        </w:rPr>
        <w:t>)</w:t>
      </w:r>
      <w:r w:rsidRPr="001D57CE">
        <w:rPr>
          <w:rStyle w:val="normaltextrun"/>
          <w:rFonts w:cs="Arial"/>
          <w:color w:val="000000"/>
          <w:shd w:val="clear" w:color="auto" w:fill="FFFFFF"/>
        </w:rPr>
        <w:t xml:space="preserve"> the delivery of the program objectives supported </w:t>
      </w:r>
      <w:r w:rsidR="00B6467A">
        <w:rPr>
          <w:rStyle w:val="normaltextrun"/>
          <w:rFonts w:cs="Arial"/>
          <w:color w:val="000000"/>
          <w:shd w:val="clear" w:color="auto" w:fill="FFFFFF"/>
        </w:rPr>
        <w:t>by the</w:t>
      </w:r>
      <w:r w:rsidR="00B6467A" w:rsidRPr="001D57CE">
        <w:rPr>
          <w:rStyle w:val="normaltextrun"/>
          <w:rFonts w:cs="Arial"/>
          <w:color w:val="000000"/>
          <w:shd w:val="clear" w:color="auto" w:fill="FFFFFF"/>
        </w:rPr>
        <w:t xml:space="preserve"> </w:t>
      </w:r>
      <w:r w:rsidRPr="001D57CE">
        <w:rPr>
          <w:rStyle w:val="normaltextrun"/>
          <w:rFonts w:cs="Arial"/>
          <w:color w:val="000000"/>
          <w:shd w:val="clear" w:color="auto" w:fill="FFFFFF"/>
        </w:rPr>
        <w:t>Global Fund</w:t>
      </w:r>
      <w:r w:rsidR="00B6467A">
        <w:rPr>
          <w:rStyle w:val="normaltextrun"/>
          <w:rFonts w:cs="Arial"/>
          <w:color w:val="000000"/>
          <w:shd w:val="clear" w:color="auto" w:fill="FFFFFF"/>
        </w:rPr>
        <w:t>;</w:t>
      </w:r>
      <w:r w:rsidRPr="001D57CE">
        <w:rPr>
          <w:rStyle w:val="normaltextrun"/>
          <w:rFonts w:cs="Arial"/>
          <w:color w:val="000000"/>
          <w:shd w:val="clear" w:color="auto" w:fill="FFFFFF"/>
        </w:rPr>
        <w:t> and/or</w:t>
      </w:r>
      <w:r w:rsidR="00B6467A">
        <w:rPr>
          <w:rStyle w:val="normaltextrun"/>
          <w:rFonts w:cs="Arial"/>
          <w:color w:val="000000"/>
          <w:shd w:val="clear" w:color="auto" w:fill="FFFFFF"/>
        </w:rPr>
        <w:t xml:space="preserve"> </w:t>
      </w:r>
      <w:r w:rsidR="00663D90">
        <w:rPr>
          <w:rStyle w:val="normaltextrun"/>
          <w:rFonts w:cs="Arial"/>
          <w:color w:val="000000"/>
          <w:shd w:val="clear" w:color="auto" w:fill="FFFFFF"/>
        </w:rPr>
        <w:t>(</w:t>
      </w:r>
      <w:r w:rsidR="00B6467A">
        <w:rPr>
          <w:rStyle w:val="normaltextrun"/>
          <w:rFonts w:cs="Arial"/>
          <w:color w:val="000000"/>
          <w:shd w:val="clear" w:color="auto" w:fill="FFFFFF"/>
        </w:rPr>
        <w:t>ii)</w:t>
      </w:r>
      <w:r w:rsidRPr="001D57CE">
        <w:rPr>
          <w:rStyle w:val="normaltextrun"/>
          <w:rFonts w:cs="Arial"/>
          <w:color w:val="000000"/>
          <w:shd w:val="clear" w:color="auto" w:fill="FFFFFF"/>
        </w:rPr>
        <w:t xml:space="preserve"> the broader health system. </w:t>
      </w:r>
      <w:r w:rsidR="00B6467A">
        <w:rPr>
          <w:rStyle w:val="normaltextrun"/>
          <w:rFonts w:cs="Arial"/>
          <w:color w:val="000000"/>
          <w:shd w:val="clear" w:color="auto" w:fill="FFFFFF"/>
        </w:rPr>
        <w:t>Then</w:t>
      </w:r>
      <w:r w:rsidR="00F112AD">
        <w:rPr>
          <w:rStyle w:val="normaltextrun"/>
          <w:rFonts w:cs="Arial"/>
          <w:color w:val="000000"/>
          <w:shd w:val="clear" w:color="auto" w:fill="FFFFFF"/>
        </w:rPr>
        <w:t>,</w:t>
      </w:r>
      <w:r w:rsidRPr="001D57CE">
        <w:rPr>
          <w:rStyle w:val="normaltextrun"/>
          <w:rFonts w:cs="Arial"/>
          <w:color w:val="000000"/>
          <w:shd w:val="clear" w:color="auto" w:fill="FFFFFF"/>
        </w:rPr>
        <w:t xml:space="preserve"> describe the mitigation measures that address these risks. </w:t>
      </w:r>
    </w:p>
    <w:p w14:paraId="266DC181" w14:textId="77777777" w:rsidR="000646CF" w:rsidRPr="000646CF" w:rsidRDefault="000646CF" w:rsidP="000646CF">
      <w:pPr>
        <w:pStyle w:val="affff3"/>
        <w:spacing w:after="0" w:line="260" w:lineRule="atLeast"/>
        <w:ind w:left="360"/>
        <w:jc w:val="both"/>
        <w:rPr>
          <w:rFonts w:cs="Arial"/>
        </w:rPr>
      </w:pPr>
    </w:p>
    <w:tbl>
      <w:tblPr>
        <w:tblStyle w:val="TableGrid1"/>
        <w:tblW w:w="10435" w:type="dxa"/>
        <w:tblLayout w:type="fixed"/>
        <w:tblLook w:val="0000" w:firstRow="0" w:lastRow="0" w:firstColumn="0" w:lastColumn="0" w:noHBand="0" w:noVBand="0"/>
      </w:tblPr>
      <w:tblGrid>
        <w:gridCol w:w="5807"/>
        <w:gridCol w:w="4628"/>
      </w:tblGrid>
      <w:tr w:rsidR="003F4F26" w:rsidRPr="001D57CE" w14:paraId="10CE5D3F" w14:textId="77777777" w:rsidTr="00477473">
        <w:trPr>
          <w:trHeight w:val="377"/>
        </w:trPr>
        <w:tc>
          <w:tcPr>
            <w:tcW w:w="5807" w:type="dxa"/>
            <w:shd w:val="clear" w:color="auto" w:fill="D9D9D9" w:themeFill="background1" w:themeFillShade="D9"/>
            <w:vAlign w:val="center"/>
          </w:tcPr>
          <w:p w14:paraId="286D9ED0" w14:textId="77777777" w:rsidR="003F4F26" w:rsidRPr="007609CE" w:rsidRDefault="003F4F26" w:rsidP="00214AFE">
            <w:pPr>
              <w:autoSpaceDE w:val="0"/>
              <w:autoSpaceDN w:val="0"/>
              <w:adjustRightInd w:val="0"/>
              <w:spacing w:after="0"/>
              <w:jc w:val="center"/>
              <w:rPr>
                <w:rFonts w:asciiTheme="majorHAnsi" w:hAnsiTheme="majorHAnsi" w:cstheme="majorHAnsi"/>
                <w:b/>
              </w:rPr>
            </w:pPr>
            <w:r w:rsidRPr="007609CE">
              <w:rPr>
                <w:rFonts w:asciiTheme="majorHAnsi" w:hAnsiTheme="majorHAnsi" w:cstheme="majorHAnsi"/>
                <w:b/>
                <w:bCs/>
              </w:rPr>
              <w:t>Key Implementation Risks</w:t>
            </w:r>
          </w:p>
        </w:tc>
        <w:tc>
          <w:tcPr>
            <w:tcW w:w="4628" w:type="dxa"/>
            <w:shd w:val="clear" w:color="auto" w:fill="D9D9D9" w:themeFill="background1" w:themeFillShade="D9"/>
            <w:vAlign w:val="center"/>
          </w:tcPr>
          <w:p w14:paraId="10726D0E" w14:textId="2E3C1DBA" w:rsidR="003F4F26" w:rsidRPr="007609CE" w:rsidRDefault="003F4F26" w:rsidP="00214AFE">
            <w:pPr>
              <w:autoSpaceDE w:val="0"/>
              <w:autoSpaceDN w:val="0"/>
              <w:adjustRightInd w:val="0"/>
              <w:spacing w:after="0"/>
              <w:jc w:val="center"/>
              <w:rPr>
                <w:rFonts w:asciiTheme="majorHAnsi" w:hAnsiTheme="majorHAnsi" w:cstheme="majorHAnsi"/>
                <w:b/>
              </w:rPr>
            </w:pPr>
            <w:r w:rsidRPr="007609CE">
              <w:rPr>
                <w:rFonts w:asciiTheme="majorHAnsi" w:hAnsiTheme="majorHAnsi" w:cstheme="majorHAnsi"/>
                <w:b/>
                <w:bCs/>
              </w:rPr>
              <w:t>Corresponding Mitigati</w:t>
            </w:r>
            <w:r w:rsidR="006326F8" w:rsidRPr="007609CE">
              <w:rPr>
                <w:rFonts w:asciiTheme="majorHAnsi" w:hAnsiTheme="majorHAnsi" w:cstheme="majorHAnsi"/>
                <w:b/>
                <w:bCs/>
              </w:rPr>
              <w:t>on Measures</w:t>
            </w:r>
          </w:p>
        </w:tc>
      </w:tr>
      <w:tr w:rsidR="00F00FAC" w:rsidRPr="001D57CE" w14:paraId="7DF4C74C" w14:textId="77777777" w:rsidTr="00477473">
        <w:trPr>
          <w:trHeight w:val="400"/>
        </w:trPr>
        <w:tc>
          <w:tcPr>
            <w:tcW w:w="5807" w:type="dxa"/>
          </w:tcPr>
          <w:p w14:paraId="2EC5B113" w14:textId="48571A1D" w:rsidR="00F00FAC" w:rsidRPr="007609CE" w:rsidRDefault="00F00FAC" w:rsidP="00214AFE">
            <w:pPr>
              <w:autoSpaceDE w:val="0"/>
              <w:autoSpaceDN w:val="0"/>
              <w:adjustRightInd w:val="0"/>
              <w:jc w:val="both"/>
              <w:rPr>
                <w:rFonts w:asciiTheme="majorHAnsi" w:hAnsiTheme="majorHAnsi" w:cstheme="majorHAnsi"/>
                <w:i/>
              </w:rPr>
            </w:pPr>
            <w:r w:rsidRPr="007609CE">
              <w:rPr>
                <w:rFonts w:asciiTheme="minorHAnsi" w:hAnsiTheme="minorHAnsi"/>
                <w:sz w:val="20"/>
                <w:lang w:val="en-GB"/>
              </w:rPr>
              <w:t>External funding and sustainability: Currently, donor funding covers a significant proportion of funding for HIV interventions (around 75%). The GF provides more than 50% of all international funding to the HIV Programme. Any significant reduction in this support will adversely impact the sustainability of activities under this grant. Historically, GF used to provide most of the funding to procurement of ARV and TB drugs. However, the government is continuously increasing its commitment to provide first-line TB drugs, some ARV drugs and means for HIV diagnostics, diagnosis of opportunistic infections and treatment. As the national programme becomes increasingly dependent on domestic funds, it could run the risk of partial suspension of some of programmatic activities, i.e. in case of an urgent need to reallocate domestic health funds to another pressing health issue.</w:t>
            </w:r>
          </w:p>
        </w:tc>
        <w:tc>
          <w:tcPr>
            <w:tcW w:w="4628" w:type="dxa"/>
          </w:tcPr>
          <w:p w14:paraId="7126F0E7" w14:textId="62DE1CB7" w:rsidR="00F00FAC" w:rsidRPr="007609CE" w:rsidRDefault="00F00FAC" w:rsidP="00214AFE">
            <w:pPr>
              <w:autoSpaceDE w:val="0"/>
              <w:autoSpaceDN w:val="0"/>
              <w:adjustRightInd w:val="0"/>
              <w:jc w:val="both"/>
              <w:rPr>
                <w:rFonts w:asciiTheme="majorHAnsi" w:hAnsiTheme="majorHAnsi" w:cstheme="majorHAnsi"/>
              </w:rPr>
            </w:pPr>
            <w:proofErr w:type="gramStart"/>
            <w:r w:rsidRPr="007609CE">
              <w:rPr>
                <w:rFonts w:asciiTheme="minorHAnsi" w:hAnsiTheme="minorHAnsi"/>
                <w:sz w:val="20"/>
                <w:lang w:val="en-GB"/>
              </w:rPr>
              <w:t>In order to</w:t>
            </w:r>
            <w:proofErr w:type="gramEnd"/>
            <w:r w:rsidRPr="007609CE">
              <w:rPr>
                <w:rFonts w:asciiTheme="minorHAnsi" w:hAnsiTheme="minorHAnsi"/>
                <w:sz w:val="20"/>
                <w:lang w:val="en-GB"/>
              </w:rPr>
              <w:t xml:space="preserve"> mitigate this risk, the CCM will continue to oversee the domestic co-funding and ensure adequate funding from domestic sources to complement this funding request and ensure continued national response.</w:t>
            </w:r>
          </w:p>
        </w:tc>
      </w:tr>
      <w:tr w:rsidR="00F00FAC" w:rsidRPr="001D57CE" w14:paraId="6A26F3E3" w14:textId="77777777" w:rsidTr="00477473">
        <w:trPr>
          <w:trHeight w:val="400"/>
        </w:trPr>
        <w:tc>
          <w:tcPr>
            <w:tcW w:w="5807" w:type="dxa"/>
          </w:tcPr>
          <w:p w14:paraId="610B5A7F" w14:textId="7E0072EA" w:rsidR="00F00FAC" w:rsidRPr="007609CE" w:rsidRDefault="00F00FAC" w:rsidP="00214AFE">
            <w:pPr>
              <w:autoSpaceDE w:val="0"/>
              <w:autoSpaceDN w:val="0"/>
              <w:adjustRightInd w:val="0"/>
              <w:jc w:val="both"/>
              <w:rPr>
                <w:rFonts w:asciiTheme="majorHAnsi" w:hAnsiTheme="majorHAnsi" w:cstheme="majorHAnsi"/>
                <w:i/>
              </w:rPr>
            </w:pPr>
            <w:r w:rsidRPr="007609CE">
              <w:rPr>
                <w:rFonts w:asciiTheme="minorHAnsi" w:hAnsiTheme="minorHAnsi"/>
                <w:sz w:val="20"/>
                <w:lang w:val="en-GB"/>
              </w:rPr>
              <w:t>Potential changes in the legislative environment such as the law prohibiting non-traditional sexual relations may inhibit the implementation of programmes for SW and MSM. In addition, any changes restricting the use of methadone can tremendously affect the programme capacity to register and retain clients under the OST Programme. Ongoing harmful practices like the police raids towards SW can heavily undermine the prevention programme coverage.</w:t>
            </w:r>
          </w:p>
        </w:tc>
        <w:tc>
          <w:tcPr>
            <w:tcW w:w="4628" w:type="dxa"/>
          </w:tcPr>
          <w:p w14:paraId="0B9B916F" w14:textId="167F54BB" w:rsidR="00F00FAC" w:rsidRPr="007609CE" w:rsidRDefault="00F00FAC" w:rsidP="00AA27D0">
            <w:pPr>
              <w:jc w:val="both"/>
              <w:rPr>
                <w:rFonts w:asciiTheme="majorHAnsi" w:hAnsiTheme="majorHAnsi" w:cstheme="majorHAnsi"/>
              </w:rPr>
            </w:pPr>
            <w:r w:rsidRPr="007609CE">
              <w:rPr>
                <w:rFonts w:asciiTheme="minorHAnsi" w:hAnsiTheme="minorHAnsi"/>
                <w:sz w:val="20"/>
                <w:lang w:val="en-GB"/>
              </w:rPr>
              <w:t>A measure to mitigate this risk will be to strengthen the mechanism of parliamentary oversight, follow up and adequate monitoring of existing negative practices, awareness raising activities among police, parliament and government under catalytic funding activities implementation.</w:t>
            </w:r>
          </w:p>
        </w:tc>
      </w:tr>
      <w:tr w:rsidR="00F00FAC" w:rsidRPr="001D57CE" w14:paraId="28EAD993" w14:textId="77777777" w:rsidTr="00477473">
        <w:trPr>
          <w:trHeight w:val="400"/>
        </w:trPr>
        <w:tc>
          <w:tcPr>
            <w:tcW w:w="5807" w:type="dxa"/>
          </w:tcPr>
          <w:p w14:paraId="61871052" w14:textId="77777777" w:rsidR="00F00FAC" w:rsidRPr="007609CE" w:rsidRDefault="00F00FAC" w:rsidP="00214AFE">
            <w:pPr>
              <w:jc w:val="both"/>
              <w:rPr>
                <w:rFonts w:asciiTheme="minorHAnsi" w:hAnsiTheme="minorHAnsi"/>
                <w:sz w:val="20"/>
                <w:u w:val="single"/>
                <w:lang w:val="en-GB"/>
              </w:rPr>
            </w:pPr>
            <w:r w:rsidRPr="007609CE">
              <w:rPr>
                <w:rFonts w:asciiTheme="minorHAnsi" w:hAnsiTheme="minorHAnsi"/>
                <w:sz w:val="20"/>
                <w:lang w:val="en-GB"/>
              </w:rPr>
              <w:t xml:space="preserve">The capacities of implementers for an efficient and earmarked spending, managing and/or overseeing financial resources may have a negative impact on programme implementation. </w:t>
            </w:r>
          </w:p>
          <w:p w14:paraId="11A6897D" w14:textId="21236DC5" w:rsidR="00F00FAC" w:rsidRPr="007609CE" w:rsidRDefault="00F00FAC" w:rsidP="00214AFE">
            <w:pPr>
              <w:autoSpaceDE w:val="0"/>
              <w:autoSpaceDN w:val="0"/>
              <w:adjustRightInd w:val="0"/>
              <w:jc w:val="both"/>
              <w:rPr>
                <w:rFonts w:asciiTheme="majorHAnsi" w:hAnsiTheme="majorHAnsi" w:cstheme="majorHAnsi"/>
                <w:i/>
              </w:rPr>
            </w:pPr>
          </w:p>
        </w:tc>
        <w:tc>
          <w:tcPr>
            <w:tcW w:w="4628" w:type="dxa"/>
          </w:tcPr>
          <w:p w14:paraId="3CF5487E" w14:textId="158A0457" w:rsidR="00F00FAC" w:rsidRPr="007609CE" w:rsidRDefault="00F00FAC" w:rsidP="00214AFE">
            <w:pPr>
              <w:autoSpaceDE w:val="0"/>
              <w:autoSpaceDN w:val="0"/>
              <w:adjustRightInd w:val="0"/>
              <w:jc w:val="both"/>
              <w:rPr>
                <w:rFonts w:asciiTheme="majorHAnsi" w:hAnsiTheme="majorHAnsi" w:cstheme="majorHAnsi"/>
              </w:rPr>
            </w:pPr>
            <w:r w:rsidRPr="007609CE">
              <w:rPr>
                <w:rFonts w:asciiTheme="minorHAnsi" w:hAnsiTheme="minorHAnsi"/>
                <w:sz w:val="20"/>
                <w:lang w:val="en-GB"/>
              </w:rPr>
              <w:t>Measures to mitigate these risks include capacity development in financial management and reporting at all levels</w:t>
            </w:r>
            <w:proofErr w:type="gramStart"/>
            <w:r w:rsidRPr="007609CE">
              <w:rPr>
                <w:rFonts w:asciiTheme="minorHAnsi" w:hAnsiTheme="minorHAnsi"/>
                <w:sz w:val="20"/>
                <w:lang w:val="en-GB"/>
              </w:rPr>
              <w:t>, in particular, at</w:t>
            </w:r>
            <w:proofErr w:type="gramEnd"/>
            <w:r w:rsidRPr="007609CE">
              <w:rPr>
                <w:rFonts w:asciiTheme="minorHAnsi" w:hAnsiTheme="minorHAnsi"/>
                <w:sz w:val="20"/>
                <w:lang w:val="en-GB"/>
              </w:rPr>
              <w:t xml:space="preserve"> </w:t>
            </w:r>
            <w:proofErr w:type="spellStart"/>
            <w:r w:rsidRPr="007609CE">
              <w:rPr>
                <w:rFonts w:asciiTheme="minorHAnsi" w:hAnsiTheme="minorHAnsi"/>
                <w:sz w:val="20"/>
                <w:lang w:val="en-GB"/>
              </w:rPr>
              <w:t>MoH</w:t>
            </w:r>
            <w:proofErr w:type="spellEnd"/>
            <w:r w:rsidRPr="007609CE">
              <w:rPr>
                <w:rFonts w:asciiTheme="minorHAnsi" w:hAnsiTheme="minorHAnsi"/>
                <w:sz w:val="20"/>
                <w:lang w:val="en-GB"/>
              </w:rPr>
              <w:t xml:space="preserve">. The CCM and PR will regularly monitor the flow of funds </w:t>
            </w:r>
            <w:proofErr w:type="gramStart"/>
            <w:r w:rsidRPr="007609CE">
              <w:rPr>
                <w:rFonts w:asciiTheme="minorHAnsi" w:hAnsiTheme="minorHAnsi"/>
                <w:sz w:val="20"/>
                <w:lang w:val="en-GB"/>
              </w:rPr>
              <w:t>in order to</w:t>
            </w:r>
            <w:proofErr w:type="gramEnd"/>
            <w:r w:rsidRPr="007609CE">
              <w:rPr>
                <w:rFonts w:asciiTheme="minorHAnsi" w:hAnsiTheme="minorHAnsi"/>
                <w:sz w:val="20"/>
                <w:lang w:val="en-GB"/>
              </w:rPr>
              <w:t xml:space="preserve"> timely spot and address areas of concern, reduce the loss of funds and risk of such loss or fraud and streamline accountability structures. </w:t>
            </w:r>
          </w:p>
        </w:tc>
      </w:tr>
    </w:tbl>
    <w:p w14:paraId="65883D5C" w14:textId="77777777" w:rsidR="00485066" w:rsidRPr="008C21CF" w:rsidRDefault="00485066" w:rsidP="00485066">
      <w:pPr>
        <w:pStyle w:val="affff3"/>
        <w:spacing w:before="120" w:after="0" w:line="240" w:lineRule="auto"/>
        <w:ind w:left="360"/>
        <w:jc w:val="both"/>
        <w:rPr>
          <w:rFonts w:asciiTheme="majorHAnsi" w:hAnsiTheme="majorHAnsi" w:cstheme="majorHAnsi"/>
          <w:bCs/>
          <w:iCs/>
        </w:rPr>
      </w:pPr>
    </w:p>
    <w:p w14:paraId="144A166C" w14:textId="641BE764" w:rsidR="00485066" w:rsidRPr="00663D90" w:rsidRDefault="00485066" w:rsidP="008B5FE3">
      <w:pPr>
        <w:pStyle w:val="affff3"/>
        <w:numPr>
          <w:ilvl w:val="0"/>
          <w:numId w:val="21"/>
        </w:numPr>
        <w:spacing w:before="120" w:after="0" w:line="240" w:lineRule="auto"/>
        <w:jc w:val="both"/>
        <w:rPr>
          <w:rFonts w:asciiTheme="majorHAnsi" w:hAnsiTheme="majorHAnsi" w:cstheme="majorHAnsi"/>
          <w:bCs/>
          <w:iCs/>
        </w:rPr>
      </w:pPr>
      <w:r w:rsidRPr="008C21CF">
        <w:rPr>
          <w:rFonts w:asciiTheme="majorHAnsi" w:hAnsiTheme="majorHAnsi" w:cstheme="majorHAnsi"/>
        </w:rPr>
        <w:t xml:space="preserve">Does the funding request envisage a </w:t>
      </w:r>
      <w:r w:rsidRPr="0096146C">
        <w:rPr>
          <w:rFonts w:asciiTheme="majorHAnsi" w:hAnsiTheme="majorHAnsi" w:cstheme="majorHAnsi"/>
          <w:b/>
        </w:rPr>
        <w:t>joint investment platform</w:t>
      </w:r>
      <w:r w:rsidRPr="008C21CF">
        <w:rPr>
          <w:rFonts w:asciiTheme="majorHAnsi" w:hAnsiTheme="majorHAnsi" w:cstheme="majorHAnsi"/>
        </w:rPr>
        <w:t xml:space="preserve"> with other </w:t>
      </w:r>
      <w:r w:rsidR="003A4972">
        <w:rPr>
          <w:rFonts w:asciiTheme="majorHAnsi" w:hAnsiTheme="majorHAnsi" w:cstheme="majorHAnsi"/>
        </w:rPr>
        <w:t>institution</w:t>
      </w:r>
      <w:r w:rsidR="003A4972" w:rsidRPr="008C21CF">
        <w:rPr>
          <w:rFonts w:asciiTheme="majorHAnsi" w:hAnsiTheme="majorHAnsi" w:cstheme="majorHAnsi"/>
        </w:rPr>
        <w:t>s</w:t>
      </w:r>
      <w:r w:rsidRPr="008C21CF">
        <w:rPr>
          <w:rFonts w:asciiTheme="majorHAnsi" w:hAnsiTheme="majorHAnsi" w:cstheme="majorHAnsi"/>
        </w:rPr>
        <w:t xml:space="preserve">? </w:t>
      </w:r>
    </w:p>
    <w:p w14:paraId="1D88E390" w14:textId="77777777" w:rsidR="00663D90" w:rsidRPr="00D44D0D" w:rsidRDefault="00663D90" w:rsidP="00663D90">
      <w:pPr>
        <w:pStyle w:val="affff3"/>
        <w:spacing w:before="120" w:after="0" w:line="240" w:lineRule="auto"/>
        <w:ind w:left="360"/>
        <w:jc w:val="both"/>
        <w:rPr>
          <w:rFonts w:asciiTheme="majorHAnsi" w:hAnsiTheme="majorHAnsi" w:cstheme="majorHAnsi"/>
          <w:bCs/>
          <w:iCs/>
        </w:rPr>
      </w:pPr>
    </w:p>
    <w:p w14:paraId="297BAF88" w14:textId="1177F0E8" w:rsidR="00AA45C3" w:rsidRDefault="007161FD" w:rsidP="00D44D0D">
      <w:pPr>
        <w:pStyle w:val="affff3"/>
        <w:spacing w:before="120" w:after="0" w:line="240" w:lineRule="auto"/>
        <w:ind w:left="360" w:firstLine="360"/>
        <w:jc w:val="both"/>
        <w:rPr>
          <w:rFonts w:asciiTheme="majorHAnsi" w:hAnsiTheme="majorHAnsi" w:cstheme="majorHAnsi"/>
          <w:bCs/>
          <w:iCs/>
        </w:rPr>
      </w:pPr>
      <w:sdt>
        <w:sdtPr>
          <w:rPr>
            <w:rFonts w:asciiTheme="majorHAnsi" w:eastAsia="MS Gothic" w:hAnsiTheme="majorHAnsi" w:cstheme="majorHAnsi"/>
            <w:bCs/>
            <w:iCs/>
          </w:rPr>
          <w:id w:val="1973173543"/>
          <w14:checkbox>
            <w14:checked w14:val="0"/>
            <w14:checkedState w14:val="2612" w14:font="MS Gothic"/>
            <w14:uncheckedState w14:val="2610" w14:font="MS Gothic"/>
          </w14:checkbox>
        </w:sdtPr>
        <w:sdtEndPr/>
        <w:sdtContent>
          <w:r w:rsidR="00AA45C3" w:rsidRPr="008C21CF">
            <w:rPr>
              <w:rFonts w:ascii="MS Gothic" w:eastAsia="MS Gothic" w:hAnsi="MS Gothic" w:cstheme="majorHAnsi"/>
              <w:bCs/>
              <w:iCs/>
            </w:rPr>
            <w:t>☐</w:t>
          </w:r>
        </w:sdtContent>
      </w:sdt>
      <w:r w:rsidR="00485066" w:rsidRPr="008C21CF">
        <w:rPr>
          <w:rFonts w:asciiTheme="majorHAnsi" w:hAnsiTheme="majorHAnsi" w:cstheme="majorHAnsi"/>
          <w:bCs/>
          <w:iCs/>
        </w:rPr>
        <w:t xml:space="preserve"> Yes         </w:t>
      </w:r>
      <w:sdt>
        <w:sdtPr>
          <w:rPr>
            <w:rFonts w:asciiTheme="majorHAnsi" w:hAnsiTheme="majorHAnsi" w:cstheme="majorHAnsi"/>
            <w:bCs/>
            <w:iCs/>
          </w:rPr>
          <w:id w:val="1360627992"/>
          <w14:checkbox>
            <w14:checked w14:val="1"/>
            <w14:checkedState w14:val="2612" w14:font="MS Gothic"/>
            <w14:uncheckedState w14:val="2610" w14:font="MS Gothic"/>
          </w14:checkbox>
        </w:sdtPr>
        <w:sdtEndPr/>
        <w:sdtContent>
          <w:r w:rsidR="00F00FAC">
            <w:rPr>
              <w:rFonts w:ascii="MS Gothic" w:eastAsia="MS Gothic" w:hAnsi="MS Gothic" w:cstheme="majorHAnsi" w:hint="eastAsia"/>
              <w:bCs/>
              <w:iCs/>
            </w:rPr>
            <w:t>☒</w:t>
          </w:r>
        </w:sdtContent>
      </w:sdt>
      <w:r w:rsidR="00485066" w:rsidRPr="008C21CF">
        <w:rPr>
          <w:rFonts w:asciiTheme="majorHAnsi" w:hAnsiTheme="majorHAnsi" w:cstheme="majorHAnsi"/>
          <w:bCs/>
          <w:iCs/>
        </w:rPr>
        <w:t xml:space="preserve"> No</w:t>
      </w:r>
    </w:p>
    <w:p w14:paraId="2B25D274" w14:textId="77777777" w:rsidR="00663D90" w:rsidRPr="00D44D0D" w:rsidRDefault="00663D90" w:rsidP="00D44D0D">
      <w:pPr>
        <w:pStyle w:val="affff3"/>
        <w:spacing w:before="120" w:after="0" w:line="240" w:lineRule="auto"/>
        <w:ind w:left="360" w:firstLine="360"/>
        <w:jc w:val="both"/>
        <w:rPr>
          <w:rFonts w:asciiTheme="majorHAnsi" w:hAnsiTheme="majorHAnsi" w:cstheme="majorHAnsi"/>
          <w:bCs/>
          <w:iCs/>
        </w:rPr>
      </w:pPr>
    </w:p>
    <w:p w14:paraId="276A559D" w14:textId="4259CD7B" w:rsidR="00794CE6" w:rsidRPr="008C21CF" w:rsidRDefault="00794CE6" w:rsidP="006C0196">
      <w:pPr>
        <w:spacing w:after="0" w:line="240" w:lineRule="auto"/>
        <w:ind w:firstLine="360"/>
        <w:jc w:val="both"/>
        <w:rPr>
          <w:rFonts w:asciiTheme="majorHAnsi" w:hAnsiTheme="majorHAnsi" w:cstheme="majorHAnsi"/>
          <w:bCs/>
          <w:iCs/>
        </w:rPr>
      </w:pPr>
      <w:r w:rsidRPr="00B2724B">
        <w:rPr>
          <w:rFonts w:asciiTheme="majorHAnsi" w:hAnsiTheme="majorHAnsi" w:cstheme="majorHAnsi"/>
        </w:rPr>
        <w:t>If</w:t>
      </w:r>
      <w:r w:rsidRPr="008C21CF">
        <w:rPr>
          <w:rFonts w:asciiTheme="majorHAnsi" w:hAnsiTheme="majorHAnsi" w:cstheme="majorHAnsi"/>
          <w:b/>
        </w:rPr>
        <w:t xml:space="preserve"> yes</w:t>
      </w:r>
      <w:r w:rsidRPr="008C21CF">
        <w:rPr>
          <w:rFonts w:asciiTheme="majorHAnsi" w:hAnsiTheme="majorHAnsi" w:cstheme="majorHAnsi"/>
        </w:rPr>
        <w:t>, describe specific arrangements and modalities.</w:t>
      </w:r>
    </w:p>
    <w:p w14:paraId="48DAB4F2" w14:textId="77777777" w:rsidR="00485066" w:rsidRPr="008C21CF" w:rsidRDefault="00485066" w:rsidP="00485066">
      <w:pPr>
        <w:pStyle w:val="affff3"/>
        <w:spacing w:before="120" w:after="0" w:line="240" w:lineRule="auto"/>
        <w:ind w:left="360"/>
        <w:jc w:val="both"/>
        <w:rPr>
          <w:rFonts w:asciiTheme="majorHAnsi" w:hAnsiTheme="majorHAnsi" w:cstheme="majorHAnsi"/>
          <w:bCs/>
          <w:iCs/>
        </w:rPr>
      </w:pPr>
    </w:p>
    <w:tbl>
      <w:tblPr>
        <w:tblStyle w:val="aa"/>
        <w:tblW w:w="0" w:type="auto"/>
        <w:tblLook w:val="04A0" w:firstRow="1" w:lastRow="0" w:firstColumn="1" w:lastColumn="0" w:noHBand="0" w:noVBand="1"/>
      </w:tblPr>
      <w:tblGrid>
        <w:gridCol w:w="10456"/>
      </w:tblGrid>
      <w:tr w:rsidR="00485066" w:rsidRPr="001D57CE" w14:paraId="4F316570" w14:textId="77777777" w:rsidTr="005279BC">
        <w:tc>
          <w:tcPr>
            <w:tcW w:w="10790" w:type="dxa"/>
          </w:tcPr>
          <w:p w14:paraId="095C735F" w14:textId="77777777" w:rsidR="00485066" w:rsidRPr="008C21CF" w:rsidRDefault="00485066" w:rsidP="005279BC">
            <w:pPr>
              <w:rPr>
                <w:rFonts w:asciiTheme="majorHAnsi" w:hAnsiTheme="majorHAnsi" w:cstheme="majorHAnsi"/>
              </w:rPr>
            </w:pPr>
            <w:r w:rsidRPr="008C21CF">
              <w:rPr>
                <w:rFonts w:asciiTheme="majorHAnsi" w:hAnsiTheme="majorHAnsi" w:cstheme="majorHAnsi"/>
              </w:rPr>
              <w:t>[Applicant response]</w:t>
            </w:r>
          </w:p>
          <w:p w14:paraId="36A6DC12" w14:textId="77777777" w:rsidR="00485066" w:rsidRPr="008C21CF" w:rsidRDefault="00485066" w:rsidP="005279BC">
            <w:pPr>
              <w:rPr>
                <w:rFonts w:asciiTheme="majorHAnsi" w:hAnsiTheme="majorHAnsi" w:cstheme="majorHAnsi"/>
              </w:rPr>
            </w:pPr>
          </w:p>
        </w:tc>
      </w:tr>
    </w:tbl>
    <w:p w14:paraId="350D5D6B" w14:textId="77777777" w:rsidR="00485066" w:rsidRPr="008C21CF" w:rsidRDefault="00485066" w:rsidP="00485066">
      <w:pPr>
        <w:pStyle w:val="affff3"/>
        <w:spacing w:after="0" w:line="240" w:lineRule="auto"/>
        <w:ind w:left="360"/>
        <w:jc w:val="both"/>
        <w:rPr>
          <w:rFonts w:asciiTheme="majorHAnsi" w:hAnsiTheme="majorHAnsi" w:cstheme="majorHAnsi"/>
          <w:bCs/>
          <w:iCs/>
        </w:rPr>
      </w:pPr>
    </w:p>
    <w:p w14:paraId="4ACA8E52" w14:textId="77777777" w:rsidR="005422B6" w:rsidRPr="00B271DB" w:rsidRDefault="005422B6">
      <w:pPr>
        <w:spacing w:after="160" w:line="0" w:lineRule="auto"/>
        <w:rPr>
          <w:rFonts w:cs="Arial"/>
        </w:rPr>
      </w:pPr>
    </w:p>
    <w:p w14:paraId="2891EDF1" w14:textId="0EA5130E" w:rsidR="00485066" w:rsidRPr="003860E7" w:rsidRDefault="00824D66" w:rsidP="00824D66">
      <w:pPr>
        <w:pStyle w:val="1"/>
        <w:numPr>
          <w:ilvl w:val="0"/>
          <w:numId w:val="0"/>
        </w:numPr>
        <w:pBdr>
          <w:top w:val="single" w:sz="6" w:space="1" w:color="D9D9D9" w:themeColor="background1" w:themeShade="D9"/>
          <w:left w:val="single" w:sz="6" w:space="4" w:color="D9D9D9" w:themeColor="background1" w:themeShade="D9"/>
          <w:bottom w:val="single" w:sz="6" w:space="1" w:color="D9D9D9" w:themeColor="background1" w:themeShade="D9"/>
          <w:right w:val="single" w:sz="6" w:space="4" w:color="D9D9D9" w:themeColor="background1" w:themeShade="D9"/>
        </w:pBdr>
        <w:shd w:val="clear" w:color="auto" w:fill="D9D9D9" w:themeFill="background1" w:themeFillShade="D9"/>
        <w:spacing w:before="0" w:after="0"/>
        <w:ind w:left="567" w:hanging="567"/>
        <w:rPr>
          <w:b/>
          <w:sz w:val="30"/>
        </w:rPr>
      </w:pPr>
      <w:r>
        <w:rPr>
          <w:b/>
          <w:sz w:val="30"/>
        </w:rPr>
        <w:t xml:space="preserve">Section 3: </w:t>
      </w:r>
      <w:r w:rsidR="00485066" w:rsidRPr="003860E7">
        <w:rPr>
          <w:b/>
          <w:sz w:val="30"/>
        </w:rPr>
        <w:t>Co-Financing, Sustainability and Transition</w:t>
      </w:r>
    </w:p>
    <w:p w14:paraId="2447389A" w14:textId="73F48D3C" w:rsidR="002B6A8E" w:rsidRDefault="002B6A8E" w:rsidP="002B6A8E"/>
    <w:p w14:paraId="4016BDCF" w14:textId="440E29CB" w:rsidR="002D5A90" w:rsidRPr="00A76BD8" w:rsidRDefault="00CA7D8E" w:rsidP="00A76BD8">
      <w:pPr>
        <w:jc w:val="both"/>
      </w:pPr>
      <w:bookmarkStart w:id="16" w:name="_Hlk13737743"/>
      <w:r>
        <w:t xml:space="preserve">To respond to the questions below, refer to the </w:t>
      </w:r>
      <w:r w:rsidR="002B6A8E" w:rsidRPr="00F36913">
        <w:rPr>
          <w:i/>
        </w:rPr>
        <w:t>Instructions</w:t>
      </w:r>
      <w:r w:rsidRPr="00CA7D8E">
        <w:t xml:space="preserve">, </w:t>
      </w:r>
      <w:r w:rsidRPr="00A76BD8">
        <w:t xml:space="preserve">the domestic financing </w:t>
      </w:r>
      <w:r w:rsidRPr="007364E8">
        <w:t xml:space="preserve">section of the </w:t>
      </w:r>
      <w:r w:rsidRPr="003844E1">
        <w:t>allocation letter</w:t>
      </w:r>
      <w:r w:rsidR="00A76BD8" w:rsidRPr="007364E8">
        <w:t>,</w:t>
      </w:r>
      <w:r w:rsidR="00411CF4" w:rsidRPr="007364E8">
        <w:t xml:space="preserve"> the</w:t>
      </w:r>
      <w:r w:rsidR="00A76BD8" w:rsidRPr="007364E8">
        <w:t xml:space="preserve"> </w:t>
      </w:r>
      <w:hyperlink r:id="rId16" w:history="1">
        <w:r w:rsidR="00411CF4" w:rsidRPr="007364E8">
          <w:rPr>
            <w:rStyle w:val="af9"/>
            <w:rFonts w:cs="Arial"/>
          </w:rPr>
          <w:t>Sustainability, Transition and Co-Financing Guidance Note</w:t>
        </w:r>
      </w:hyperlink>
      <w:r w:rsidR="00411CF4" w:rsidRPr="007364E8">
        <w:rPr>
          <w:rStyle w:val="af9"/>
          <w:rFonts w:cs="Arial"/>
        </w:rPr>
        <w:t>,</w:t>
      </w:r>
      <w:r w:rsidR="00411CF4" w:rsidRPr="007364E8">
        <w:rPr>
          <w:rStyle w:val="af9"/>
          <w:rFonts w:cs="Arial"/>
          <w:u w:val="none"/>
        </w:rPr>
        <w:t xml:space="preserve"> </w:t>
      </w:r>
      <w:r w:rsidR="00B74DAA" w:rsidRPr="007364E8">
        <w:rPr>
          <w:b/>
        </w:rPr>
        <w:t>Funding Landscape T</w:t>
      </w:r>
      <w:r w:rsidR="00A76BD8" w:rsidRPr="007364E8">
        <w:rPr>
          <w:b/>
        </w:rPr>
        <w:t>able(s)</w:t>
      </w:r>
      <w:r w:rsidR="00A76BD8" w:rsidRPr="007364E8">
        <w:t xml:space="preserve">, </w:t>
      </w:r>
      <w:r w:rsidR="00A76BD8" w:rsidRPr="007364E8">
        <w:rPr>
          <w:b/>
        </w:rPr>
        <w:lastRenderedPageBreak/>
        <w:t>Programmatic Gap Table(s)</w:t>
      </w:r>
      <w:r w:rsidR="00A76BD8" w:rsidRPr="007364E8">
        <w:t xml:space="preserve">, </w:t>
      </w:r>
      <w:r w:rsidR="00A76BD8" w:rsidRPr="007364E8">
        <w:rPr>
          <w:b/>
        </w:rPr>
        <w:t>Transition Workplan</w:t>
      </w:r>
      <w:r w:rsidR="00A76BD8" w:rsidRPr="007364E8">
        <w:t xml:space="preserve"> and </w:t>
      </w:r>
      <w:r w:rsidR="00A76BD8" w:rsidRPr="007364E8">
        <w:rPr>
          <w:b/>
        </w:rPr>
        <w:t>Transition Readiness Assessment</w:t>
      </w:r>
      <w:r w:rsidR="00B74DAA" w:rsidRPr="007364E8">
        <w:rPr>
          <w:b/>
        </w:rPr>
        <w:t xml:space="preserve"> </w:t>
      </w:r>
      <w:r w:rsidR="00B74DAA" w:rsidRPr="007364E8">
        <w:t>(if available)</w:t>
      </w:r>
      <w:r w:rsidR="00851B7F">
        <w:rPr>
          <w:rStyle w:val="af"/>
        </w:rPr>
        <w:footnoteReference w:id="43"/>
      </w:r>
      <w:r w:rsidR="002B6A8E" w:rsidRPr="007364E8">
        <w:t>.</w:t>
      </w:r>
      <w:r w:rsidR="002B6A8E" w:rsidRPr="00A76BD8">
        <w:t xml:space="preserve"> </w:t>
      </w:r>
      <w:bookmarkEnd w:id="16"/>
    </w:p>
    <w:p w14:paraId="0161FC03" w14:textId="7775A55B" w:rsidR="00485066" w:rsidRPr="008C21CF" w:rsidRDefault="00485066" w:rsidP="002D5A90">
      <w:pPr>
        <w:spacing w:after="0" w:line="240" w:lineRule="auto"/>
        <w:jc w:val="both"/>
        <w:rPr>
          <w:rFonts w:asciiTheme="majorHAnsi" w:hAnsiTheme="majorHAnsi" w:cstheme="majorHAnsi"/>
        </w:rPr>
      </w:pPr>
    </w:p>
    <w:p w14:paraId="55B8BD21" w14:textId="702FE2D6" w:rsidR="00485066" w:rsidRPr="00824D66" w:rsidRDefault="00824D66" w:rsidP="00824D66">
      <w:pPr>
        <w:shd w:val="clear" w:color="auto" w:fill="D9D9D9" w:themeFill="background1" w:themeFillShade="D9"/>
        <w:spacing w:line="240" w:lineRule="auto"/>
        <w:rPr>
          <w:rFonts w:asciiTheme="majorHAnsi" w:hAnsiTheme="majorHAnsi" w:cstheme="majorHAnsi"/>
          <w:b/>
        </w:rPr>
      </w:pPr>
      <w:r>
        <w:rPr>
          <w:rFonts w:asciiTheme="majorHAnsi" w:hAnsiTheme="majorHAnsi" w:cstheme="majorHAnsi"/>
          <w:b/>
          <w:shd w:val="clear" w:color="auto" w:fill="D9D9D9" w:themeFill="background1" w:themeFillShade="D9"/>
        </w:rPr>
        <w:t xml:space="preserve">3.1 </w:t>
      </w:r>
      <w:r w:rsidR="00485066" w:rsidRPr="00824D66">
        <w:rPr>
          <w:rFonts w:asciiTheme="majorHAnsi" w:hAnsiTheme="majorHAnsi" w:cstheme="majorHAnsi"/>
          <w:b/>
          <w:shd w:val="clear" w:color="auto" w:fill="D9D9D9" w:themeFill="background1" w:themeFillShade="D9"/>
        </w:rPr>
        <w:t>Co-Financing</w:t>
      </w:r>
    </w:p>
    <w:p w14:paraId="2B3C81E7" w14:textId="77777777" w:rsidR="00485066" w:rsidRPr="008C21CF" w:rsidRDefault="00485066" w:rsidP="00485066">
      <w:pPr>
        <w:pStyle w:val="affff3"/>
        <w:spacing w:before="120" w:after="0" w:line="240" w:lineRule="auto"/>
        <w:ind w:left="360"/>
        <w:jc w:val="both"/>
        <w:rPr>
          <w:rFonts w:asciiTheme="majorHAnsi" w:eastAsia="SimSun" w:hAnsiTheme="majorHAnsi" w:cstheme="majorHAnsi"/>
          <w:lang w:eastAsia="zh-CN"/>
        </w:rPr>
      </w:pPr>
    </w:p>
    <w:p w14:paraId="63B6894F" w14:textId="520C6AD4" w:rsidR="00485066" w:rsidRPr="00971DBD" w:rsidRDefault="00485066" w:rsidP="008B5FE3">
      <w:pPr>
        <w:pStyle w:val="affff3"/>
        <w:numPr>
          <w:ilvl w:val="0"/>
          <w:numId w:val="19"/>
        </w:numPr>
        <w:spacing w:after="0" w:line="240" w:lineRule="auto"/>
        <w:ind w:left="360"/>
        <w:contextualSpacing w:val="0"/>
        <w:jc w:val="both"/>
        <w:rPr>
          <w:rFonts w:asciiTheme="majorHAnsi" w:eastAsia="SimSun" w:hAnsiTheme="majorHAnsi" w:cstheme="majorHAnsi"/>
          <w:lang w:eastAsia="zh-CN"/>
        </w:rPr>
      </w:pPr>
      <w:r w:rsidRPr="008C21CF">
        <w:rPr>
          <w:rFonts w:asciiTheme="majorHAnsi" w:eastAsia="Times New Roman" w:hAnsiTheme="majorHAnsi" w:cstheme="majorHAnsi"/>
        </w:rPr>
        <w:t xml:space="preserve">Have </w:t>
      </w:r>
      <w:r w:rsidRPr="0096146C">
        <w:rPr>
          <w:rFonts w:asciiTheme="majorHAnsi" w:eastAsia="Times New Roman" w:hAnsiTheme="majorHAnsi" w:cstheme="majorHAnsi"/>
          <w:b/>
        </w:rPr>
        <w:t>co-financing commitments</w:t>
      </w:r>
      <w:r w:rsidRPr="008C21CF">
        <w:rPr>
          <w:rFonts w:asciiTheme="majorHAnsi" w:eastAsia="Times New Roman" w:hAnsiTheme="majorHAnsi" w:cstheme="majorHAnsi"/>
        </w:rPr>
        <w:t xml:space="preserve"> for the </w:t>
      </w:r>
      <w:r w:rsidR="00A9213B" w:rsidRPr="0096146C">
        <w:rPr>
          <w:rFonts w:asciiTheme="majorHAnsi" w:eastAsia="Times New Roman" w:hAnsiTheme="majorHAnsi" w:cstheme="majorHAnsi"/>
          <w:b/>
        </w:rPr>
        <w:t>current</w:t>
      </w:r>
      <w:r w:rsidRPr="008C21CF">
        <w:rPr>
          <w:rFonts w:asciiTheme="majorHAnsi" w:eastAsia="Times New Roman" w:hAnsiTheme="majorHAnsi" w:cstheme="majorHAnsi"/>
        </w:rPr>
        <w:t xml:space="preserve"> allocation period been realized?</w:t>
      </w:r>
    </w:p>
    <w:p w14:paraId="416B2593" w14:textId="77777777" w:rsidR="00971DBD" w:rsidRPr="00B74DAA" w:rsidRDefault="00971DBD" w:rsidP="00971DBD">
      <w:pPr>
        <w:pStyle w:val="affff3"/>
        <w:spacing w:after="0" w:line="240" w:lineRule="auto"/>
        <w:ind w:left="360"/>
        <w:contextualSpacing w:val="0"/>
        <w:jc w:val="both"/>
        <w:rPr>
          <w:rFonts w:asciiTheme="majorHAnsi" w:eastAsia="SimSun" w:hAnsiTheme="majorHAnsi" w:cstheme="majorHAnsi"/>
          <w:lang w:eastAsia="zh-CN"/>
        </w:rPr>
      </w:pPr>
    </w:p>
    <w:p w14:paraId="6CBE9A2D" w14:textId="59B5976D" w:rsidR="00485066" w:rsidRPr="008C21CF" w:rsidRDefault="007161FD" w:rsidP="00971DBD">
      <w:pPr>
        <w:pStyle w:val="affff3"/>
        <w:spacing w:after="0" w:line="240" w:lineRule="auto"/>
        <w:ind w:left="360" w:firstLine="360"/>
        <w:contextualSpacing w:val="0"/>
        <w:jc w:val="both"/>
        <w:rPr>
          <w:rFonts w:asciiTheme="majorHAnsi" w:hAnsiTheme="majorHAnsi" w:cstheme="majorHAnsi"/>
          <w:bCs/>
          <w:iCs/>
        </w:rPr>
      </w:pPr>
      <w:sdt>
        <w:sdtPr>
          <w:rPr>
            <w:rFonts w:asciiTheme="majorHAnsi" w:hAnsiTheme="majorHAnsi" w:cstheme="majorHAnsi"/>
            <w:bCs/>
            <w:iCs/>
          </w:rPr>
          <w:id w:val="924852934"/>
          <w14:checkbox>
            <w14:checked w14:val="1"/>
            <w14:checkedState w14:val="2612" w14:font="MS Gothic"/>
            <w14:uncheckedState w14:val="2610" w14:font="MS Gothic"/>
          </w14:checkbox>
        </w:sdtPr>
        <w:sdtEndPr/>
        <w:sdtContent>
          <w:r w:rsidR="00F00FAC">
            <w:rPr>
              <w:rFonts w:ascii="MS Gothic" w:eastAsia="MS Gothic" w:hAnsi="MS Gothic" w:cstheme="majorHAnsi" w:hint="eastAsia"/>
              <w:bCs/>
              <w:iCs/>
            </w:rPr>
            <w:t>☒</w:t>
          </w:r>
        </w:sdtContent>
      </w:sdt>
      <w:r w:rsidR="00485066" w:rsidRPr="008C21CF">
        <w:rPr>
          <w:rFonts w:asciiTheme="majorHAnsi" w:hAnsiTheme="majorHAnsi" w:cstheme="majorHAnsi"/>
          <w:bCs/>
          <w:iCs/>
        </w:rPr>
        <w:t xml:space="preserve"> Yes         </w:t>
      </w:r>
      <w:sdt>
        <w:sdtPr>
          <w:rPr>
            <w:rFonts w:asciiTheme="majorHAnsi" w:hAnsiTheme="majorHAnsi" w:cstheme="majorHAnsi"/>
            <w:bCs/>
            <w:iCs/>
          </w:rPr>
          <w:id w:val="1334948662"/>
          <w14:checkbox>
            <w14:checked w14:val="0"/>
            <w14:checkedState w14:val="2612" w14:font="MS Gothic"/>
            <w14:uncheckedState w14:val="2610" w14:font="MS Gothic"/>
          </w14:checkbox>
        </w:sdtPr>
        <w:sdtEndPr/>
        <w:sdtContent>
          <w:r w:rsidR="00485066" w:rsidRPr="001D57CE">
            <w:rPr>
              <w:rFonts w:ascii="Segoe UI Symbol" w:hAnsi="Segoe UI Symbol" w:cs="Segoe UI Symbol"/>
              <w:bCs/>
              <w:iCs/>
            </w:rPr>
            <w:t>☐</w:t>
          </w:r>
        </w:sdtContent>
      </w:sdt>
      <w:r w:rsidR="00485066" w:rsidRPr="008C21CF">
        <w:rPr>
          <w:rFonts w:asciiTheme="majorHAnsi" w:hAnsiTheme="majorHAnsi" w:cstheme="majorHAnsi"/>
          <w:bCs/>
          <w:iCs/>
        </w:rPr>
        <w:t xml:space="preserve"> No</w:t>
      </w:r>
    </w:p>
    <w:p w14:paraId="672DA190" w14:textId="77777777" w:rsidR="00485066" w:rsidRPr="008C21CF" w:rsidRDefault="00485066" w:rsidP="00971DBD">
      <w:pPr>
        <w:pStyle w:val="affff3"/>
        <w:spacing w:after="0" w:line="240" w:lineRule="auto"/>
        <w:ind w:left="996"/>
        <w:contextualSpacing w:val="0"/>
        <w:jc w:val="both"/>
        <w:rPr>
          <w:rFonts w:asciiTheme="majorHAnsi" w:eastAsia="Times New Roman" w:hAnsiTheme="majorHAnsi" w:cstheme="majorHAnsi"/>
        </w:rPr>
      </w:pPr>
    </w:p>
    <w:p w14:paraId="5C9BFCD5" w14:textId="6A2895C5" w:rsidR="00485066" w:rsidRPr="008C21CF" w:rsidRDefault="00485066" w:rsidP="00971DBD">
      <w:pPr>
        <w:spacing w:after="0" w:line="240" w:lineRule="auto"/>
        <w:ind w:left="360"/>
        <w:jc w:val="both"/>
        <w:rPr>
          <w:rFonts w:asciiTheme="majorHAnsi" w:eastAsia="Times New Roman" w:hAnsiTheme="majorHAnsi" w:cstheme="majorHAnsi"/>
        </w:rPr>
      </w:pPr>
      <w:r w:rsidRPr="00B2724B">
        <w:rPr>
          <w:rFonts w:asciiTheme="majorHAnsi" w:eastAsia="Times New Roman" w:hAnsiTheme="majorHAnsi" w:cstheme="majorHAnsi"/>
        </w:rPr>
        <w:t>If</w:t>
      </w:r>
      <w:r w:rsidRPr="008C21CF">
        <w:rPr>
          <w:rFonts w:asciiTheme="majorHAnsi" w:eastAsia="Times New Roman" w:hAnsiTheme="majorHAnsi" w:cstheme="majorHAnsi"/>
          <w:b/>
        </w:rPr>
        <w:t xml:space="preserve"> yes</w:t>
      </w:r>
      <w:r w:rsidRPr="008C21CF">
        <w:rPr>
          <w:rFonts w:asciiTheme="majorHAnsi" w:eastAsia="Times New Roman" w:hAnsiTheme="majorHAnsi" w:cstheme="majorHAnsi"/>
        </w:rPr>
        <w:t xml:space="preserve">, attach supporting documentation demonstrating the extent to which co-financing commitments have been met. </w:t>
      </w:r>
    </w:p>
    <w:p w14:paraId="486BFDD7" w14:textId="77777777" w:rsidR="00AA45C3" w:rsidRDefault="00AA45C3" w:rsidP="00971DBD">
      <w:pPr>
        <w:spacing w:after="0" w:line="240" w:lineRule="auto"/>
        <w:ind w:left="360"/>
        <w:rPr>
          <w:rFonts w:asciiTheme="majorHAnsi" w:eastAsia="Times New Roman" w:hAnsiTheme="majorHAnsi" w:cstheme="majorHAnsi"/>
          <w:b/>
        </w:rPr>
      </w:pPr>
    </w:p>
    <w:p w14:paraId="06DE97B2" w14:textId="49EC31C7" w:rsidR="00485066" w:rsidRPr="008C21CF" w:rsidRDefault="00485066" w:rsidP="00971DBD">
      <w:pPr>
        <w:spacing w:after="0" w:line="240" w:lineRule="auto"/>
        <w:ind w:left="360"/>
        <w:rPr>
          <w:rFonts w:asciiTheme="majorHAnsi" w:eastAsia="Times New Roman" w:hAnsiTheme="majorHAnsi" w:cstheme="majorHAnsi"/>
        </w:rPr>
      </w:pPr>
      <w:r w:rsidRPr="00B2724B">
        <w:rPr>
          <w:rFonts w:asciiTheme="majorHAnsi" w:eastAsia="Times New Roman" w:hAnsiTheme="majorHAnsi" w:cstheme="majorHAnsi"/>
        </w:rPr>
        <w:t xml:space="preserve">If </w:t>
      </w:r>
      <w:r w:rsidRPr="008C21CF">
        <w:rPr>
          <w:rFonts w:asciiTheme="majorHAnsi" w:eastAsia="Times New Roman" w:hAnsiTheme="majorHAnsi" w:cstheme="majorHAnsi"/>
          <w:b/>
        </w:rPr>
        <w:t>no</w:t>
      </w:r>
      <w:r w:rsidRPr="008C21CF">
        <w:rPr>
          <w:rFonts w:asciiTheme="majorHAnsi" w:eastAsia="Times New Roman" w:hAnsiTheme="majorHAnsi" w:cstheme="majorHAnsi"/>
        </w:rPr>
        <w:t xml:space="preserve">, </w:t>
      </w:r>
      <w:r w:rsidR="00084B50">
        <w:rPr>
          <w:rFonts w:asciiTheme="majorHAnsi" w:eastAsia="Times New Roman" w:hAnsiTheme="majorHAnsi" w:cstheme="majorHAnsi"/>
        </w:rPr>
        <w:t>explain why</w:t>
      </w:r>
      <w:r w:rsidRPr="008C21CF">
        <w:rPr>
          <w:rFonts w:asciiTheme="majorHAnsi" w:eastAsia="Times New Roman" w:hAnsiTheme="majorHAnsi" w:cstheme="majorHAnsi"/>
        </w:rPr>
        <w:t xml:space="preserve"> and outline the impact of this situation on the program</w:t>
      </w:r>
      <w:r w:rsidR="008F6B82" w:rsidRPr="008C21CF">
        <w:rPr>
          <w:rFonts w:asciiTheme="majorHAnsi" w:eastAsia="Times New Roman" w:hAnsiTheme="majorHAnsi" w:cstheme="majorHAnsi"/>
        </w:rPr>
        <w:t>.</w:t>
      </w:r>
    </w:p>
    <w:p w14:paraId="1EBAE844" w14:textId="77777777" w:rsidR="00572198" w:rsidRPr="008C21CF" w:rsidRDefault="00572198" w:rsidP="00971DBD">
      <w:pPr>
        <w:spacing w:after="0" w:line="240" w:lineRule="auto"/>
        <w:rPr>
          <w:rFonts w:asciiTheme="majorHAnsi" w:eastAsia="Times New Roman" w:hAnsiTheme="majorHAnsi" w:cstheme="majorHAnsi"/>
        </w:rPr>
      </w:pPr>
    </w:p>
    <w:tbl>
      <w:tblPr>
        <w:tblStyle w:val="aa"/>
        <w:tblW w:w="0" w:type="auto"/>
        <w:tblLook w:val="04A0" w:firstRow="1" w:lastRow="0" w:firstColumn="1" w:lastColumn="0" w:noHBand="0" w:noVBand="1"/>
      </w:tblPr>
      <w:tblGrid>
        <w:gridCol w:w="10456"/>
      </w:tblGrid>
      <w:tr w:rsidR="00485066" w:rsidRPr="001D57CE" w14:paraId="1C80D382" w14:textId="77777777" w:rsidTr="005279BC">
        <w:tc>
          <w:tcPr>
            <w:tcW w:w="10790" w:type="dxa"/>
          </w:tcPr>
          <w:p w14:paraId="789E483C" w14:textId="4A4201AB" w:rsidR="00485066" w:rsidRPr="008C21CF" w:rsidRDefault="00F00FAC" w:rsidP="005279BC">
            <w:pPr>
              <w:rPr>
                <w:rFonts w:asciiTheme="majorHAnsi" w:hAnsiTheme="majorHAnsi" w:cstheme="majorHAnsi"/>
              </w:rPr>
            </w:pPr>
            <w:r>
              <w:rPr>
                <w:rFonts w:asciiTheme="minorHAnsi" w:hAnsiTheme="minorHAnsi"/>
                <w:sz w:val="20"/>
                <w:lang w:val="en-GB"/>
              </w:rPr>
              <w:t>The Letter of the</w:t>
            </w:r>
            <w:r w:rsidRPr="00436195">
              <w:rPr>
                <w:rFonts w:asciiTheme="minorHAnsi" w:hAnsiTheme="minorHAnsi"/>
                <w:sz w:val="20"/>
                <w:lang w:val="en-GB"/>
              </w:rPr>
              <w:t xml:space="preserve"> </w:t>
            </w:r>
            <w:proofErr w:type="spellStart"/>
            <w:r w:rsidRPr="00436195">
              <w:rPr>
                <w:rFonts w:asciiTheme="minorHAnsi" w:hAnsiTheme="minorHAnsi"/>
                <w:sz w:val="20"/>
                <w:lang w:val="en-GB"/>
              </w:rPr>
              <w:t>MoH</w:t>
            </w:r>
            <w:proofErr w:type="spellEnd"/>
            <w:r w:rsidRPr="00436195">
              <w:rPr>
                <w:rFonts w:asciiTheme="minorHAnsi" w:hAnsiTheme="minorHAnsi"/>
                <w:sz w:val="20"/>
                <w:lang w:val="en-GB"/>
              </w:rPr>
              <w:t xml:space="preserve"> </w:t>
            </w:r>
            <w:r>
              <w:rPr>
                <w:rFonts w:asciiTheme="minorHAnsi" w:hAnsiTheme="minorHAnsi"/>
                <w:sz w:val="20"/>
                <w:lang w:val="en-GB"/>
              </w:rPr>
              <w:t xml:space="preserve">of the Kyrgyz Republic </w:t>
            </w:r>
            <w:r w:rsidRPr="00436195">
              <w:rPr>
                <w:rFonts w:asciiTheme="minorHAnsi" w:hAnsiTheme="minorHAnsi"/>
                <w:sz w:val="20"/>
                <w:lang w:val="en-GB"/>
              </w:rPr>
              <w:t>№ 03-1/1-2605 as of 10 March 2020 on implementing commitments on domestic co</w:t>
            </w:r>
            <w:r>
              <w:rPr>
                <w:rFonts w:asciiTheme="minorHAnsi" w:hAnsiTheme="minorHAnsi"/>
                <w:sz w:val="20"/>
                <w:lang w:val="en-GB"/>
              </w:rPr>
              <w:t xml:space="preserve">-financing and the Letter of the </w:t>
            </w:r>
            <w:proofErr w:type="spellStart"/>
            <w:r w:rsidRPr="00436195">
              <w:rPr>
                <w:rFonts w:asciiTheme="minorHAnsi" w:hAnsiTheme="minorHAnsi"/>
                <w:sz w:val="20"/>
                <w:lang w:val="en-GB"/>
              </w:rPr>
              <w:t>MoF</w:t>
            </w:r>
            <w:proofErr w:type="spellEnd"/>
            <w:r w:rsidRPr="00436195">
              <w:rPr>
                <w:rFonts w:asciiTheme="minorHAnsi" w:hAnsiTheme="minorHAnsi"/>
                <w:sz w:val="20"/>
                <w:lang w:val="en-GB"/>
              </w:rPr>
              <w:t xml:space="preserve"> </w:t>
            </w:r>
            <w:r>
              <w:rPr>
                <w:rFonts w:asciiTheme="minorHAnsi" w:hAnsiTheme="minorHAnsi"/>
                <w:sz w:val="20"/>
                <w:lang w:val="en-GB"/>
              </w:rPr>
              <w:t xml:space="preserve">of the Kyrgyz Republic </w:t>
            </w:r>
            <w:r w:rsidRPr="00436195">
              <w:rPr>
                <w:rFonts w:asciiTheme="minorHAnsi" w:hAnsiTheme="minorHAnsi"/>
                <w:sz w:val="20"/>
                <w:lang w:val="en-GB"/>
              </w:rPr>
              <w:t>№ 13-2-2/1603 as of 11 February 2020 on</w:t>
            </w:r>
            <w:r>
              <w:rPr>
                <w:rFonts w:asciiTheme="minorHAnsi" w:hAnsiTheme="minorHAnsi"/>
                <w:sz w:val="20"/>
                <w:lang w:val="en-GB"/>
              </w:rPr>
              <w:t xml:space="preserve"> its</w:t>
            </w:r>
            <w:r w:rsidRPr="00436195">
              <w:rPr>
                <w:rFonts w:asciiTheme="minorHAnsi" w:hAnsiTheme="minorHAnsi"/>
                <w:sz w:val="20"/>
                <w:lang w:val="en-GB"/>
              </w:rPr>
              <w:t xml:space="preserve"> willingness to meet the commitment to increase domestic financing of HIV and TB program</w:t>
            </w:r>
            <w:r>
              <w:rPr>
                <w:rFonts w:asciiTheme="minorHAnsi" w:hAnsiTheme="minorHAnsi"/>
                <w:sz w:val="20"/>
                <w:lang w:val="en-GB"/>
              </w:rPr>
              <w:t>me</w:t>
            </w:r>
            <w:r w:rsidRPr="00436195">
              <w:rPr>
                <w:rFonts w:asciiTheme="minorHAnsi" w:hAnsiTheme="minorHAnsi"/>
                <w:sz w:val="20"/>
                <w:lang w:val="en-GB"/>
              </w:rPr>
              <w:t xml:space="preserve">s during 2021-2023 </w:t>
            </w:r>
            <w:proofErr w:type="gramStart"/>
            <w:r w:rsidRPr="00436195">
              <w:rPr>
                <w:rFonts w:asciiTheme="minorHAnsi" w:hAnsiTheme="minorHAnsi"/>
                <w:sz w:val="20"/>
                <w:lang w:val="en-GB"/>
              </w:rPr>
              <w:t>are enclosed</w:t>
            </w:r>
            <w:proofErr w:type="gramEnd"/>
            <w:r w:rsidRPr="00436195">
              <w:rPr>
                <w:rFonts w:asciiTheme="minorHAnsi" w:hAnsiTheme="minorHAnsi"/>
                <w:sz w:val="20"/>
                <w:lang w:val="en-GB"/>
              </w:rPr>
              <w:t>.</w:t>
            </w:r>
          </w:p>
        </w:tc>
      </w:tr>
    </w:tbl>
    <w:p w14:paraId="72E099AF" w14:textId="77777777" w:rsidR="00824D66" w:rsidRPr="00824D66" w:rsidRDefault="00824D66" w:rsidP="00824D66">
      <w:pPr>
        <w:pStyle w:val="affff3"/>
        <w:spacing w:before="120" w:after="0" w:line="240" w:lineRule="auto"/>
        <w:ind w:left="360"/>
        <w:jc w:val="both"/>
        <w:rPr>
          <w:rFonts w:asciiTheme="majorHAnsi" w:eastAsia="SimSun" w:hAnsiTheme="majorHAnsi" w:cstheme="majorHAnsi"/>
          <w:lang w:eastAsia="zh-CN"/>
        </w:rPr>
      </w:pPr>
    </w:p>
    <w:p w14:paraId="29B5683E" w14:textId="5AAEAB01" w:rsidR="00485066" w:rsidRPr="00971DBD" w:rsidRDefault="00485066" w:rsidP="008B5FE3">
      <w:pPr>
        <w:pStyle w:val="affff3"/>
        <w:numPr>
          <w:ilvl w:val="0"/>
          <w:numId w:val="19"/>
        </w:numPr>
        <w:spacing w:before="120" w:after="0" w:line="240" w:lineRule="auto"/>
        <w:ind w:left="360"/>
        <w:jc w:val="both"/>
        <w:rPr>
          <w:rFonts w:asciiTheme="majorHAnsi" w:eastAsia="SimSun" w:hAnsiTheme="majorHAnsi" w:cstheme="majorHAnsi"/>
          <w:lang w:eastAsia="zh-CN"/>
        </w:rPr>
      </w:pPr>
      <w:r w:rsidRPr="008C21CF">
        <w:rPr>
          <w:rFonts w:asciiTheme="majorHAnsi" w:eastAsia="Times New Roman" w:hAnsiTheme="majorHAnsi" w:cstheme="majorHAnsi"/>
        </w:rPr>
        <w:t xml:space="preserve">Do </w:t>
      </w:r>
      <w:r w:rsidRPr="0096146C">
        <w:rPr>
          <w:rFonts w:asciiTheme="majorHAnsi" w:eastAsia="Times New Roman" w:hAnsiTheme="majorHAnsi" w:cstheme="majorHAnsi"/>
          <w:b/>
        </w:rPr>
        <w:t xml:space="preserve">co-financing commitments </w:t>
      </w:r>
      <w:r w:rsidRPr="008C21CF">
        <w:rPr>
          <w:rFonts w:asciiTheme="majorHAnsi" w:eastAsia="Times New Roman" w:hAnsiTheme="majorHAnsi" w:cstheme="majorHAnsi"/>
        </w:rPr>
        <w:t xml:space="preserve">for the </w:t>
      </w:r>
      <w:r w:rsidR="00A9213B" w:rsidRPr="0096146C">
        <w:rPr>
          <w:rFonts w:asciiTheme="majorHAnsi" w:eastAsia="Times New Roman" w:hAnsiTheme="majorHAnsi" w:cstheme="majorHAnsi"/>
          <w:b/>
        </w:rPr>
        <w:t>next</w:t>
      </w:r>
      <w:r w:rsidRPr="008C21CF">
        <w:rPr>
          <w:rFonts w:asciiTheme="majorHAnsi" w:eastAsia="Times New Roman" w:hAnsiTheme="majorHAnsi" w:cstheme="majorHAnsi"/>
        </w:rPr>
        <w:t xml:space="preserve"> allocation period meet minimum requirements to fully access the co-financing incentive? </w:t>
      </w:r>
    </w:p>
    <w:p w14:paraId="79E3371A" w14:textId="77777777" w:rsidR="00971DBD" w:rsidRPr="00B74DAA" w:rsidRDefault="00971DBD" w:rsidP="00971DBD">
      <w:pPr>
        <w:pStyle w:val="affff3"/>
        <w:spacing w:before="120" w:after="0" w:line="240" w:lineRule="auto"/>
        <w:ind w:left="360"/>
        <w:jc w:val="both"/>
        <w:rPr>
          <w:rFonts w:asciiTheme="majorHAnsi" w:eastAsia="SimSun" w:hAnsiTheme="majorHAnsi" w:cstheme="majorHAnsi"/>
          <w:lang w:eastAsia="zh-CN"/>
        </w:rPr>
      </w:pPr>
    </w:p>
    <w:p w14:paraId="2F6CCEEB" w14:textId="71F70569" w:rsidR="00485066" w:rsidRPr="008C21CF" w:rsidRDefault="007161FD" w:rsidP="00B74DAA">
      <w:pPr>
        <w:pStyle w:val="affff3"/>
        <w:spacing w:before="120" w:after="0" w:line="240" w:lineRule="auto"/>
        <w:ind w:left="360" w:firstLine="360"/>
        <w:jc w:val="both"/>
        <w:rPr>
          <w:rFonts w:asciiTheme="majorHAnsi" w:hAnsiTheme="majorHAnsi" w:cstheme="majorHAnsi"/>
          <w:bCs/>
          <w:iCs/>
        </w:rPr>
      </w:pPr>
      <w:sdt>
        <w:sdtPr>
          <w:rPr>
            <w:rFonts w:asciiTheme="majorHAnsi" w:hAnsiTheme="majorHAnsi" w:cstheme="majorHAnsi"/>
            <w:bCs/>
            <w:iCs/>
          </w:rPr>
          <w:id w:val="-1936279169"/>
          <w14:checkbox>
            <w14:checked w14:val="1"/>
            <w14:checkedState w14:val="2612" w14:font="MS Gothic"/>
            <w14:uncheckedState w14:val="2610" w14:font="MS Gothic"/>
          </w14:checkbox>
        </w:sdtPr>
        <w:sdtEndPr/>
        <w:sdtContent>
          <w:r w:rsidR="00F00FAC">
            <w:rPr>
              <w:rFonts w:ascii="MS Gothic" w:eastAsia="MS Gothic" w:hAnsi="MS Gothic" w:cstheme="majorHAnsi" w:hint="eastAsia"/>
              <w:bCs/>
              <w:iCs/>
            </w:rPr>
            <w:t>☒</w:t>
          </w:r>
        </w:sdtContent>
      </w:sdt>
      <w:r w:rsidR="00485066" w:rsidRPr="008C21CF">
        <w:rPr>
          <w:rFonts w:asciiTheme="majorHAnsi" w:hAnsiTheme="majorHAnsi" w:cstheme="majorHAnsi"/>
          <w:bCs/>
          <w:iCs/>
        </w:rPr>
        <w:t xml:space="preserve"> Yes         </w:t>
      </w:r>
      <w:sdt>
        <w:sdtPr>
          <w:rPr>
            <w:rFonts w:asciiTheme="majorHAnsi" w:hAnsiTheme="majorHAnsi" w:cstheme="majorHAnsi"/>
            <w:bCs/>
            <w:iCs/>
          </w:rPr>
          <w:id w:val="-1870989213"/>
          <w14:checkbox>
            <w14:checked w14:val="0"/>
            <w14:checkedState w14:val="2612" w14:font="MS Gothic"/>
            <w14:uncheckedState w14:val="2610" w14:font="MS Gothic"/>
          </w14:checkbox>
        </w:sdtPr>
        <w:sdtEndPr/>
        <w:sdtContent>
          <w:r w:rsidR="00485066" w:rsidRPr="001D57CE">
            <w:rPr>
              <w:rFonts w:ascii="Segoe UI Symbol" w:hAnsi="Segoe UI Symbol" w:cs="Segoe UI Symbol"/>
              <w:bCs/>
              <w:iCs/>
            </w:rPr>
            <w:t>☐</w:t>
          </w:r>
        </w:sdtContent>
      </w:sdt>
      <w:r w:rsidR="00485066" w:rsidRPr="008C21CF">
        <w:rPr>
          <w:rFonts w:asciiTheme="majorHAnsi" w:hAnsiTheme="majorHAnsi" w:cstheme="majorHAnsi"/>
          <w:bCs/>
          <w:iCs/>
        </w:rPr>
        <w:t xml:space="preserve"> No</w:t>
      </w:r>
    </w:p>
    <w:p w14:paraId="7C4AD047" w14:textId="77777777" w:rsidR="00485066" w:rsidRPr="008C21CF" w:rsidRDefault="00485066" w:rsidP="008C21CF">
      <w:pPr>
        <w:spacing w:after="0"/>
        <w:ind w:hanging="360"/>
        <w:rPr>
          <w:rFonts w:asciiTheme="majorHAnsi" w:hAnsiTheme="majorHAnsi" w:cstheme="majorHAnsi"/>
          <w:bCs/>
          <w:iCs/>
        </w:rPr>
      </w:pPr>
    </w:p>
    <w:p w14:paraId="5D253BDC" w14:textId="0C958A16" w:rsidR="00485066" w:rsidRDefault="00485066" w:rsidP="00971DBD">
      <w:pPr>
        <w:spacing w:after="0"/>
        <w:ind w:left="270"/>
        <w:jc w:val="both"/>
        <w:rPr>
          <w:rFonts w:asciiTheme="majorHAnsi" w:hAnsiTheme="majorHAnsi" w:cstheme="majorHAnsi"/>
        </w:rPr>
      </w:pPr>
      <w:r w:rsidRPr="008C21CF">
        <w:rPr>
          <w:rFonts w:asciiTheme="majorHAnsi" w:hAnsiTheme="majorHAnsi" w:cstheme="majorHAnsi"/>
        </w:rPr>
        <w:t xml:space="preserve">If details on commitments are available, attach supporting documentation demonstrating </w:t>
      </w:r>
      <w:r w:rsidR="00572198" w:rsidRPr="008C21CF">
        <w:rPr>
          <w:rFonts w:asciiTheme="majorHAnsi" w:hAnsiTheme="majorHAnsi" w:cstheme="majorHAnsi"/>
        </w:rPr>
        <w:t>the</w:t>
      </w:r>
      <w:r w:rsidR="00D74BD8">
        <w:rPr>
          <w:rFonts w:asciiTheme="majorHAnsi" w:hAnsiTheme="majorHAnsi" w:cstheme="majorHAnsi"/>
        </w:rPr>
        <w:t xml:space="preserve"> extent to which co-financing commitments have been made</w:t>
      </w:r>
      <w:r w:rsidRPr="008C21CF">
        <w:rPr>
          <w:rFonts w:asciiTheme="majorHAnsi" w:hAnsiTheme="majorHAnsi" w:cstheme="majorHAnsi"/>
        </w:rPr>
        <w:t xml:space="preserve">. </w:t>
      </w:r>
    </w:p>
    <w:p w14:paraId="5CB92519" w14:textId="77777777" w:rsidR="00AA45C3" w:rsidRPr="008C21CF" w:rsidRDefault="00AA45C3" w:rsidP="00971DBD">
      <w:pPr>
        <w:spacing w:after="0"/>
        <w:ind w:left="270"/>
        <w:rPr>
          <w:rFonts w:asciiTheme="majorHAnsi" w:hAnsiTheme="majorHAnsi" w:cstheme="majorHAnsi"/>
        </w:rPr>
      </w:pPr>
    </w:p>
    <w:p w14:paraId="787661BA" w14:textId="16B1E38C" w:rsidR="00485066" w:rsidRPr="008C21CF" w:rsidRDefault="00485066" w:rsidP="00971DBD">
      <w:pPr>
        <w:spacing w:after="0"/>
        <w:ind w:left="270"/>
        <w:rPr>
          <w:rFonts w:asciiTheme="majorHAnsi" w:eastAsia="Times New Roman" w:hAnsiTheme="majorHAnsi" w:cstheme="majorHAnsi"/>
        </w:rPr>
      </w:pPr>
      <w:r w:rsidRPr="008C21CF">
        <w:rPr>
          <w:rFonts w:asciiTheme="majorHAnsi" w:hAnsiTheme="majorHAnsi" w:cstheme="majorHAnsi"/>
          <w:bCs/>
          <w:iCs/>
        </w:rPr>
        <w:t>If co-financing commitments do not meet minimum requirements, explain why</w:t>
      </w:r>
      <w:r w:rsidR="00AA45C3">
        <w:rPr>
          <w:rFonts w:asciiTheme="majorHAnsi" w:eastAsia="Times New Roman" w:hAnsiTheme="majorHAnsi" w:cstheme="majorHAnsi"/>
        </w:rPr>
        <w:t>.</w:t>
      </w:r>
    </w:p>
    <w:p w14:paraId="0DCE7091" w14:textId="77777777" w:rsidR="00BE0F0C" w:rsidRPr="008C21CF" w:rsidRDefault="00BE0F0C" w:rsidP="00882DC3">
      <w:pPr>
        <w:spacing w:after="0"/>
        <w:rPr>
          <w:rFonts w:asciiTheme="majorHAnsi" w:eastAsia="Times New Roman" w:hAnsiTheme="majorHAnsi" w:cstheme="majorHAnsi"/>
        </w:rPr>
      </w:pPr>
    </w:p>
    <w:tbl>
      <w:tblPr>
        <w:tblStyle w:val="aa"/>
        <w:tblW w:w="0" w:type="auto"/>
        <w:tblLook w:val="04A0" w:firstRow="1" w:lastRow="0" w:firstColumn="1" w:lastColumn="0" w:noHBand="0" w:noVBand="1"/>
      </w:tblPr>
      <w:tblGrid>
        <w:gridCol w:w="10456"/>
      </w:tblGrid>
      <w:tr w:rsidR="00485066" w:rsidRPr="001D57CE" w14:paraId="0FCF80E9" w14:textId="77777777" w:rsidTr="005279BC">
        <w:tc>
          <w:tcPr>
            <w:tcW w:w="10790" w:type="dxa"/>
          </w:tcPr>
          <w:p w14:paraId="6B461523" w14:textId="5EEC2758" w:rsidR="00485066" w:rsidRPr="008C21CF" w:rsidRDefault="00F00FAC" w:rsidP="005279BC">
            <w:pPr>
              <w:rPr>
                <w:rFonts w:asciiTheme="majorHAnsi" w:hAnsiTheme="majorHAnsi" w:cstheme="majorHAnsi"/>
              </w:rPr>
            </w:pPr>
            <w:r>
              <w:rPr>
                <w:rFonts w:asciiTheme="minorHAnsi" w:hAnsiTheme="minorHAnsi"/>
                <w:sz w:val="20"/>
                <w:lang w:val="en-GB"/>
              </w:rPr>
              <w:t xml:space="preserve">The Letter of the </w:t>
            </w:r>
            <w:proofErr w:type="spellStart"/>
            <w:r w:rsidRPr="00436195">
              <w:rPr>
                <w:rFonts w:asciiTheme="minorHAnsi" w:hAnsiTheme="minorHAnsi"/>
                <w:sz w:val="20"/>
                <w:lang w:val="en-GB"/>
              </w:rPr>
              <w:t>MoF</w:t>
            </w:r>
            <w:proofErr w:type="spellEnd"/>
            <w:r>
              <w:rPr>
                <w:rFonts w:asciiTheme="minorHAnsi" w:hAnsiTheme="minorHAnsi"/>
                <w:sz w:val="20"/>
                <w:lang w:val="en-GB"/>
              </w:rPr>
              <w:t xml:space="preserve"> of the Kyrgyz Republic</w:t>
            </w:r>
            <w:r w:rsidRPr="00436195">
              <w:rPr>
                <w:rFonts w:asciiTheme="minorHAnsi" w:hAnsiTheme="minorHAnsi"/>
                <w:sz w:val="20"/>
                <w:lang w:val="en-GB"/>
              </w:rPr>
              <w:t xml:space="preserve"> № 13-2-2/1603 as of 11 February 2020 on </w:t>
            </w:r>
            <w:r>
              <w:rPr>
                <w:rFonts w:asciiTheme="minorHAnsi" w:hAnsiTheme="minorHAnsi"/>
                <w:sz w:val="20"/>
                <w:lang w:val="en-GB"/>
              </w:rPr>
              <w:t xml:space="preserve">its </w:t>
            </w:r>
            <w:r w:rsidRPr="00436195">
              <w:rPr>
                <w:rFonts w:asciiTheme="minorHAnsi" w:hAnsiTheme="minorHAnsi"/>
                <w:sz w:val="20"/>
                <w:lang w:val="en-GB"/>
              </w:rPr>
              <w:t>willingness to meet the commitment to increase the domestic financing of HIV and TB program</w:t>
            </w:r>
            <w:r>
              <w:rPr>
                <w:rFonts w:asciiTheme="minorHAnsi" w:hAnsiTheme="minorHAnsi"/>
                <w:sz w:val="20"/>
                <w:lang w:val="en-GB"/>
              </w:rPr>
              <w:t>me</w:t>
            </w:r>
            <w:r w:rsidRPr="00436195">
              <w:rPr>
                <w:rFonts w:asciiTheme="minorHAnsi" w:hAnsiTheme="minorHAnsi"/>
                <w:sz w:val="20"/>
                <w:lang w:val="en-GB"/>
              </w:rPr>
              <w:t>s during 2021-2023.</w:t>
            </w:r>
          </w:p>
        </w:tc>
      </w:tr>
    </w:tbl>
    <w:p w14:paraId="6621B9C8" w14:textId="77777777" w:rsidR="00824D66" w:rsidRPr="008C21CF" w:rsidRDefault="00824D66" w:rsidP="00485066">
      <w:pPr>
        <w:pStyle w:val="affff3"/>
        <w:spacing w:after="0" w:line="240" w:lineRule="auto"/>
        <w:ind w:left="0"/>
        <w:jc w:val="both"/>
        <w:rPr>
          <w:rFonts w:asciiTheme="majorHAnsi" w:eastAsia="Times New Roman" w:hAnsiTheme="majorHAnsi" w:cstheme="majorHAnsi"/>
        </w:rPr>
      </w:pPr>
    </w:p>
    <w:p w14:paraId="29850E31" w14:textId="7D6E57BE" w:rsidR="002B6A8E" w:rsidRPr="0018557F" w:rsidRDefault="00F112AD" w:rsidP="008B5FE3">
      <w:pPr>
        <w:pStyle w:val="affff3"/>
        <w:numPr>
          <w:ilvl w:val="0"/>
          <w:numId w:val="19"/>
        </w:numPr>
        <w:spacing w:after="0" w:line="260" w:lineRule="atLeast"/>
        <w:ind w:left="360"/>
        <w:jc w:val="both"/>
        <w:rPr>
          <w:b/>
        </w:rPr>
      </w:pPr>
      <w:r>
        <w:rPr>
          <w:rFonts w:asciiTheme="majorHAnsi" w:eastAsia="Times New Roman" w:hAnsiTheme="majorHAnsi" w:cstheme="majorHAnsi"/>
        </w:rPr>
        <w:t>Summarize</w:t>
      </w:r>
      <w:r w:rsidR="002B6A8E" w:rsidRPr="005305D5">
        <w:t xml:space="preserve"> the </w:t>
      </w:r>
      <w:r w:rsidR="002B6A8E" w:rsidRPr="0096146C">
        <w:rPr>
          <w:b/>
        </w:rPr>
        <w:t>programmatic areas</w:t>
      </w:r>
      <w:r w:rsidR="002B6A8E" w:rsidRPr="005305D5">
        <w:t xml:space="preserve"> to be supported by domestic co-financing in the </w:t>
      </w:r>
      <w:r w:rsidR="00A9213B">
        <w:t>next</w:t>
      </w:r>
      <w:r w:rsidR="002B6A8E" w:rsidRPr="005305D5">
        <w:t xml:space="preserve"> </w:t>
      </w:r>
      <w:r w:rsidR="00B2724B">
        <w:t>allocation period</w:t>
      </w:r>
      <w:r w:rsidR="002B6A8E" w:rsidRPr="005305D5">
        <w:t>. In particular:</w:t>
      </w:r>
    </w:p>
    <w:p w14:paraId="73CA0F2F" w14:textId="0D29065E" w:rsidR="002B6A8E" w:rsidRPr="005305D5" w:rsidRDefault="00D74BD8" w:rsidP="00850EF3">
      <w:pPr>
        <w:pStyle w:val="affff3"/>
        <w:spacing w:after="0" w:line="260" w:lineRule="atLeast"/>
        <w:ind w:left="900" w:hanging="180"/>
      </w:pPr>
      <w:proofErr w:type="spellStart"/>
      <w:r>
        <w:t>i</w:t>
      </w:r>
      <w:proofErr w:type="spellEnd"/>
      <w:r>
        <w:t xml:space="preserve">. </w:t>
      </w:r>
      <w:r w:rsidR="002B6A8E">
        <w:t xml:space="preserve">The financing of key program costs of national disease plans and/or health systems; </w:t>
      </w:r>
    </w:p>
    <w:p w14:paraId="29B56E3E" w14:textId="6E5238D1" w:rsidR="002B6A8E" w:rsidRDefault="00D74BD8" w:rsidP="00850EF3">
      <w:pPr>
        <w:pStyle w:val="affff3"/>
        <w:spacing w:after="160" w:line="260" w:lineRule="atLeast"/>
        <w:ind w:left="900" w:hanging="180"/>
      </w:pPr>
      <w:r>
        <w:t xml:space="preserve">ii. </w:t>
      </w:r>
      <w:r w:rsidR="002B6A8E">
        <w:t xml:space="preserve">The planned uptake of interventions </w:t>
      </w:r>
      <w:r w:rsidR="0020615A">
        <w:t>currently</w:t>
      </w:r>
      <w:r w:rsidR="002B6A8E">
        <w:t xml:space="preserve"> funded by the Global Fund.</w:t>
      </w:r>
    </w:p>
    <w:p w14:paraId="6EB1F60E" w14:textId="77777777" w:rsidR="00172EDE" w:rsidRPr="00B271DB" w:rsidRDefault="00172EDE" w:rsidP="00172EDE">
      <w:pPr>
        <w:pStyle w:val="affff3"/>
        <w:spacing w:after="0" w:line="260" w:lineRule="atLeast"/>
        <w:ind w:left="360"/>
        <w:jc w:val="both"/>
      </w:pPr>
    </w:p>
    <w:tbl>
      <w:tblPr>
        <w:tblStyle w:val="aa"/>
        <w:tblW w:w="0" w:type="auto"/>
        <w:tblLook w:val="04A0" w:firstRow="1" w:lastRow="0" w:firstColumn="1" w:lastColumn="0" w:noHBand="0" w:noVBand="1"/>
      </w:tblPr>
      <w:tblGrid>
        <w:gridCol w:w="10456"/>
      </w:tblGrid>
      <w:tr w:rsidR="00172EDE" w:rsidRPr="00B271DB" w14:paraId="7E3DB7D8" w14:textId="77777777" w:rsidTr="00245DCD">
        <w:tc>
          <w:tcPr>
            <w:tcW w:w="10790" w:type="dxa"/>
          </w:tcPr>
          <w:p w14:paraId="579D9654" w14:textId="77777777" w:rsidR="00F00FAC" w:rsidRPr="00436195" w:rsidRDefault="00F00FAC" w:rsidP="00F00FAC">
            <w:pPr>
              <w:jc w:val="both"/>
              <w:rPr>
                <w:rFonts w:asciiTheme="minorHAnsi" w:hAnsiTheme="minorHAnsi"/>
                <w:sz w:val="20"/>
                <w:lang w:val="en-GB"/>
              </w:rPr>
            </w:pPr>
            <w:r w:rsidRPr="00436195">
              <w:rPr>
                <w:rFonts w:asciiTheme="minorHAnsi" w:hAnsiTheme="minorHAnsi"/>
                <w:sz w:val="20"/>
                <w:lang w:val="en-GB"/>
              </w:rPr>
              <w:t xml:space="preserve">In line with the Transition Plan for domestic funding in the HIV Programme there will be gradual increase in domestic funding </w:t>
            </w:r>
            <w:r>
              <w:rPr>
                <w:rFonts w:asciiTheme="minorHAnsi" w:hAnsiTheme="minorHAnsi"/>
                <w:sz w:val="20"/>
                <w:lang w:val="en-GB"/>
              </w:rPr>
              <w:t>for</w:t>
            </w:r>
            <w:r w:rsidRPr="00436195">
              <w:rPr>
                <w:rFonts w:asciiTheme="minorHAnsi" w:hAnsiTheme="minorHAnsi"/>
                <w:sz w:val="20"/>
                <w:lang w:val="en-GB"/>
              </w:rPr>
              <w:t xml:space="preserve"> ARV drugs proc</w:t>
            </w:r>
            <w:r>
              <w:rPr>
                <w:rFonts w:asciiTheme="minorHAnsi" w:hAnsiTheme="minorHAnsi"/>
                <w:sz w:val="20"/>
                <w:lang w:val="en-GB"/>
              </w:rPr>
              <w:t xml:space="preserve">urement and </w:t>
            </w:r>
            <w:r w:rsidRPr="00436195">
              <w:rPr>
                <w:rFonts w:asciiTheme="minorHAnsi" w:hAnsiTheme="minorHAnsi"/>
                <w:sz w:val="20"/>
                <w:lang w:val="en-GB"/>
              </w:rPr>
              <w:t>prevention program</w:t>
            </w:r>
            <w:r>
              <w:rPr>
                <w:rFonts w:asciiTheme="minorHAnsi" w:hAnsiTheme="minorHAnsi"/>
                <w:sz w:val="20"/>
                <w:lang w:val="en-GB"/>
              </w:rPr>
              <w:t>me</w:t>
            </w:r>
            <w:r w:rsidRPr="00436195">
              <w:rPr>
                <w:rFonts w:asciiTheme="minorHAnsi" w:hAnsiTheme="minorHAnsi"/>
                <w:sz w:val="20"/>
                <w:lang w:val="en-GB"/>
              </w:rPr>
              <w:t xml:space="preserve">s for key populations. The proposed request for funding envisages that the domestic budget will cover 40% of the country need for ARV drugs and diagnostic tests in 2021, 50% in 2022 and 60% </w:t>
            </w:r>
            <w:r>
              <w:rPr>
                <w:rFonts w:asciiTheme="minorHAnsi" w:hAnsiTheme="minorHAnsi"/>
                <w:sz w:val="20"/>
                <w:lang w:val="en-GB"/>
              </w:rPr>
              <w:t xml:space="preserve">in 2023. </w:t>
            </w:r>
            <w:r w:rsidRPr="00436195">
              <w:rPr>
                <w:rFonts w:asciiTheme="minorHAnsi" w:hAnsiTheme="minorHAnsi"/>
                <w:sz w:val="20"/>
                <w:lang w:val="en-GB"/>
              </w:rPr>
              <w:t>In addition, domestic funding for prevention program</w:t>
            </w:r>
            <w:r>
              <w:rPr>
                <w:rFonts w:asciiTheme="minorHAnsi" w:hAnsiTheme="minorHAnsi"/>
                <w:sz w:val="20"/>
                <w:lang w:val="en-GB"/>
              </w:rPr>
              <w:t>me</w:t>
            </w:r>
            <w:r w:rsidRPr="00436195">
              <w:rPr>
                <w:rFonts w:asciiTheme="minorHAnsi" w:hAnsiTheme="minorHAnsi"/>
                <w:sz w:val="20"/>
                <w:lang w:val="en-GB"/>
              </w:rPr>
              <w:t xml:space="preserve">s will increase from 43,000 USD in 2019 to 200,000 USD by 2023. Similarly, the procurement of </w:t>
            </w:r>
            <w:r>
              <w:rPr>
                <w:rFonts w:asciiTheme="minorHAnsi" w:hAnsiTheme="minorHAnsi"/>
                <w:sz w:val="20"/>
                <w:lang w:val="en-GB"/>
              </w:rPr>
              <w:t>second-</w:t>
            </w:r>
            <w:r w:rsidRPr="00436195">
              <w:rPr>
                <w:rFonts w:asciiTheme="minorHAnsi" w:hAnsiTheme="minorHAnsi"/>
                <w:sz w:val="20"/>
                <w:lang w:val="en-GB"/>
              </w:rPr>
              <w:t>line TB drugs (SLD) will be through domestic resources</w:t>
            </w:r>
            <w:r>
              <w:rPr>
                <w:rFonts w:asciiTheme="minorHAnsi" w:hAnsiTheme="minorHAnsi"/>
                <w:sz w:val="20"/>
                <w:lang w:val="en-GB"/>
              </w:rPr>
              <w:t>,</w:t>
            </w:r>
            <w:r w:rsidRPr="00436195">
              <w:rPr>
                <w:rFonts w:asciiTheme="minorHAnsi" w:hAnsiTheme="minorHAnsi"/>
                <w:sz w:val="20"/>
                <w:lang w:val="en-GB"/>
              </w:rPr>
              <w:t xml:space="preserve"> initially 15% of the required amount</w:t>
            </w:r>
            <w:r>
              <w:rPr>
                <w:rFonts w:asciiTheme="minorHAnsi" w:hAnsiTheme="minorHAnsi"/>
                <w:sz w:val="20"/>
                <w:lang w:val="en-GB"/>
              </w:rPr>
              <w:t xml:space="preserve"> in 2021, then 17%</w:t>
            </w:r>
            <w:r w:rsidRPr="00436195">
              <w:rPr>
                <w:rFonts w:asciiTheme="minorHAnsi" w:hAnsiTheme="minorHAnsi"/>
                <w:sz w:val="20"/>
                <w:lang w:val="en-GB"/>
              </w:rPr>
              <w:t xml:space="preserve"> in 2022 and</w:t>
            </w:r>
            <w:r>
              <w:rPr>
                <w:rFonts w:asciiTheme="minorHAnsi" w:hAnsiTheme="minorHAnsi"/>
                <w:sz w:val="20"/>
                <w:lang w:val="en-GB"/>
              </w:rPr>
              <w:t xml:space="preserve"> finally</w:t>
            </w:r>
            <w:r w:rsidRPr="00436195">
              <w:rPr>
                <w:rFonts w:asciiTheme="minorHAnsi" w:hAnsiTheme="minorHAnsi"/>
                <w:sz w:val="20"/>
                <w:lang w:val="en-GB"/>
              </w:rPr>
              <w:t xml:space="preserve"> 20% in 2023. Meanwhile, 'payment for results' mechanisms will </w:t>
            </w:r>
            <w:proofErr w:type="gramStart"/>
            <w:r>
              <w:rPr>
                <w:rFonts w:asciiTheme="minorHAnsi" w:hAnsiTheme="minorHAnsi"/>
                <w:sz w:val="20"/>
                <w:lang w:val="en-GB"/>
              </w:rPr>
              <w:t xml:space="preserve">be </w:t>
            </w:r>
            <w:r w:rsidRPr="00436195">
              <w:rPr>
                <w:rFonts w:asciiTheme="minorHAnsi" w:hAnsiTheme="minorHAnsi"/>
                <w:sz w:val="20"/>
                <w:lang w:val="en-GB"/>
              </w:rPr>
              <w:t>introduced</w:t>
            </w:r>
            <w:proofErr w:type="gramEnd"/>
            <w:r w:rsidRPr="00436195">
              <w:rPr>
                <w:rFonts w:asciiTheme="minorHAnsi" w:hAnsiTheme="minorHAnsi"/>
                <w:sz w:val="20"/>
                <w:lang w:val="en-GB"/>
              </w:rPr>
              <w:t xml:space="preserve"> for health professionals involved in</w:t>
            </w:r>
            <w:r>
              <w:rPr>
                <w:rFonts w:asciiTheme="minorHAnsi" w:hAnsiTheme="minorHAnsi"/>
                <w:sz w:val="20"/>
                <w:lang w:val="en-GB"/>
              </w:rPr>
              <w:t xml:space="preserve"> the</w:t>
            </w:r>
            <w:r w:rsidRPr="00436195">
              <w:rPr>
                <w:rFonts w:asciiTheme="minorHAnsi" w:hAnsiTheme="minorHAnsi"/>
                <w:sz w:val="20"/>
                <w:lang w:val="en-GB"/>
              </w:rPr>
              <w:t xml:space="preserve"> delivery of HIV and TB services. By 2023, these mechanisms will </w:t>
            </w:r>
            <w:proofErr w:type="gramStart"/>
            <w:r w:rsidRPr="00436195">
              <w:rPr>
                <w:rFonts w:asciiTheme="minorHAnsi" w:hAnsiTheme="minorHAnsi"/>
                <w:sz w:val="20"/>
                <w:lang w:val="en-GB"/>
              </w:rPr>
              <w:t>be implemented</w:t>
            </w:r>
            <w:proofErr w:type="gramEnd"/>
            <w:r w:rsidRPr="00436195">
              <w:rPr>
                <w:rFonts w:asciiTheme="minorHAnsi" w:hAnsiTheme="minorHAnsi"/>
                <w:sz w:val="20"/>
                <w:lang w:val="en-GB"/>
              </w:rPr>
              <w:t xml:space="preserve">, and domestic funds will </w:t>
            </w:r>
            <w:r>
              <w:rPr>
                <w:rFonts w:asciiTheme="minorHAnsi" w:hAnsiTheme="minorHAnsi"/>
                <w:sz w:val="20"/>
                <w:lang w:val="en-GB"/>
              </w:rPr>
              <w:t xml:space="preserve">have taken over the </w:t>
            </w:r>
            <w:r w:rsidRPr="00436195">
              <w:rPr>
                <w:rFonts w:asciiTheme="minorHAnsi" w:hAnsiTheme="minorHAnsi"/>
                <w:sz w:val="20"/>
                <w:lang w:val="en-GB"/>
              </w:rPr>
              <w:t xml:space="preserve">costs </w:t>
            </w:r>
            <w:r>
              <w:rPr>
                <w:rFonts w:asciiTheme="minorHAnsi" w:hAnsiTheme="minorHAnsi"/>
                <w:sz w:val="20"/>
                <w:lang w:val="en-GB"/>
              </w:rPr>
              <w:t xml:space="preserve">for </w:t>
            </w:r>
            <w:r w:rsidRPr="00436195">
              <w:rPr>
                <w:rFonts w:asciiTheme="minorHAnsi" w:hAnsiTheme="minorHAnsi"/>
                <w:sz w:val="20"/>
                <w:lang w:val="en-GB"/>
              </w:rPr>
              <w:t xml:space="preserve">"the results". </w:t>
            </w:r>
          </w:p>
          <w:p w14:paraId="539CE9B5" w14:textId="77777777" w:rsidR="00F00FAC" w:rsidRPr="00436195" w:rsidRDefault="00F00FAC" w:rsidP="00F00FAC">
            <w:pPr>
              <w:jc w:val="both"/>
              <w:rPr>
                <w:rFonts w:asciiTheme="minorHAnsi" w:hAnsiTheme="minorHAnsi"/>
                <w:sz w:val="20"/>
                <w:lang w:val="en-GB"/>
              </w:rPr>
            </w:pPr>
            <w:r w:rsidRPr="00436195">
              <w:rPr>
                <w:rFonts w:asciiTheme="minorHAnsi" w:hAnsiTheme="minorHAnsi"/>
                <w:sz w:val="20"/>
                <w:lang w:val="en-GB"/>
              </w:rPr>
              <w:t xml:space="preserve">Since 2018, </w:t>
            </w:r>
            <w:r>
              <w:rPr>
                <w:rFonts w:asciiTheme="minorHAnsi" w:hAnsiTheme="minorHAnsi"/>
                <w:sz w:val="20"/>
                <w:lang w:val="en-GB"/>
              </w:rPr>
              <w:t>the RAC</w:t>
            </w:r>
            <w:r w:rsidRPr="00436195">
              <w:rPr>
                <w:rFonts w:asciiTheme="minorHAnsi" w:hAnsiTheme="minorHAnsi"/>
                <w:sz w:val="20"/>
                <w:lang w:val="en-GB"/>
              </w:rPr>
              <w:t xml:space="preserve"> has </w:t>
            </w:r>
            <w:r>
              <w:rPr>
                <w:rFonts w:asciiTheme="minorHAnsi" w:hAnsiTheme="minorHAnsi"/>
                <w:sz w:val="20"/>
                <w:lang w:val="en-GB"/>
              </w:rPr>
              <w:t>procured</w:t>
            </w:r>
            <w:r w:rsidRPr="00436195">
              <w:rPr>
                <w:rFonts w:asciiTheme="minorHAnsi" w:hAnsiTheme="minorHAnsi"/>
                <w:sz w:val="20"/>
                <w:lang w:val="en-GB"/>
              </w:rPr>
              <w:t xml:space="preserve"> ARV drugs through domestic funding and</w:t>
            </w:r>
            <w:r>
              <w:rPr>
                <w:rFonts w:asciiTheme="minorHAnsi" w:hAnsiTheme="minorHAnsi"/>
                <w:sz w:val="20"/>
                <w:lang w:val="en-GB"/>
              </w:rPr>
              <w:t>,</w:t>
            </w:r>
            <w:r w:rsidRPr="00436195">
              <w:rPr>
                <w:rFonts w:asciiTheme="minorHAnsi" w:hAnsiTheme="minorHAnsi"/>
                <w:sz w:val="20"/>
                <w:lang w:val="en-GB"/>
              </w:rPr>
              <w:t xml:space="preserve"> by the end of 2019</w:t>
            </w:r>
            <w:r>
              <w:rPr>
                <w:rFonts w:asciiTheme="minorHAnsi" w:hAnsiTheme="minorHAnsi"/>
                <w:sz w:val="20"/>
                <w:lang w:val="en-GB"/>
              </w:rPr>
              <w:t>,</w:t>
            </w:r>
            <w:r w:rsidRPr="00436195">
              <w:rPr>
                <w:rFonts w:asciiTheme="minorHAnsi" w:hAnsiTheme="minorHAnsi"/>
                <w:sz w:val="20"/>
                <w:lang w:val="en-GB"/>
              </w:rPr>
              <w:t xml:space="preserve"> ART (TLD) for 2</w:t>
            </w:r>
            <w:r>
              <w:rPr>
                <w:rFonts w:asciiTheme="minorHAnsi" w:hAnsiTheme="minorHAnsi"/>
                <w:sz w:val="20"/>
                <w:lang w:val="en-GB"/>
              </w:rPr>
              <w:t>,</w:t>
            </w:r>
            <w:r w:rsidRPr="00436195">
              <w:rPr>
                <w:rFonts w:asciiTheme="minorHAnsi" w:hAnsiTheme="minorHAnsi"/>
                <w:sz w:val="20"/>
                <w:lang w:val="en-GB"/>
              </w:rPr>
              <w:t xml:space="preserve">000 </w:t>
            </w:r>
            <w:r w:rsidRPr="007609CE">
              <w:rPr>
                <w:rFonts w:asciiTheme="minorHAnsi" w:hAnsiTheme="minorHAnsi"/>
                <w:sz w:val="20"/>
                <w:lang w:val="en-GB"/>
              </w:rPr>
              <w:t xml:space="preserve">PLHIV </w:t>
            </w:r>
            <w:proofErr w:type="gramStart"/>
            <w:r w:rsidRPr="007609CE">
              <w:rPr>
                <w:rFonts w:asciiTheme="minorHAnsi" w:hAnsiTheme="minorHAnsi"/>
                <w:sz w:val="20"/>
                <w:lang w:val="en-GB"/>
              </w:rPr>
              <w:t>was secured</w:t>
            </w:r>
            <w:proofErr w:type="gramEnd"/>
            <w:r w:rsidRPr="007609CE">
              <w:rPr>
                <w:rFonts w:asciiTheme="minorHAnsi" w:hAnsiTheme="minorHAnsi"/>
                <w:sz w:val="20"/>
                <w:lang w:val="en-GB"/>
              </w:rPr>
              <w:t xml:space="preserve"> through domestic funding. In addition, since 2017 all PLHIV with hepatitis C receive treatment with direct-acting antiviral agent (DAAs) and vaccination</w:t>
            </w:r>
            <w:r w:rsidRPr="00436195">
              <w:rPr>
                <w:rFonts w:asciiTheme="minorHAnsi" w:hAnsiTheme="minorHAnsi"/>
                <w:sz w:val="20"/>
                <w:lang w:val="en-GB"/>
              </w:rPr>
              <w:t xml:space="preserve"> against HBV (</w:t>
            </w:r>
            <w:r>
              <w:rPr>
                <w:rFonts w:asciiTheme="minorHAnsi" w:hAnsiTheme="minorHAnsi"/>
                <w:sz w:val="20"/>
                <w:lang w:val="en-GB"/>
              </w:rPr>
              <w:t xml:space="preserve">since </w:t>
            </w:r>
            <w:r w:rsidRPr="00436195">
              <w:rPr>
                <w:rFonts w:asciiTheme="minorHAnsi" w:hAnsiTheme="minorHAnsi"/>
                <w:sz w:val="20"/>
                <w:lang w:val="en-GB"/>
              </w:rPr>
              <w:t>2018)</w:t>
            </w:r>
            <w:r>
              <w:rPr>
                <w:rFonts w:asciiTheme="minorHAnsi" w:hAnsiTheme="minorHAnsi"/>
                <w:sz w:val="20"/>
                <w:lang w:val="en-GB"/>
              </w:rPr>
              <w:t>, funded</w:t>
            </w:r>
            <w:r w:rsidRPr="00436195">
              <w:rPr>
                <w:rFonts w:asciiTheme="minorHAnsi" w:hAnsiTheme="minorHAnsi"/>
                <w:sz w:val="20"/>
                <w:lang w:val="en-GB"/>
              </w:rPr>
              <w:t xml:space="preserve"> </w:t>
            </w:r>
            <w:r>
              <w:rPr>
                <w:rFonts w:asciiTheme="minorHAnsi" w:hAnsiTheme="minorHAnsi"/>
                <w:sz w:val="20"/>
                <w:lang w:val="en-GB"/>
              </w:rPr>
              <w:t>through</w:t>
            </w:r>
            <w:r w:rsidRPr="00436195">
              <w:rPr>
                <w:rFonts w:asciiTheme="minorHAnsi" w:hAnsiTheme="minorHAnsi"/>
                <w:sz w:val="20"/>
                <w:lang w:val="en-GB"/>
              </w:rPr>
              <w:t xml:space="preserve"> domestic resources.</w:t>
            </w:r>
          </w:p>
          <w:p w14:paraId="45BEB2C0" w14:textId="77777777" w:rsidR="00F00FAC" w:rsidRDefault="00F00FAC" w:rsidP="00F00FAC">
            <w:pPr>
              <w:jc w:val="both"/>
              <w:rPr>
                <w:rFonts w:asciiTheme="minorHAnsi" w:hAnsiTheme="minorHAnsi"/>
                <w:sz w:val="20"/>
                <w:lang w:val="en-GB"/>
              </w:rPr>
            </w:pPr>
            <w:r w:rsidRPr="00436195">
              <w:rPr>
                <w:rFonts w:asciiTheme="minorHAnsi" w:hAnsiTheme="minorHAnsi"/>
                <w:sz w:val="20"/>
                <w:lang w:val="en-GB"/>
              </w:rPr>
              <w:lastRenderedPageBreak/>
              <w:t>The</w:t>
            </w:r>
            <w:r>
              <w:rPr>
                <w:rFonts w:asciiTheme="minorHAnsi" w:hAnsiTheme="minorHAnsi"/>
                <w:sz w:val="20"/>
                <w:lang w:val="en-GB"/>
              </w:rPr>
              <w:t xml:space="preserve"> Kyrgyz</w:t>
            </w:r>
            <w:r w:rsidRPr="00436195">
              <w:rPr>
                <w:rFonts w:asciiTheme="minorHAnsi" w:hAnsiTheme="minorHAnsi"/>
                <w:sz w:val="20"/>
                <w:lang w:val="en-GB"/>
              </w:rPr>
              <w:t xml:space="preserve"> Government has </w:t>
            </w:r>
            <w:r>
              <w:rPr>
                <w:rFonts w:asciiTheme="minorHAnsi" w:hAnsiTheme="minorHAnsi"/>
                <w:sz w:val="20"/>
                <w:lang w:val="en-GB"/>
              </w:rPr>
              <w:t xml:space="preserve">continuously </w:t>
            </w:r>
            <w:r w:rsidRPr="00436195">
              <w:rPr>
                <w:rFonts w:asciiTheme="minorHAnsi" w:hAnsiTheme="minorHAnsi"/>
                <w:sz w:val="20"/>
                <w:lang w:val="en-GB"/>
              </w:rPr>
              <w:t>increased domestic funding and</w:t>
            </w:r>
            <w:r>
              <w:rPr>
                <w:rFonts w:asciiTheme="minorHAnsi" w:hAnsiTheme="minorHAnsi"/>
                <w:sz w:val="20"/>
                <w:lang w:val="en-GB"/>
              </w:rPr>
              <w:t>,</w:t>
            </w:r>
            <w:r w:rsidRPr="00436195">
              <w:rPr>
                <w:rFonts w:asciiTheme="minorHAnsi" w:hAnsiTheme="minorHAnsi"/>
                <w:sz w:val="20"/>
                <w:lang w:val="en-GB"/>
              </w:rPr>
              <w:t xml:space="preserve"> in 2018-2020</w:t>
            </w:r>
            <w:r>
              <w:rPr>
                <w:rFonts w:asciiTheme="minorHAnsi" w:hAnsiTheme="minorHAnsi"/>
                <w:sz w:val="20"/>
                <w:lang w:val="en-GB"/>
              </w:rPr>
              <w:t>,</w:t>
            </w:r>
            <w:r w:rsidRPr="00436195">
              <w:rPr>
                <w:rFonts w:asciiTheme="minorHAnsi" w:hAnsiTheme="minorHAnsi"/>
                <w:sz w:val="20"/>
                <w:lang w:val="en-GB"/>
              </w:rPr>
              <w:t xml:space="preserve"> 169 million KGS (2,432 million USD) </w:t>
            </w:r>
            <w:proofErr w:type="gramStart"/>
            <w:r w:rsidRPr="00436195">
              <w:rPr>
                <w:rFonts w:asciiTheme="minorHAnsi" w:hAnsiTheme="minorHAnsi"/>
                <w:sz w:val="20"/>
                <w:lang w:val="en-GB"/>
              </w:rPr>
              <w:t>were additionally disbursed</w:t>
            </w:r>
            <w:proofErr w:type="gramEnd"/>
            <w:r w:rsidRPr="00436195">
              <w:rPr>
                <w:rFonts w:asciiTheme="minorHAnsi" w:hAnsiTheme="minorHAnsi"/>
                <w:sz w:val="20"/>
                <w:lang w:val="en-GB"/>
              </w:rPr>
              <w:t xml:space="preserve"> for </w:t>
            </w:r>
            <w:r>
              <w:rPr>
                <w:rFonts w:asciiTheme="minorHAnsi" w:hAnsiTheme="minorHAnsi"/>
                <w:sz w:val="20"/>
                <w:lang w:val="en-GB"/>
              </w:rPr>
              <w:t xml:space="preserve">the </w:t>
            </w:r>
            <w:r w:rsidRPr="00436195">
              <w:rPr>
                <w:rFonts w:asciiTheme="minorHAnsi" w:hAnsiTheme="minorHAnsi"/>
                <w:sz w:val="20"/>
                <w:lang w:val="en-GB"/>
              </w:rPr>
              <w:t xml:space="preserve">procurement of drugs, tests and </w:t>
            </w:r>
            <w:r>
              <w:rPr>
                <w:rFonts w:asciiTheme="minorHAnsi" w:hAnsiTheme="minorHAnsi"/>
                <w:sz w:val="20"/>
                <w:lang w:val="en-GB"/>
              </w:rPr>
              <w:t xml:space="preserve">the </w:t>
            </w:r>
            <w:r w:rsidRPr="00436195">
              <w:rPr>
                <w:rFonts w:asciiTheme="minorHAnsi" w:hAnsiTheme="minorHAnsi"/>
                <w:sz w:val="20"/>
                <w:lang w:val="en-GB"/>
              </w:rPr>
              <w:t>implementation of prevention program</w:t>
            </w:r>
            <w:r>
              <w:rPr>
                <w:rFonts w:asciiTheme="minorHAnsi" w:hAnsiTheme="minorHAnsi"/>
                <w:sz w:val="20"/>
                <w:lang w:val="en-GB"/>
              </w:rPr>
              <w:t>me</w:t>
            </w:r>
            <w:r w:rsidRPr="00436195">
              <w:rPr>
                <w:rFonts w:asciiTheme="minorHAnsi" w:hAnsiTheme="minorHAnsi"/>
                <w:sz w:val="20"/>
                <w:lang w:val="en-GB"/>
              </w:rPr>
              <w:t xml:space="preserve">s among key populations. </w:t>
            </w:r>
          </w:p>
          <w:p w14:paraId="3FDC3C1A" w14:textId="2DE24FFE" w:rsidR="00F00FAC" w:rsidRPr="00436195" w:rsidRDefault="00F00FAC" w:rsidP="00F00FAC">
            <w:pPr>
              <w:spacing w:line="238" w:lineRule="atLeast"/>
              <w:jc w:val="both"/>
              <w:rPr>
                <w:rFonts w:ascii="Calibri" w:eastAsia="Times New Roman" w:hAnsi="Calibri" w:cs="Times New Roman"/>
                <w:color w:val="000000"/>
                <w:sz w:val="20"/>
                <w:szCs w:val="20"/>
                <w:lang w:val="en-GB" w:eastAsia="ru-RU"/>
              </w:rPr>
            </w:pPr>
            <w:r>
              <w:rPr>
                <w:rFonts w:ascii="Calibri" w:eastAsia="Times New Roman" w:hAnsi="Calibri" w:cs="Times New Roman"/>
                <w:color w:val="000000"/>
                <w:sz w:val="20"/>
                <w:szCs w:val="20"/>
                <w:lang w:val="en-GB" w:eastAsia="ru-RU"/>
              </w:rPr>
              <w:t>A s</w:t>
            </w:r>
            <w:r w:rsidRPr="00436195">
              <w:rPr>
                <w:rFonts w:ascii="Calibri" w:eastAsia="Times New Roman" w:hAnsi="Calibri" w:cs="Times New Roman"/>
                <w:color w:val="000000"/>
                <w:sz w:val="20"/>
                <w:szCs w:val="20"/>
                <w:lang w:val="en-GB" w:eastAsia="ru-RU"/>
              </w:rPr>
              <w:t xml:space="preserve">putum specimen transportation system </w:t>
            </w:r>
            <w:proofErr w:type="gramStart"/>
            <w:r w:rsidRPr="00436195">
              <w:rPr>
                <w:rFonts w:ascii="Calibri" w:eastAsia="Times New Roman" w:hAnsi="Calibri" w:cs="Times New Roman"/>
                <w:color w:val="000000"/>
                <w:sz w:val="20"/>
                <w:szCs w:val="20"/>
                <w:lang w:val="en-GB" w:eastAsia="ru-RU"/>
              </w:rPr>
              <w:t>is implemented</w:t>
            </w:r>
            <w:proofErr w:type="gramEnd"/>
            <w:r w:rsidRPr="00436195">
              <w:rPr>
                <w:rFonts w:ascii="Calibri" w:eastAsia="Times New Roman" w:hAnsi="Calibri" w:cs="Times New Roman"/>
                <w:color w:val="000000"/>
                <w:sz w:val="20"/>
                <w:szCs w:val="20"/>
                <w:lang w:val="en-GB" w:eastAsia="ru-RU"/>
              </w:rPr>
              <w:t xml:space="preserve"> since August 2019, and already </w:t>
            </w:r>
            <w:r>
              <w:rPr>
                <w:rFonts w:ascii="Calibri" w:eastAsia="Times New Roman" w:hAnsi="Calibri" w:cs="Times New Roman"/>
                <w:color w:val="000000"/>
                <w:sz w:val="20"/>
                <w:szCs w:val="20"/>
                <w:lang w:val="en-GB" w:eastAsia="ru-RU"/>
              </w:rPr>
              <w:t>two country regions</w:t>
            </w:r>
            <w:r w:rsidRPr="00436195">
              <w:rPr>
                <w:rFonts w:ascii="Calibri" w:eastAsia="Times New Roman" w:hAnsi="Calibri" w:cs="Times New Roman"/>
                <w:color w:val="000000"/>
                <w:sz w:val="20"/>
                <w:szCs w:val="20"/>
                <w:lang w:val="en-GB" w:eastAsia="ru-RU"/>
              </w:rPr>
              <w:t xml:space="preserve"> (Chui and Talas oblasts) are financed through MHIF funding, while full-fledged gradual transition to domestic funding is scheduled</w:t>
            </w:r>
            <w:r w:rsidRPr="00BE7F42">
              <w:rPr>
                <w:rFonts w:ascii="Calibri" w:eastAsia="Times New Roman" w:hAnsi="Calibri" w:cs="Times New Roman"/>
                <w:color w:val="000000"/>
                <w:sz w:val="20"/>
                <w:szCs w:val="20"/>
                <w:lang w:eastAsia="ru-RU"/>
              </w:rPr>
              <w:t xml:space="preserve">. </w:t>
            </w:r>
            <w:r w:rsidRPr="007137AD">
              <w:rPr>
                <w:rFonts w:ascii="Calibri" w:eastAsia="Times New Roman" w:hAnsi="Calibri" w:cs="Times New Roman"/>
                <w:color w:val="000000"/>
                <w:sz w:val="20"/>
                <w:szCs w:val="20"/>
                <w:lang w:val="en-GB" w:eastAsia="ru-RU"/>
              </w:rPr>
              <w:t>More</w:t>
            </w:r>
            <w:r w:rsidRPr="00436195">
              <w:rPr>
                <w:rFonts w:ascii="Calibri" w:eastAsia="Times New Roman" w:hAnsi="Calibri" w:cs="Times New Roman"/>
                <w:color w:val="000000"/>
                <w:sz w:val="20"/>
                <w:szCs w:val="20"/>
                <w:lang w:val="en-GB" w:eastAsia="ru-RU"/>
              </w:rPr>
              <w:t xml:space="preserve"> than 70% of total expenditures on activities to control TB </w:t>
            </w:r>
            <w:proofErr w:type="gramStart"/>
            <w:r w:rsidRPr="00436195">
              <w:rPr>
                <w:rFonts w:ascii="Calibri" w:eastAsia="Times New Roman" w:hAnsi="Calibri" w:cs="Times New Roman"/>
                <w:color w:val="000000"/>
                <w:sz w:val="20"/>
                <w:szCs w:val="20"/>
                <w:lang w:val="en-GB" w:eastAsia="ru-RU"/>
              </w:rPr>
              <w:t>is financed</w:t>
            </w:r>
            <w:proofErr w:type="gramEnd"/>
            <w:r w:rsidRPr="00436195">
              <w:rPr>
                <w:rFonts w:ascii="Calibri" w:eastAsia="Times New Roman" w:hAnsi="Calibri" w:cs="Times New Roman"/>
                <w:color w:val="000000"/>
                <w:sz w:val="20"/>
                <w:szCs w:val="20"/>
                <w:lang w:val="en-GB" w:eastAsia="ru-RU"/>
              </w:rPr>
              <w:t xml:space="preserve"> </w:t>
            </w:r>
            <w:r>
              <w:rPr>
                <w:rFonts w:ascii="Calibri" w:eastAsia="Times New Roman" w:hAnsi="Calibri" w:cs="Times New Roman"/>
                <w:color w:val="000000"/>
                <w:sz w:val="20"/>
                <w:szCs w:val="20"/>
                <w:lang w:val="en-GB" w:eastAsia="ru-RU"/>
              </w:rPr>
              <w:t>by domestic resources</w:t>
            </w:r>
            <w:r w:rsidRPr="00436195">
              <w:rPr>
                <w:rFonts w:ascii="Calibri" w:eastAsia="Times New Roman" w:hAnsi="Calibri" w:cs="Times New Roman"/>
                <w:color w:val="000000"/>
                <w:sz w:val="20"/>
                <w:szCs w:val="20"/>
                <w:lang w:val="en-GB" w:eastAsia="ru-RU"/>
              </w:rPr>
              <w:t>.</w:t>
            </w:r>
          </w:p>
          <w:p w14:paraId="7EFA8ECD" w14:textId="77777777" w:rsidR="00F00FAC" w:rsidRPr="00F00FAC" w:rsidRDefault="00F00FAC" w:rsidP="00F00FAC">
            <w:pPr>
              <w:spacing w:line="238" w:lineRule="atLeast"/>
              <w:jc w:val="both"/>
              <w:rPr>
                <w:rFonts w:asciiTheme="minorHAnsi" w:hAnsiTheme="minorHAnsi"/>
                <w:sz w:val="20"/>
                <w:lang w:val="en-GB"/>
              </w:rPr>
            </w:pPr>
            <w:r w:rsidRPr="00436195">
              <w:rPr>
                <w:rFonts w:ascii="Calibri" w:eastAsia="Times New Roman" w:hAnsi="Calibri" w:cs="Times New Roman"/>
                <w:color w:val="000000"/>
                <w:sz w:val="20"/>
                <w:szCs w:val="20"/>
                <w:lang w:val="en-GB" w:eastAsia="ru-RU"/>
              </w:rPr>
              <w:t xml:space="preserve">The HIV and TB treatment component can </w:t>
            </w:r>
            <w:proofErr w:type="gramStart"/>
            <w:r w:rsidRPr="00436195">
              <w:rPr>
                <w:rFonts w:ascii="Calibri" w:eastAsia="Times New Roman" w:hAnsi="Calibri" w:cs="Times New Roman"/>
                <w:color w:val="000000"/>
                <w:sz w:val="20"/>
                <w:szCs w:val="20"/>
                <w:lang w:val="en-GB" w:eastAsia="ru-RU"/>
              </w:rPr>
              <w:t>be defined</w:t>
            </w:r>
            <w:proofErr w:type="gramEnd"/>
            <w:r w:rsidRPr="00436195">
              <w:rPr>
                <w:rFonts w:ascii="Calibri" w:eastAsia="Times New Roman" w:hAnsi="Calibri" w:cs="Times New Roman"/>
                <w:color w:val="000000"/>
                <w:sz w:val="20"/>
                <w:szCs w:val="20"/>
                <w:lang w:val="en-GB" w:eastAsia="ru-RU"/>
              </w:rPr>
              <w:t xml:space="preserve"> as largely integrated within the primary health care system, however, prevention program</w:t>
            </w:r>
            <w:r>
              <w:rPr>
                <w:rFonts w:ascii="Calibri" w:eastAsia="Times New Roman" w:hAnsi="Calibri" w:cs="Times New Roman"/>
                <w:color w:val="000000"/>
                <w:sz w:val="20"/>
                <w:szCs w:val="20"/>
                <w:lang w:val="en-GB" w:eastAsia="ru-RU"/>
              </w:rPr>
              <w:t>me</w:t>
            </w:r>
            <w:r w:rsidRPr="00436195">
              <w:rPr>
                <w:rFonts w:ascii="Calibri" w:eastAsia="Times New Roman" w:hAnsi="Calibri" w:cs="Times New Roman"/>
                <w:color w:val="000000"/>
                <w:sz w:val="20"/>
                <w:szCs w:val="20"/>
                <w:lang w:val="en-GB" w:eastAsia="ru-RU"/>
              </w:rPr>
              <w:t xml:space="preserve">s are mainly implemented through NGOs, which have not been, until recently, part of integrated services at </w:t>
            </w:r>
            <w:r>
              <w:rPr>
                <w:rFonts w:ascii="Calibri" w:eastAsia="Times New Roman" w:hAnsi="Calibri" w:cs="Times New Roman"/>
                <w:color w:val="000000"/>
                <w:sz w:val="20"/>
                <w:szCs w:val="20"/>
                <w:lang w:val="en-GB" w:eastAsia="ru-RU"/>
              </w:rPr>
              <w:t>PHC</w:t>
            </w:r>
            <w:r w:rsidRPr="00436195">
              <w:rPr>
                <w:rFonts w:ascii="Calibri" w:eastAsia="Times New Roman" w:hAnsi="Calibri" w:cs="Times New Roman"/>
                <w:color w:val="000000"/>
                <w:sz w:val="20"/>
                <w:szCs w:val="20"/>
                <w:lang w:val="en-GB" w:eastAsia="ru-RU"/>
              </w:rPr>
              <w:t xml:space="preserve"> level.</w:t>
            </w:r>
            <w:r w:rsidRPr="00436195">
              <w:rPr>
                <w:rFonts w:asciiTheme="minorHAnsi" w:hAnsiTheme="minorHAnsi"/>
                <w:sz w:val="20"/>
                <w:lang w:val="en-GB"/>
              </w:rPr>
              <w:t xml:space="preserve"> Since 2018, the health system has been implementing the Law of the Kyrgyz Republic "On State Social Contracting", </w:t>
            </w:r>
            <w:r w:rsidRPr="007137AD">
              <w:rPr>
                <w:rFonts w:asciiTheme="minorHAnsi" w:hAnsiTheme="minorHAnsi"/>
                <w:sz w:val="20"/>
                <w:lang w:val="en-GB"/>
              </w:rPr>
              <w:t>the departmental State</w:t>
            </w:r>
            <w:r w:rsidRPr="00436195">
              <w:rPr>
                <w:rFonts w:asciiTheme="minorHAnsi" w:hAnsiTheme="minorHAnsi"/>
                <w:sz w:val="20"/>
                <w:lang w:val="en-GB"/>
              </w:rPr>
              <w:t xml:space="preserve"> Social Contracting Program</w:t>
            </w:r>
            <w:r>
              <w:rPr>
                <w:rFonts w:asciiTheme="minorHAnsi" w:hAnsiTheme="minorHAnsi"/>
                <w:sz w:val="20"/>
                <w:lang w:val="en-GB"/>
              </w:rPr>
              <w:t>me</w:t>
            </w:r>
            <w:r w:rsidRPr="00436195">
              <w:rPr>
                <w:rFonts w:asciiTheme="minorHAnsi" w:hAnsiTheme="minorHAnsi"/>
                <w:sz w:val="20"/>
                <w:lang w:val="en-GB"/>
              </w:rPr>
              <w:t xml:space="preserve"> (SSC) </w:t>
            </w:r>
            <w:proofErr w:type="gramStart"/>
            <w:r w:rsidRPr="00436195">
              <w:rPr>
                <w:rFonts w:asciiTheme="minorHAnsi" w:hAnsiTheme="minorHAnsi"/>
                <w:sz w:val="20"/>
                <w:lang w:val="en-GB"/>
              </w:rPr>
              <w:t>is approved</w:t>
            </w:r>
            <w:proofErr w:type="gramEnd"/>
            <w:r w:rsidRPr="00436195">
              <w:rPr>
                <w:rFonts w:asciiTheme="minorHAnsi" w:hAnsiTheme="minorHAnsi"/>
                <w:sz w:val="20"/>
                <w:lang w:val="en-GB"/>
              </w:rPr>
              <w:t xml:space="preserve"> for </w:t>
            </w:r>
            <w:r>
              <w:rPr>
                <w:rFonts w:asciiTheme="minorHAnsi" w:hAnsiTheme="minorHAnsi"/>
                <w:sz w:val="20"/>
                <w:lang w:val="en-GB"/>
              </w:rPr>
              <w:t>three</w:t>
            </w:r>
            <w:r w:rsidRPr="00436195">
              <w:rPr>
                <w:rFonts w:asciiTheme="minorHAnsi" w:hAnsiTheme="minorHAnsi"/>
                <w:sz w:val="20"/>
                <w:lang w:val="en-GB"/>
              </w:rPr>
              <w:t xml:space="preserve"> years, the standards of services for key populations and </w:t>
            </w:r>
            <w:r>
              <w:rPr>
                <w:rFonts w:asciiTheme="minorHAnsi" w:hAnsiTheme="minorHAnsi"/>
                <w:sz w:val="20"/>
                <w:lang w:val="en-GB"/>
              </w:rPr>
              <w:t>PLHIV</w:t>
            </w:r>
            <w:r w:rsidRPr="00436195">
              <w:rPr>
                <w:rFonts w:asciiTheme="minorHAnsi" w:hAnsiTheme="minorHAnsi"/>
                <w:sz w:val="20"/>
                <w:lang w:val="en-GB"/>
              </w:rPr>
              <w:t xml:space="preserve"> were </w:t>
            </w:r>
            <w:r>
              <w:rPr>
                <w:rFonts w:asciiTheme="minorHAnsi" w:hAnsiTheme="minorHAnsi"/>
                <w:sz w:val="20"/>
                <w:lang w:val="en-GB"/>
              </w:rPr>
              <w:t xml:space="preserve">already </w:t>
            </w:r>
            <w:r w:rsidRPr="00436195">
              <w:rPr>
                <w:rFonts w:asciiTheme="minorHAnsi" w:hAnsiTheme="minorHAnsi"/>
                <w:sz w:val="20"/>
                <w:lang w:val="en-GB"/>
              </w:rPr>
              <w:t xml:space="preserve">approved as part of </w:t>
            </w:r>
            <w:r>
              <w:rPr>
                <w:rFonts w:asciiTheme="minorHAnsi" w:hAnsiTheme="minorHAnsi"/>
                <w:sz w:val="20"/>
                <w:lang w:val="en-GB"/>
              </w:rPr>
              <w:t xml:space="preserve">the </w:t>
            </w:r>
            <w:r w:rsidRPr="00436195">
              <w:rPr>
                <w:rFonts w:asciiTheme="minorHAnsi" w:hAnsiTheme="minorHAnsi"/>
                <w:sz w:val="20"/>
                <w:lang w:val="en-GB"/>
              </w:rPr>
              <w:t xml:space="preserve">implementation of </w:t>
            </w:r>
            <w:r>
              <w:rPr>
                <w:rFonts w:asciiTheme="minorHAnsi" w:hAnsiTheme="minorHAnsi"/>
                <w:sz w:val="20"/>
                <w:lang w:val="en-GB"/>
              </w:rPr>
              <w:t xml:space="preserve">the </w:t>
            </w:r>
            <w:r w:rsidRPr="00436195">
              <w:rPr>
                <w:rFonts w:asciiTheme="minorHAnsi" w:hAnsiTheme="minorHAnsi"/>
                <w:sz w:val="20"/>
                <w:lang w:val="en-GB"/>
              </w:rPr>
              <w:t xml:space="preserve">SSC. The </w:t>
            </w:r>
            <w:r>
              <w:rPr>
                <w:rFonts w:asciiTheme="minorHAnsi" w:hAnsiTheme="minorHAnsi"/>
                <w:sz w:val="20"/>
                <w:lang w:val="en-GB"/>
              </w:rPr>
              <w:t>RAC</w:t>
            </w:r>
            <w:r w:rsidRPr="00436195">
              <w:rPr>
                <w:rFonts w:asciiTheme="minorHAnsi" w:hAnsiTheme="minorHAnsi"/>
                <w:sz w:val="20"/>
                <w:lang w:val="en-GB"/>
              </w:rPr>
              <w:t xml:space="preserve"> was the first health </w:t>
            </w:r>
            <w:r>
              <w:rPr>
                <w:rFonts w:asciiTheme="minorHAnsi" w:hAnsiTheme="minorHAnsi"/>
                <w:sz w:val="20"/>
                <w:lang w:val="en-GB"/>
              </w:rPr>
              <w:t>authority</w:t>
            </w:r>
            <w:r w:rsidRPr="00436195">
              <w:rPr>
                <w:rFonts w:asciiTheme="minorHAnsi" w:hAnsiTheme="minorHAnsi"/>
                <w:sz w:val="20"/>
                <w:lang w:val="en-GB"/>
              </w:rPr>
              <w:t xml:space="preserve"> to launch the SSC program</w:t>
            </w:r>
            <w:r>
              <w:rPr>
                <w:rFonts w:asciiTheme="minorHAnsi" w:hAnsiTheme="minorHAnsi"/>
                <w:sz w:val="20"/>
                <w:lang w:val="en-GB"/>
              </w:rPr>
              <w:t>me</w:t>
            </w:r>
            <w:r w:rsidRPr="00436195">
              <w:rPr>
                <w:rFonts w:asciiTheme="minorHAnsi" w:hAnsiTheme="minorHAnsi"/>
                <w:sz w:val="20"/>
                <w:lang w:val="en-GB"/>
              </w:rPr>
              <w:t>. In 2019</w:t>
            </w:r>
            <w:r>
              <w:rPr>
                <w:rFonts w:asciiTheme="minorHAnsi" w:hAnsiTheme="minorHAnsi"/>
                <w:sz w:val="20"/>
                <w:lang w:val="en-GB"/>
              </w:rPr>
              <w:t>, six</w:t>
            </w:r>
            <w:r w:rsidRPr="00436195">
              <w:rPr>
                <w:rFonts w:asciiTheme="minorHAnsi" w:hAnsiTheme="minorHAnsi"/>
                <w:sz w:val="20"/>
                <w:lang w:val="en-GB"/>
              </w:rPr>
              <w:t xml:space="preserve"> projects </w:t>
            </w:r>
            <w:proofErr w:type="gramStart"/>
            <w:r w:rsidRPr="00436195">
              <w:rPr>
                <w:rFonts w:asciiTheme="minorHAnsi" w:hAnsiTheme="minorHAnsi"/>
                <w:sz w:val="20"/>
                <w:lang w:val="en-GB"/>
              </w:rPr>
              <w:t>were implemented</w:t>
            </w:r>
            <w:proofErr w:type="gramEnd"/>
            <w:r w:rsidRPr="00436195">
              <w:rPr>
                <w:rFonts w:asciiTheme="minorHAnsi" w:hAnsiTheme="minorHAnsi"/>
                <w:sz w:val="20"/>
                <w:lang w:val="en-GB"/>
              </w:rPr>
              <w:t xml:space="preserve"> in </w:t>
            </w:r>
            <w:r>
              <w:rPr>
                <w:rFonts w:asciiTheme="minorHAnsi" w:hAnsiTheme="minorHAnsi"/>
                <w:sz w:val="20"/>
                <w:lang w:val="en-GB"/>
              </w:rPr>
              <w:t>four</w:t>
            </w:r>
            <w:r w:rsidRPr="00436195">
              <w:rPr>
                <w:rFonts w:asciiTheme="minorHAnsi" w:hAnsiTheme="minorHAnsi"/>
                <w:sz w:val="20"/>
                <w:lang w:val="en-GB"/>
              </w:rPr>
              <w:t xml:space="preserve"> regions of the country for the total amount of </w:t>
            </w:r>
            <w:r>
              <w:rPr>
                <w:rFonts w:asciiTheme="minorHAnsi" w:hAnsiTheme="minorHAnsi"/>
                <w:sz w:val="20"/>
                <w:lang w:val="en-GB"/>
              </w:rPr>
              <w:t>3</w:t>
            </w:r>
            <w:r w:rsidRPr="00436195">
              <w:rPr>
                <w:rFonts w:asciiTheme="minorHAnsi" w:hAnsiTheme="minorHAnsi"/>
                <w:sz w:val="20"/>
                <w:lang w:val="en-GB"/>
              </w:rPr>
              <w:t xml:space="preserve"> million KGS (43,000 USD). In total, 1</w:t>
            </w:r>
            <w:r>
              <w:rPr>
                <w:rFonts w:asciiTheme="minorHAnsi" w:hAnsiTheme="minorHAnsi"/>
                <w:sz w:val="20"/>
                <w:lang w:val="en-GB"/>
              </w:rPr>
              <w:t>,</w:t>
            </w:r>
            <w:r w:rsidRPr="00436195">
              <w:rPr>
                <w:rFonts w:asciiTheme="minorHAnsi" w:hAnsiTheme="minorHAnsi"/>
                <w:sz w:val="20"/>
                <w:lang w:val="en-GB"/>
              </w:rPr>
              <w:t xml:space="preserve">200 </w:t>
            </w:r>
            <w:r>
              <w:rPr>
                <w:rFonts w:asciiTheme="minorHAnsi" w:hAnsiTheme="minorHAnsi"/>
                <w:sz w:val="20"/>
                <w:lang w:val="en-GB"/>
              </w:rPr>
              <w:t>PLHIV</w:t>
            </w:r>
            <w:r w:rsidRPr="00436195">
              <w:rPr>
                <w:rFonts w:asciiTheme="minorHAnsi" w:hAnsiTheme="minorHAnsi"/>
                <w:sz w:val="20"/>
                <w:lang w:val="en-GB"/>
              </w:rPr>
              <w:t xml:space="preserve"> received services under</w:t>
            </w:r>
            <w:r>
              <w:rPr>
                <w:rFonts w:asciiTheme="minorHAnsi" w:hAnsiTheme="minorHAnsi"/>
                <w:sz w:val="20"/>
                <w:lang w:val="en-GB"/>
              </w:rPr>
              <w:t xml:space="preserve"> the</w:t>
            </w:r>
            <w:r w:rsidRPr="00436195">
              <w:rPr>
                <w:rFonts w:asciiTheme="minorHAnsi" w:hAnsiTheme="minorHAnsi"/>
                <w:sz w:val="20"/>
                <w:lang w:val="en-GB"/>
              </w:rPr>
              <w:t xml:space="preserve"> SSC in 2019. In </w:t>
            </w:r>
            <w:r>
              <w:rPr>
                <w:rFonts w:asciiTheme="minorHAnsi" w:hAnsiTheme="minorHAnsi"/>
                <w:sz w:val="20"/>
                <w:lang w:val="en-GB"/>
              </w:rPr>
              <w:t>the years to come</w:t>
            </w:r>
            <w:r w:rsidRPr="00436195">
              <w:rPr>
                <w:rFonts w:asciiTheme="minorHAnsi" w:hAnsiTheme="minorHAnsi"/>
                <w:sz w:val="20"/>
                <w:lang w:val="en-GB"/>
              </w:rPr>
              <w:t xml:space="preserve">, it </w:t>
            </w:r>
            <w:proofErr w:type="gramStart"/>
            <w:r w:rsidRPr="00436195">
              <w:rPr>
                <w:rFonts w:asciiTheme="minorHAnsi" w:hAnsiTheme="minorHAnsi"/>
                <w:sz w:val="20"/>
                <w:lang w:val="en-GB"/>
              </w:rPr>
              <w:t>is intended</w:t>
            </w:r>
            <w:proofErr w:type="gramEnd"/>
            <w:r w:rsidRPr="00436195">
              <w:rPr>
                <w:rFonts w:asciiTheme="minorHAnsi" w:hAnsiTheme="minorHAnsi"/>
                <w:sz w:val="20"/>
                <w:lang w:val="en-GB"/>
              </w:rPr>
              <w:t xml:space="preserve"> to gradually increase domestic funding for implementation of </w:t>
            </w:r>
            <w:r>
              <w:rPr>
                <w:rFonts w:asciiTheme="minorHAnsi" w:hAnsiTheme="minorHAnsi"/>
                <w:sz w:val="20"/>
                <w:lang w:val="en-GB"/>
              </w:rPr>
              <w:t xml:space="preserve">the </w:t>
            </w:r>
            <w:proofErr w:type="spellStart"/>
            <w:r w:rsidRPr="00F00FAC">
              <w:rPr>
                <w:rFonts w:asciiTheme="minorHAnsi" w:hAnsiTheme="minorHAnsi"/>
                <w:sz w:val="20"/>
                <w:lang w:val="en-GB"/>
              </w:rPr>
              <w:t>SSC.</w:t>
            </w:r>
            <w:r w:rsidRPr="00F00FAC">
              <w:rPr>
                <w:rFonts w:ascii="Calibri" w:eastAsia="Times New Roman" w:hAnsi="Calibri" w:cs="Times New Roman"/>
                <w:color w:val="000000"/>
                <w:sz w:val="20"/>
                <w:szCs w:val="20"/>
                <w:lang w:val="en-GB" w:eastAsia="ru-RU"/>
              </w:rPr>
              <w:t>The</w:t>
            </w:r>
            <w:proofErr w:type="spellEnd"/>
            <w:r w:rsidRPr="00F00FAC">
              <w:rPr>
                <w:rFonts w:ascii="Calibri" w:eastAsia="Times New Roman" w:hAnsi="Calibri" w:cs="Times New Roman"/>
                <w:color w:val="000000"/>
                <w:sz w:val="20"/>
                <w:szCs w:val="20"/>
                <w:lang w:val="en-GB" w:eastAsia="ru-RU"/>
              </w:rPr>
              <w:t xml:space="preserve"> mechanisms of service delivery through state social contracting have not yet been introduced in TB services.</w:t>
            </w:r>
          </w:p>
          <w:p w14:paraId="6D455B1C" w14:textId="4D55DA05" w:rsidR="00F00FAC" w:rsidRPr="00436195" w:rsidRDefault="00CE6936" w:rsidP="00F00FAC">
            <w:pPr>
              <w:jc w:val="both"/>
              <w:rPr>
                <w:rFonts w:asciiTheme="minorHAnsi" w:hAnsiTheme="minorHAnsi"/>
                <w:sz w:val="20"/>
                <w:lang w:val="en-GB"/>
              </w:rPr>
            </w:pPr>
            <w:r w:rsidRPr="00CE6936">
              <w:rPr>
                <w:rFonts w:asciiTheme="minorHAnsi" w:hAnsiTheme="minorHAnsi"/>
                <w:sz w:val="20"/>
                <w:lang w:val="en-GB"/>
              </w:rPr>
              <w:t>The scheme of interaction between MHIF, health organizations and ICAP Project to improve adherence to medical observation, ART, quality of health care to PLHIV in line with treatment standards are being tested as part of the pilot</w:t>
            </w:r>
            <w:r w:rsidR="00F00FAC" w:rsidRPr="00F00FAC">
              <w:rPr>
                <w:rFonts w:asciiTheme="minorHAnsi" w:hAnsiTheme="minorHAnsi"/>
                <w:sz w:val="20"/>
                <w:lang w:val="en-GB"/>
              </w:rPr>
              <w:t>. MHIF has concluded agreements with 12 pilot health facilities. There are 11 indicators on treatment and care of PLHIV and 9 indicators on OST. According to MHIF, the development of key indicators for delivery of services to PLHIV at PHC level is currently scrutinised due to amendments in the remuneration system of PHC and the Government's strategy</w:t>
            </w:r>
            <w:r w:rsidR="00F00FAC" w:rsidRPr="00436195">
              <w:rPr>
                <w:rFonts w:asciiTheme="minorHAnsi" w:hAnsiTheme="minorHAnsi"/>
                <w:sz w:val="20"/>
                <w:lang w:val="en-GB"/>
              </w:rPr>
              <w:t xml:space="preserve"> to increase remuneration of family doctors. It is necessary to develop indicators and introduce incentive payments for timely detection, follow up, initiation of ART and viral suppression.</w:t>
            </w:r>
          </w:p>
          <w:p w14:paraId="03A223A2" w14:textId="18C53F21" w:rsidR="00172EDE" w:rsidRPr="00B271DB" w:rsidRDefault="00F00FAC" w:rsidP="00F00FAC">
            <w:pPr>
              <w:jc w:val="both"/>
              <w:rPr>
                <w:rFonts w:cs="Arial"/>
              </w:rPr>
            </w:pPr>
            <w:r w:rsidRPr="00436195">
              <w:rPr>
                <w:rFonts w:asciiTheme="minorHAnsi" w:hAnsiTheme="minorHAnsi"/>
                <w:sz w:val="20"/>
                <w:lang w:val="en-GB"/>
              </w:rPr>
              <w:t xml:space="preserve">Under the Columbia University's ICAP project the regulatory documents on services to PLHIV and OST patients under </w:t>
            </w:r>
            <w:r>
              <w:rPr>
                <w:rFonts w:asciiTheme="minorHAnsi" w:hAnsiTheme="minorHAnsi"/>
                <w:sz w:val="20"/>
                <w:lang w:val="en-GB"/>
              </w:rPr>
              <w:t>FMCs</w:t>
            </w:r>
            <w:r w:rsidRPr="00436195">
              <w:rPr>
                <w:rFonts w:asciiTheme="minorHAnsi" w:hAnsiTheme="minorHAnsi"/>
                <w:sz w:val="20"/>
                <w:lang w:val="en-GB"/>
              </w:rPr>
              <w:t xml:space="preserve"> </w:t>
            </w:r>
            <w:proofErr w:type="gramStart"/>
            <w:r w:rsidRPr="00436195">
              <w:rPr>
                <w:rFonts w:asciiTheme="minorHAnsi" w:hAnsiTheme="minorHAnsi"/>
                <w:sz w:val="20"/>
                <w:lang w:val="en-GB"/>
              </w:rPr>
              <w:t>are tested</w:t>
            </w:r>
            <w:proofErr w:type="gramEnd"/>
            <w:r w:rsidRPr="00436195">
              <w:rPr>
                <w:rFonts w:asciiTheme="minorHAnsi" w:hAnsiTheme="minorHAnsi"/>
                <w:sz w:val="20"/>
                <w:lang w:val="en-GB"/>
              </w:rPr>
              <w:t xml:space="preserve"> and approved, F</w:t>
            </w:r>
            <w:r>
              <w:rPr>
                <w:rFonts w:asciiTheme="minorHAnsi" w:hAnsiTheme="minorHAnsi"/>
                <w:sz w:val="20"/>
                <w:lang w:val="en-GB"/>
              </w:rPr>
              <w:t>MSs</w:t>
            </w:r>
            <w:r w:rsidRPr="00436195">
              <w:rPr>
                <w:rFonts w:asciiTheme="minorHAnsi" w:hAnsiTheme="minorHAnsi"/>
                <w:sz w:val="20"/>
                <w:lang w:val="en-GB"/>
              </w:rPr>
              <w:t xml:space="preserve"> receive funding under the system of single payer. Indicators for </w:t>
            </w:r>
            <w:r>
              <w:rPr>
                <w:rFonts w:asciiTheme="minorHAnsi" w:hAnsiTheme="minorHAnsi"/>
                <w:sz w:val="20"/>
                <w:lang w:val="en-GB"/>
              </w:rPr>
              <w:t>performance</w:t>
            </w:r>
            <w:r w:rsidRPr="00436195">
              <w:rPr>
                <w:rFonts w:asciiTheme="minorHAnsi" w:hAnsiTheme="minorHAnsi"/>
                <w:sz w:val="20"/>
                <w:lang w:val="en-GB"/>
              </w:rPr>
              <w:t xml:space="preserve">-based payments have </w:t>
            </w:r>
            <w:proofErr w:type="gramStart"/>
            <w:r w:rsidRPr="00436195">
              <w:rPr>
                <w:rFonts w:asciiTheme="minorHAnsi" w:hAnsiTheme="minorHAnsi"/>
                <w:sz w:val="20"/>
                <w:lang w:val="en-GB"/>
              </w:rPr>
              <w:t>been tested</w:t>
            </w:r>
            <w:proofErr w:type="gramEnd"/>
            <w:r w:rsidRPr="00436195">
              <w:rPr>
                <w:rFonts w:asciiTheme="minorHAnsi" w:hAnsiTheme="minorHAnsi"/>
                <w:sz w:val="20"/>
                <w:lang w:val="en-GB"/>
              </w:rPr>
              <w:t xml:space="preserve"> and will be integrated within the process of revising primary health care system remuneration and the Government's strategy to increase remuneration of family doctors.</w:t>
            </w:r>
          </w:p>
        </w:tc>
      </w:tr>
    </w:tbl>
    <w:p w14:paraId="635A9B97" w14:textId="77777777" w:rsidR="00172EDE" w:rsidRDefault="00172EDE" w:rsidP="00172EDE">
      <w:pPr>
        <w:spacing w:after="160" w:line="260" w:lineRule="atLeast"/>
      </w:pPr>
    </w:p>
    <w:p w14:paraId="1EC4B881" w14:textId="51861001" w:rsidR="00824D66" w:rsidRDefault="00824D66">
      <w:pPr>
        <w:spacing w:after="160" w:line="0" w:lineRule="auto"/>
        <w:rPr>
          <w:rFonts w:cs="Arial"/>
          <w:b/>
        </w:rPr>
      </w:pPr>
    </w:p>
    <w:p w14:paraId="642F358F" w14:textId="54035445" w:rsidR="00485066" w:rsidRPr="00824D66" w:rsidRDefault="00824D66" w:rsidP="00824D66">
      <w:pPr>
        <w:shd w:val="clear" w:color="auto" w:fill="D9D9D9" w:themeFill="background1" w:themeFillShade="D9"/>
        <w:spacing w:after="0" w:line="260" w:lineRule="atLeast"/>
        <w:rPr>
          <w:rFonts w:cs="Arial"/>
          <w:b/>
        </w:rPr>
      </w:pPr>
      <w:r>
        <w:rPr>
          <w:rFonts w:cs="Arial"/>
          <w:b/>
        </w:rPr>
        <w:t xml:space="preserve">3.2 </w:t>
      </w:r>
      <w:r w:rsidR="00485066" w:rsidRPr="00824D66">
        <w:rPr>
          <w:rFonts w:cs="Arial"/>
          <w:b/>
        </w:rPr>
        <w:t>Sustainability and Transition</w:t>
      </w:r>
    </w:p>
    <w:p w14:paraId="02269AED" w14:textId="77777777" w:rsidR="00485066" w:rsidRPr="00B271DB" w:rsidRDefault="00485066" w:rsidP="00485066">
      <w:pPr>
        <w:pStyle w:val="af0"/>
      </w:pPr>
    </w:p>
    <w:p w14:paraId="3BD3EFF8" w14:textId="77777777" w:rsidR="00B74DAA" w:rsidRPr="00B74DAA" w:rsidRDefault="0069127F" w:rsidP="008B5FE3">
      <w:pPr>
        <w:pStyle w:val="affff3"/>
        <w:numPr>
          <w:ilvl w:val="0"/>
          <w:numId w:val="22"/>
        </w:numPr>
        <w:spacing w:after="160" w:line="260" w:lineRule="atLeast"/>
        <w:jc w:val="both"/>
      </w:pPr>
      <w:r>
        <w:rPr>
          <w:rFonts w:cs="Arial"/>
        </w:rPr>
        <w:t>Based on the analysis in t</w:t>
      </w:r>
      <w:r w:rsidR="00B74DAA">
        <w:rPr>
          <w:rFonts w:cs="Arial"/>
        </w:rPr>
        <w:t xml:space="preserve">he </w:t>
      </w:r>
      <w:r w:rsidR="00B74DAA" w:rsidRPr="00B74DAA">
        <w:rPr>
          <w:rFonts w:cs="Arial"/>
          <w:b/>
        </w:rPr>
        <w:t>Funding Landscape T</w:t>
      </w:r>
      <w:r w:rsidRPr="00B74DAA">
        <w:rPr>
          <w:rFonts w:cs="Arial"/>
          <w:b/>
        </w:rPr>
        <w:t>able</w:t>
      </w:r>
      <w:r w:rsidR="00F112AD" w:rsidRPr="00B74DAA">
        <w:rPr>
          <w:rFonts w:cs="Arial"/>
          <w:b/>
        </w:rPr>
        <w:t>(</w:t>
      </w:r>
      <w:r w:rsidRPr="00B74DAA">
        <w:rPr>
          <w:rFonts w:cs="Arial"/>
          <w:b/>
        </w:rPr>
        <w:t>s</w:t>
      </w:r>
      <w:r w:rsidR="00F112AD" w:rsidRPr="00B74DAA">
        <w:rPr>
          <w:rFonts w:cs="Arial"/>
          <w:b/>
        </w:rPr>
        <w:t>)</w:t>
      </w:r>
      <w:r w:rsidRPr="00B74DAA">
        <w:rPr>
          <w:rFonts w:cs="Arial"/>
          <w:b/>
        </w:rPr>
        <w:t>,</w:t>
      </w:r>
      <w:r>
        <w:rPr>
          <w:rFonts w:cs="Arial"/>
        </w:rPr>
        <w:t xml:space="preserve"> describe</w:t>
      </w:r>
      <w:r w:rsidR="00B74DAA">
        <w:rPr>
          <w:rFonts w:cs="Arial"/>
        </w:rPr>
        <w:t xml:space="preserve"> the funding need and </w:t>
      </w:r>
      <w:r>
        <w:rPr>
          <w:rFonts w:cs="Arial"/>
        </w:rPr>
        <w:t>anticipated</w:t>
      </w:r>
      <w:r w:rsidRPr="00B271DB">
        <w:rPr>
          <w:rFonts w:cs="Arial"/>
        </w:rPr>
        <w:t xml:space="preserve"> </w:t>
      </w:r>
      <w:r w:rsidR="00485066" w:rsidRPr="00B271DB">
        <w:rPr>
          <w:rFonts w:cs="Arial"/>
        </w:rPr>
        <w:t>funding</w:t>
      </w:r>
      <w:r w:rsidR="00572198" w:rsidRPr="00B271DB">
        <w:rPr>
          <w:rFonts w:cs="Arial"/>
        </w:rPr>
        <w:t xml:space="preserve">, </w:t>
      </w:r>
      <w:r w:rsidR="00A06BA5">
        <w:rPr>
          <w:rFonts w:cs="Arial"/>
        </w:rPr>
        <w:t>highlighting</w:t>
      </w:r>
      <w:r w:rsidRPr="00B271DB">
        <w:rPr>
          <w:rFonts w:cs="Arial"/>
        </w:rPr>
        <w:t xml:space="preserve"> </w:t>
      </w:r>
      <w:r w:rsidR="00485066" w:rsidRPr="00B271DB">
        <w:rPr>
          <w:rFonts w:cs="Arial"/>
        </w:rPr>
        <w:t xml:space="preserve">gaps for major program areas in the </w:t>
      </w:r>
      <w:r w:rsidR="00A9213B">
        <w:rPr>
          <w:rFonts w:cs="Arial"/>
        </w:rPr>
        <w:t>next</w:t>
      </w:r>
      <w:r w:rsidR="00485066" w:rsidRPr="00B271DB">
        <w:rPr>
          <w:rFonts w:cs="Arial"/>
        </w:rPr>
        <w:t xml:space="preserve"> allocation period. </w:t>
      </w:r>
    </w:p>
    <w:p w14:paraId="1E121FC3" w14:textId="00160960" w:rsidR="00485066" w:rsidRPr="00BE0F0C" w:rsidRDefault="00485066" w:rsidP="00B74DAA">
      <w:pPr>
        <w:pStyle w:val="affff3"/>
        <w:spacing w:after="160" w:line="260" w:lineRule="atLeast"/>
        <w:ind w:left="360"/>
        <w:jc w:val="both"/>
      </w:pPr>
      <w:r w:rsidRPr="00B271DB">
        <w:rPr>
          <w:rFonts w:cs="Arial"/>
        </w:rPr>
        <w:t>Also</w:t>
      </w:r>
      <w:r w:rsidR="006D1A08">
        <w:rPr>
          <w:rFonts w:cs="Arial"/>
        </w:rPr>
        <w:t>,</w:t>
      </w:r>
      <w:r w:rsidRPr="00B271DB">
        <w:rPr>
          <w:rFonts w:cs="Arial"/>
        </w:rPr>
        <w:t xml:space="preserve"> describe how</w:t>
      </w:r>
      <w:r w:rsidR="0069127F">
        <w:rPr>
          <w:rFonts w:cs="Arial"/>
        </w:rPr>
        <w:t xml:space="preserve"> </w:t>
      </w:r>
      <w:r w:rsidR="00411CF4" w:rsidRPr="00411CF4">
        <w:rPr>
          <w:rFonts w:cs="Arial"/>
        </w:rPr>
        <w:t>(</w:t>
      </w:r>
      <w:proofErr w:type="spellStart"/>
      <w:r w:rsidR="0069127F" w:rsidRPr="00411CF4">
        <w:rPr>
          <w:rFonts w:cs="Arial"/>
        </w:rPr>
        <w:t>i</w:t>
      </w:r>
      <w:proofErr w:type="spellEnd"/>
      <w:r w:rsidR="0069127F" w:rsidRPr="00411CF4">
        <w:rPr>
          <w:rFonts w:cs="Arial"/>
        </w:rPr>
        <w:t>)</w:t>
      </w:r>
      <w:r w:rsidRPr="0096146C">
        <w:rPr>
          <w:rFonts w:cs="Arial"/>
          <w:b/>
        </w:rPr>
        <w:t xml:space="preserve"> </w:t>
      </w:r>
      <w:r w:rsidRPr="00B271DB">
        <w:rPr>
          <w:rFonts w:cs="Arial"/>
        </w:rPr>
        <w:t xml:space="preserve">national authorities will work to secure additional funding or new sources of </w:t>
      </w:r>
      <w:r w:rsidR="006D1A08">
        <w:rPr>
          <w:rFonts w:cs="Arial"/>
        </w:rPr>
        <w:t>funding</w:t>
      </w:r>
      <w:r w:rsidRPr="00B271DB">
        <w:rPr>
          <w:rFonts w:cs="Arial"/>
        </w:rPr>
        <w:t>, and</w:t>
      </w:r>
      <w:r w:rsidR="00411CF4">
        <w:rPr>
          <w:rFonts w:cs="Arial"/>
        </w:rPr>
        <w:t>/or</w:t>
      </w:r>
      <w:r w:rsidRPr="00B271DB">
        <w:rPr>
          <w:rFonts w:cs="Arial"/>
        </w:rPr>
        <w:t xml:space="preserve"> </w:t>
      </w:r>
      <w:r w:rsidR="00411CF4" w:rsidRPr="00411CF4">
        <w:rPr>
          <w:rFonts w:cs="Arial"/>
        </w:rPr>
        <w:t>(</w:t>
      </w:r>
      <w:r w:rsidR="0069127F" w:rsidRPr="00411CF4">
        <w:rPr>
          <w:rFonts w:cs="Arial"/>
        </w:rPr>
        <w:t>ii)</w:t>
      </w:r>
      <w:r w:rsidR="0069127F" w:rsidRPr="0096146C">
        <w:rPr>
          <w:rFonts w:cs="Arial"/>
          <w:b/>
        </w:rPr>
        <w:t xml:space="preserve"> </w:t>
      </w:r>
      <w:r w:rsidR="00B74DAA">
        <w:rPr>
          <w:rFonts w:cs="Arial"/>
        </w:rPr>
        <w:t>pursue efficiencies</w:t>
      </w:r>
      <w:r w:rsidRPr="00B271DB">
        <w:rPr>
          <w:rFonts w:cs="Arial"/>
        </w:rPr>
        <w:t xml:space="preserve"> to ensure sufficient support for key interventions, particularly those currently </w:t>
      </w:r>
      <w:r w:rsidR="006D1A08">
        <w:rPr>
          <w:rFonts w:cs="Arial"/>
        </w:rPr>
        <w:t>funded</w:t>
      </w:r>
      <w:r w:rsidR="006D1A08" w:rsidRPr="00B271DB">
        <w:rPr>
          <w:rFonts w:cs="Arial"/>
        </w:rPr>
        <w:t xml:space="preserve"> </w:t>
      </w:r>
      <w:r w:rsidRPr="00B271DB">
        <w:rPr>
          <w:rFonts w:cs="Arial"/>
        </w:rPr>
        <w:t>by the Global Fund</w:t>
      </w:r>
      <w:r w:rsidR="0069127F">
        <w:rPr>
          <w:rFonts w:cs="Arial"/>
        </w:rPr>
        <w:t>.</w:t>
      </w:r>
    </w:p>
    <w:p w14:paraId="63CE6929" w14:textId="77777777" w:rsidR="00BE0F0C" w:rsidRPr="00B271DB" w:rsidRDefault="00BE0F0C" w:rsidP="00882DC3">
      <w:pPr>
        <w:pStyle w:val="affff3"/>
        <w:spacing w:after="0" w:line="260" w:lineRule="atLeast"/>
        <w:ind w:left="360"/>
        <w:jc w:val="both"/>
      </w:pPr>
    </w:p>
    <w:tbl>
      <w:tblPr>
        <w:tblStyle w:val="aa"/>
        <w:tblW w:w="10456" w:type="dxa"/>
        <w:tblLook w:val="04A0" w:firstRow="1" w:lastRow="0" w:firstColumn="1" w:lastColumn="0" w:noHBand="0" w:noVBand="1"/>
      </w:tblPr>
      <w:tblGrid>
        <w:gridCol w:w="10456"/>
      </w:tblGrid>
      <w:tr w:rsidR="00477473" w:rsidRPr="00B271DB" w14:paraId="19E52BCF" w14:textId="77777777" w:rsidTr="00477473">
        <w:tc>
          <w:tcPr>
            <w:tcW w:w="10456" w:type="dxa"/>
          </w:tcPr>
          <w:p w14:paraId="1773B7D4" w14:textId="56B00400" w:rsidR="00477473" w:rsidRPr="00F00FAC" w:rsidRDefault="00477473" w:rsidP="00F00FAC">
            <w:pPr>
              <w:jc w:val="both"/>
              <w:rPr>
                <w:rFonts w:asciiTheme="minorHAnsi" w:hAnsiTheme="minorHAnsi"/>
                <w:sz w:val="20"/>
                <w:lang w:val="en-GB"/>
              </w:rPr>
            </w:pPr>
            <w:r w:rsidRPr="00F00FAC">
              <w:rPr>
                <w:rFonts w:asciiTheme="minorHAnsi" w:hAnsiTheme="minorHAnsi"/>
                <w:sz w:val="20"/>
                <w:lang w:val="en-GB"/>
              </w:rPr>
              <w:t xml:space="preserve">Between 2018 and 2020, the Kyrgyz Republic has fully met the conditions for co-financing of HIV and TB programmes. As noted earlier, the domestic allocation for procurement of ARV drugs and health products </w:t>
            </w:r>
            <w:proofErr w:type="gramStart"/>
            <w:r w:rsidRPr="00F00FAC">
              <w:rPr>
                <w:rFonts w:asciiTheme="minorHAnsi" w:hAnsiTheme="minorHAnsi"/>
                <w:sz w:val="20"/>
                <w:lang w:val="en-GB"/>
              </w:rPr>
              <w:t>was increased</w:t>
            </w:r>
            <w:proofErr w:type="gramEnd"/>
            <w:r w:rsidRPr="00F00FAC">
              <w:rPr>
                <w:rFonts w:asciiTheme="minorHAnsi" w:hAnsiTheme="minorHAnsi"/>
                <w:sz w:val="20"/>
                <w:lang w:val="en-GB"/>
              </w:rPr>
              <w:t xml:space="preserve">, HIV prevention programmes had been supported and the TB service streamlining/optimisation made it possible to invest more than 1.2 million USD on top-up payments into health personnel and procurement of TB drugs. In line with the new commitments, it </w:t>
            </w:r>
            <w:proofErr w:type="gramStart"/>
            <w:r w:rsidRPr="00F00FAC">
              <w:rPr>
                <w:rFonts w:asciiTheme="minorHAnsi" w:hAnsiTheme="minorHAnsi"/>
                <w:sz w:val="20"/>
                <w:lang w:val="en-GB"/>
              </w:rPr>
              <w:t>is intended</w:t>
            </w:r>
            <w:proofErr w:type="gramEnd"/>
            <w:r w:rsidRPr="00F00FAC">
              <w:rPr>
                <w:rFonts w:asciiTheme="minorHAnsi" w:hAnsiTheme="minorHAnsi"/>
                <w:sz w:val="20"/>
                <w:lang w:val="en-GB"/>
              </w:rPr>
              <w:t xml:space="preserve"> to additionally disburse 3,989,707 USD for HIV and TB programmes between 2021 and 2023. At the same time, an additional 2,700,000 USD will be allocated annually for tuberculosis during 2021-2023, which is 1.1 million USD more compared to 2020, whereas 3</w:t>
            </w:r>
            <w:r w:rsidR="00AA5CBD">
              <w:rPr>
                <w:rFonts w:asciiTheme="minorHAnsi" w:hAnsiTheme="minorHAnsi"/>
                <w:sz w:val="20"/>
                <w:lang w:val="en-GB"/>
              </w:rPr>
              <w:t>,</w:t>
            </w:r>
            <w:r w:rsidRPr="00F00FAC">
              <w:rPr>
                <w:rFonts w:asciiTheme="minorHAnsi" w:hAnsiTheme="minorHAnsi"/>
                <w:sz w:val="20"/>
                <w:lang w:val="en-GB"/>
              </w:rPr>
              <w:t>663</w:t>
            </w:r>
            <w:r w:rsidR="00AA5CBD">
              <w:rPr>
                <w:rFonts w:asciiTheme="minorHAnsi" w:hAnsiTheme="minorHAnsi"/>
                <w:sz w:val="20"/>
                <w:lang w:val="en-GB"/>
              </w:rPr>
              <w:t>.</w:t>
            </w:r>
            <w:r w:rsidRPr="00F00FAC">
              <w:rPr>
                <w:rFonts w:asciiTheme="minorHAnsi" w:hAnsiTheme="minorHAnsi"/>
                <w:sz w:val="20"/>
                <w:lang w:val="en-GB"/>
              </w:rPr>
              <w:t xml:space="preserve">8 million USD will </w:t>
            </w:r>
            <w:proofErr w:type="gramStart"/>
            <w:r w:rsidRPr="00F00FAC">
              <w:rPr>
                <w:rFonts w:asciiTheme="minorHAnsi" w:hAnsiTheme="minorHAnsi"/>
                <w:sz w:val="20"/>
                <w:lang w:val="en-GB"/>
              </w:rPr>
              <w:t>be disbursed</w:t>
            </w:r>
            <w:proofErr w:type="gramEnd"/>
            <w:r w:rsidRPr="00F00FAC">
              <w:rPr>
                <w:rFonts w:asciiTheme="minorHAnsi" w:hAnsiTheme="minorHAnsi"/>
                <w:sz w:val="20"/>
                <w:lang w:val="en-GB"/>
              </w:rPr>
              <w:t xml:space="preserve"> for HIV programmes in 2021-2023, while 856 thousand USD will be allocated in 2020. </w:t>
            </w:r>
          </w:p>
          <w:p w14:paraId="149DB0C5" w14:textId="4D5FFBF5" w:rsidR="00477473" w:rsidRPr="00F00FAC" w:rsidRDefault="00477473" w:rsidP="00F00FAC">
            <w:pPr>
              <w:jc w:val="both"/>
              <w:rPr>
                <w:rFonts w:cs="Arial"/>
              </w:rPr>
            </w:pPr>
            <w:r w:rsidRPr="00F00FAC">
              <w:rPr>
                <w:rFonts w:asciiTheme="minorHAnsi" w:hAnsiTheme="minorHAnsi"/>
                <w:sz w:val="20"/>
                <w:lang w:val="en-GB"/>
              </w:rPr>
              <w:t xml:space="preserve">In addition, 5-year projects of USAID, CDC on HIV and TB </w:t>
            </w:r>
            <w:proofErr w:type="gramStart"/>
            <w:r w:rsidRPr="00F00FAC">
              <w:rPr>
                <w:rFonts w:asciiTheme="minorHAnsi" w:hAnsiTheme="minorHAnsi"/>
                <w:sz w:val="20"/>
                <w:lang w:val="en-GB"/>
              </w:rPr>
              <w:t>were launched</w:t>
            </w:r>
            <w:proofErr w:type="gramEnd"/>
            <w:r w:rsidRPr="00F00FAC">
              <w:rPr>
                <w:rFonts w:asciiTheme="minorHAnsi" w:hAnsiTheme="minorHAnsi"/>
                <w:sz w:val="20"/>
                <w:lang w:val="en-GB"/>
              </w:rPr>
              <w:t xml:space="preserve"> in the country in early 2020. </w:t>
            </w:r>
            <w:proofErr w:type="gramStart"/>
            <w:r w:rsidRPr="00F00FAC">
              <w:rPr>
                <w:rFonts w:asciiTheme="minorHAnsi" w:hAnsiTheme="minorHAnsi"/>
                <w:sz w:val="20"/>
                <w:lang w:val="en-GB"/>
              </w:rPr>
              <w:t>Taking into account</w:t>
            </w:r>
            <w:proofErr w:type="gramEnd"/>
            <w:r w:rsidRPr="00F00FAC">
              <w:rPr>
                <w:rFonts w:asciiTheme="minorHAnsi" w:hAnsiTheme="minorHAnsi"/>
                <w:sz w:val="20"/>
                <w:lang w:val="en-GB"/>
              </w:rPr>
              <w:t xml:space="preserve"> the fact that the domestic budget is in deficit, the volume of external debt payments is increasing, the potential for increasing funding to respond adequately to two diseases depends on an active position of the </w:t>
            </w:r>
            <w:proofErr w:type="spellStart"/>
            <w:r w:rsidRPr="00F00FAC">
              <w:rPr>
                <w:rFonts w:asciiTheme="minorHAnsi" w:hAnsiTheme="minorHAnsi"/>
                <w:sz w:val="20"/>
                <w:lang w:val="en-GB"/>
              </w:rPr>
              <w:t>MoH</w:t>
            </w:r>
            <w:proofErr w:type="spellEnd"/>
            <w:r w:rsidRPr="00F00FAC">
              <w:rPr>
                <w:rFonts w:asciiTheme="minorHAnsi" w:hAnsiTheme="minorHAnsi"/>
                <w:sz w:val="20"/>
                <w:lang w:val="en-GB"/>
              </w:rPr>
              <w:t xml:space="preserve"> in partnership with international agencies and the civil sector. The application foresees active advocacy actions in this direction and active positioning of the Ministry of Health in partnership with international agencies and the civil sector. This funding requests includes intensive advocacy actions in this area. The Coordination Council for Public Health under the Government of the Kyrgyz Republic chaired by the Deputy Prime Minister held a special meeting on these issues and instructed the Ministry of Finance to develop measures to address these issues which </w:t>
            </w:r>
            <w:proofErr w:type="gramStart"/>
            <w:r w:rsidRPr="00F00FAC">
              <w:rPr>
                <w:rFonts w:asciiTheme="minorHAnsi" w:hAnsiTheme="minorHAnsi"/>
                <w:sz w:val="20"/>
                <w:lang w:val="en-GB"/>
              </w:rPr>
              <w:t>is backed</w:t>
            </w:r>
            <w:proofErr w:type="gramEnd"/>
            <w:r w:rsidRPr="00F00FAC">
              <w:rPr>
                <w:rFonts w:asciiTheme="minorHAnsi" w:hAnsiTheme="minorHAnsi"/>
                <w:sz w:val="20"/>
                <w:lang w:val="en-GB"/>
              </w:rPr>
              <w:t xml:space="preserve"> up the Government's official instruction. Meanwhile, representatives of sectors through public councils under the </w:t>
            </w:r>
            <w:proofErr w:type="spellStart"/>
            <w:r w:rsidRPr="00F00FAC">
              <w:rPr>
                <w:rFonts w:asciiTheme="minorHAnsi" w:hAnsiTheme="minorHAnsi"/>
                <w:sz w:val="20"/>
                <w:lang w:val="en-GB"/>
              </w:rPr>
              <w:t>MoH</w:t>
            </w:r>
            <w:proofErr w:type="spellEnd"/>
            <w:r w:rsidRPr="00F00FAC">
              <w:rPr>
                <w:rFonts w:asciiTheme="minorHAnsi" w:hAnsiTheme="minorHAnsi"/>
                <w:sz w:val="20"/>
                <w:lang w:val="en-GB"/>
              </w:rPr>
              <w:t xml:space="preserve"> and the </w:t>
            </w:r>
            <w:proofErr w:type="spellStart"/>
            <w:r w:rsidRPr="00F00FAC">
              <w:rPr>
                <w:rFonts w:asciiTheme="minorHAnsi" w:hAnsiTheme="minorHAnsi"/>
                <w:sz w:val="20"/>
                <w:lang w:val="en-GB"/>
              </w:rPr>
              <w:t>MoF</w:t>
            </w:r>
            <w:proofErr w:type="spellEnd"/>
            <w:r w:rsidRPr="00F00FAC">
              <w:rPr>
                <w:rFonts w:asciiTheme="minorHAnsi" w:hAnsiTheme="minorHAnsi"/>
                <w:sz w:val="20"/>
                <w:lang w:val="en-GB"/>
              </w:rPr>
              <w:t xml:space="preserve"> will hold public hearings on draft national budget, participate in development of budgets </w:t>
            </w:r>
            <w:proofErr w:type="gramStart"/>
            <w:r w:rsidRPr="00F00FAC">
              <w:rPr>
                <w:rFonts w:asciiTheme="minorHAnsi" w:hAnsiTheme="minorHAnsi"/>
                <w:sz w:val="20"/>
                <w:lang w:val="en-GB"/>
              </w:rPr>
              <w:t>in order to</w:t>
            </w:r>
            <w:proofErr w:type="gramEnd"/>
            <w:r w:rsidRPr="00F00FAC">
              <w:rPr>
                <w:rFonts w:asciiTheme="minorHAnsi" w:hAnsiTheme="minorHAnsi"/>
                <w:sz w:val="20"/>
                <w:lang w:val="en-GB"/>
              </w:rPr>
              <w:t xml:space="preserve"> enhance the priority funding for HIV and TB programmes in the process of state budget development.</w:t>
            </w:r>
          </w:p>
        </w:tc>
      </w:tr>
    </w:tbl>
    <w:p w14:paraId="07CE579B" w14:textId="77777777" w:rsidR="00485066" w:rsidRPr="00B271DB" w:rsidRDefault="00485066" w:rsidP="00485066">
      <w:pPr>
        <w:spacing w:after="0"/>
        <w:jc w:val="both"/>
        <w:rPr>
          <w:rFonts w:eastAsia="Times New Roman" w:cs="Arial"/>
        </w:rPr>
      </w:pPr>
    </w:p>
    <w:p w14:paraId="2FCAC622" w14:textId="645E18EA" w:rsidR="00AE7A47" w:rsidRDefault="00485066" w:rsidP="008B5FE3">
      <w:pPr>
        <w:pStyle w:val="affff3"/>
        <w:numPr>
          <w:ilvl w:val="0"/>
          <w:numId w:val="22"/>
        </w:numPr>
        <w:spacing w:after="0" w:line="260" w:lineRule="atLeast"/>
        <w:jc w:val="both"/>
      </w:pPr>
      <w:r w:rsidRPr="00B271DB">
        <w:lastRenderedPageBreak/>
        <w:t xml:space="preserve">Highlight </w:t>
      </w:r>
      <w:r w:rsidRPr="0096146C">
        <w:rPr>
          <w:b/>
        </w:rPr>
        <w:t>challenges</w:t>
      </w:r>
      <w:r w:rsidRPr="00B271DB">
        <w:t xml:space="preserve"> related to sustainability</w:t>
      </w:r>
      <w:r w:rsidR="00A76BD8">
        <w:t xml:space="preserve"> (see indicative list in the </w:t>
      </w:r>
      <w:r w:rsidR="00A76BD8" w:rsidRPr="00B2724B">
        <w:rPr>
          <w:i/>
        </w:rPr>
        <w:t>Instructions</w:t>
      </w:r>
      <w:r w:rsidR="00A76BD8">
        <w:t>)</w:t>
      </w:r>
      <w:r w:rsidRPr="00B271DB">
        <w:t>.</w:t>
      </w:r>
      <w:r w:rsidR="00A76BD8" w:rsidRPr="00A76BD8">
        <w:t xml:space="preserve"> </w:t>
      </w:r>
      <w:r w:rsidR="00A76BD8">
        <w:t xml:space="preserve">Explain how these challenges will be addressed either through </w:t>
      </w:r>
      <w:r w:rsidR="00B74DAA">
        <w:t xml:space="preserve">this </w:t>
      </w:r>
      <w:r w:rsidR="00A76BD8">
        <w:t>funding request or other sources.</w:t>
      </w:r>
      <w:r w:rsidRPr="00B271DB">
        <w:t xml:space="preserve"> </w:t>
      </w:r>
      <w:r w:rsidR="00AE7A47" w:rsidRPr="005305D5">
        <w:t>If already described in the national strategy, sustainability and/or transition plan, and/or other documentation submitted with the funding request, refer to relevant sections</w:t>
      </w:r>
      <w:r w:rsidR="00084B50">
        <w:t xml:space="preserve"> of those documents</w:t>
      </w:r>
      <w:r w:rsidR="00AE7A47">
        <w:t>.</w:t>
      </w:r>
    </w:p>
    <w:p w14:paraId="120379A7" w14:textId="44952B9B" w:rsidR="00485066" w:rsidRPr="00B271DB" w:rsidRDefault="00485066" w:rsidP="001F7F10">
      <w:pPr>
        <w:pStyle w:val="affff3"/>
        <w:spacing w:after="0" w:line="260" w:lineRule="atLeast"/>
        <w:ind w:left="360"/>
        <w:jc w:val="both"/>
      </w:pPr>
    </w:p>
    <w:tbl>
      <w:tblPr>
        <w:tblStyle w:val="aa"/>
        <w:tblW w:w="0" w:type="auto"/>
        <w:tblLook w:val="04A0" w:firstRow="1" w:lastRow="0" w:firstColumn="1" w:lastColumn="0" w:noHBand="0" w:noVBand="1"/>
      </w:tblPr>
      <w:tblGrid>
        <w:gridCol w:w="10456"/>
      </w:tblGrid>
      <w:tr w:rsidR="005E6229" w:rsidRPr="00B271DB" w14:paraId="7030BF11" w14:textId="77777777" w:rsidTr="005279BC">
        <w:tc>
          <w:tcPr>
            <w:tcW w:w="10790" w:type="dxa"/>
          </w:tcPr>
          <w:p w14:paraId="22E11ECF" w14:textId="77777777" w:rsidR="00F00FAC" w:rsidRPr="00436195" w:rsidRDefault="00F00FAC" w:rsidP="00477473">
            <w:pPr>
              <w:jc w:val="both"/>
              <w:rPr>
                <w:rFonts w:asciiTheme="minorHAnsi" w:hAnsiTheme="minorHAnsi"/>
                <w:sz w:val="20"/>
                <w:lang w:val="en-GB"/>
              </w:rPr>
            </w:pPr>
            <w:r w:rsidRPr="00436195">
              <w:rPr>
                <w:rFonts w:asciiTheme="minorHAnsi" w:hAnsiTheme="minorHAnsi"/>
                <w:sz w:val="20"/>
                <w:lang w:val="en-GB"/>
              </w:rPr>
              <w:t>The volume of health program</w:t>
            </w:r>
            <w:r>
              <w:rPr>
                <w:rFonts w:asciiTheme="minorHAnsi" w:hAnsiTheme="minorHAnsi"/>
                <w:sz w:val="20"/>
                <w:lang w:val="en-GB"/>
              </w:rPr>
              <w:t>me</w:t>
            </w:r>
            <w:r w:rsidRPr="00436195">
              <w:rPr>
                <w:rFonts w:asciiTheme="minorHAnsi" w:hAnsiTheme="minorHAnsi"/>
                <w:sz w:val="20"/>
                <w:lang w:val="en-GB"/>
              </w:rPr>
              <w:t>s spending fr</w:t>
            </w:r>
            <w:r>
              <w:rPr>
                <w:rFonts w:asciiTheme="minorHAnsi" w:hAnsiTheme="minorHAnsi"/>
                <w:sz w:val="20"/>
                <w:lang w:val="en-GB"/>
              </w:rPr>
              <w:t>o</w:t>
            </w:r>
            <w:r w:rsidRPr="00436195">
              <w:rPr>
                <w:rFonts w:asciiTheme="minorHAnsi" w:hAnsiTheme="minorHAnsi"/>
                <w:sz w:val="20"/>
                <w:lang w:val="en-GB"/>
              </w:rPr>
              <w:t xml:space="preserve">m government budget deficit has </w:t>
            </w:r>
            <w:proofErr w:type="gramStart"/>
            <w:r w:rsidRPr="00436195">
              <w:rPr>
                <w:rFonts w:asciiTheme="minorHAnsi" w:hAnsiTheme="minorHAnsi"/>
                <w:sz w:val="20"/>
                <w:lang w:val="en-GB"/>
              </w:rPr>
              <w:t>been reduced</w:t>
            </w:r>
            <w:proofErr w:type="gramEnd"/>
            <w:r w:rsidRPr="00436195">
              <w:rPr>
                <w:rFonts w:asciiTheme="minorHAnsi" w:hAnsiTheme="minorHAnsi"/>
                <w:sz w:val="20"/>
                <w:lang w:val="en-GB"/>
              </w:rPr>
              <w:t xml:space="preserve"> to 9.5% of the total spending. The growing volume of external debt repayments and unsteady economic situation globally and locally are putting high pressure on the state budget. In addition, the national health needs may impact the allocations to HIV and TB programmes. </w:t>
            </w:r>
          </w:p>
          <w:p w14:paraId="3167A562" w14:textId="77777777" w:rsidR="00F00FAC" w:rsidRPr="00436195" w:rsidRDefault="00F00FAC" w:rsidP="00477473">
            <w:pPr>
              <w:jc w:val="both"/>
              <w:rPr>
                <w:rFonts w:asciiTheme="minorHAnsi" w:hAnsiTheme="minorHAnsi"/>
                <w:sz w:val="20"/>
                <w:lang w:val="en-GB"/>
              </w:rPr>
            </w:pPr>
            <w:r w:rsidRPr="00436195">
              <w:rPr>
                <w:rFonts w:asciiTheme="minorHAnsi" w:hAnsiTheme="minorHAnsi"/>
                <w:sz w:val="20"/>
                <w:lang w:val="en-GB"/>
              </w:rPr>
              <w:t xml:space="preserve">As noted above, the second line TB drugs (SLD), TB tests and reagents </w:t>
            </w:r>
            <w:proofErr w:type="gramStart"/>
            <w:r w:rsidRPr="00436195">
              <w:rPr>
                <w:rFonts w:asciiTheme="minorHAnsi" w:hAnsiTheme="minorHAnsi"/>
                <w:sz w:val="20"/>
                <w:lang w:val="en-GB"/>
              </w:rPr>
              <w:t>are not registered</w:t>
            </w:r>
            <w:proofErr w:type="gramEnd"/>
            <w:r w:rsidRPr="00436195">
              <w:rPr>
                <w:rFonts w:asciiTheme="minorHAnsi" w:hAnsiTheme="minorHAnsi"/>
                <w:sz w:val="20"/>
                <w:lang w:val="en-GB"/>
              </w:rPr>
              <w:t xml:space="preserve"> in the country and while transitioning to domestic funding there is a high risk of not having a possibility </w:t>
            </w:r>
            <w:r>
              <w:rPr>
                <w:rFonts w:asciiTheme="minorHAnsi" w:hAnsiTheme="minorHAnsi"/>
                <w:sz w:val="20"/>
                <w:lang w:val="en-GB"/>
              </w:rPr>
              <w:t>to procure them locally</w:t>
            </w:r>
            <w:r w:rsidRPr="00436195">
              <w:rPr>
                <w:rFonts w:asciiTheme="minorHAnsi" w:hAnsiTheme="minorHAnsi"/>
                <w:sz w:val="20"/>
                <w:lang w:val="en-GB"/>
              </w:rPr>
              <w:t xml:space="preserve"> unless mitigation measures are implemented. </w:t>
            </w:r>
            <w:proofErr w:type="gramStart"/>
            <w:r w:rsidRPr="00436195">
              <w:rPr>
                <w:rFonts w:asciiTheme="minorHAnsi" w:hAnsiTheme="minorHAnsi"/>
                <w:sz w:val="20"/>
                <w:lang w:val="en-GB"/>
              </w:rPr>
              <w:t>In order to</w:t>
            </w:r>
            <w:proofErr w:type="gramEnd"/>
            <w:r w:rsidRPr="00436195">
              <w:rPr>
                <w:rFonts w:asciiTheme="minorHAnsi" w:hAnsiTheme="minorHAnsi"/>
                <w:sz w:val="20"/>
                <w:lang w:val="en-GB"/>
              </w:rPr>
              <w:t xml:space="preserve"> tackle these issues, </w:t>
            </w:r>
            <w:r>
              <w:rPr>
                <w:rFonts w:asciiTheme="minorHAnsi" w:hAnsiTheme="minorHAnsi"/>
                <w:sz w:val="20"/>
                <w:lang w:val="en-GB"/>
              </w:rPr>
              <w:t xml:space="preserve">the </w:t>
            </w:r>
            <w:r w:rsidRPr="00436195">
              <w:rPr>
                <w:rFonts w:asciiTheme="minorHAnsi" w:hAnsiTheme="minorHAnsi"/>
                <w:sz w:val="20"/>
                <w:lang w:val="en-GB"/>
              </w:rPr>
              <w:t xml:space="preserve">TB transition plan is under development and procedures for domestic registration of drugs and tests will be initiated. In addition, it </w:t>
            </w:r>
            <w:proofErr w:type="gramStart"/>
            <w:r w:rsidRPr="00436195">
              <w:rPr>
                <w:rFonts w:asciiTheme="minorHAnsi" w:hAnsiTheme="minorHAnsi"/>
                <w:sz w:val="20"/>
                <w:lang w:val="en-GB"/>
              </w:rPr>
              <w:t>is intended</w:t>
            </w:r>
            <w:proofErr w:type="gramEnd"/>
            <w:r w:rsidRPr="00436195">
              <w:rPr>
                <w:rFonts w:asciiTheme="minorHAnsi" w:hAnsiTheme="minorHAnsi"/>
                <w:sz w:val="20"/>
                <w:lang w:val="en-GB"/>
              </w:rPr>
              <w:t xml:space="preserve"> to continue advocating amendments to the law "On public procurement" to provide for procurement opportunities through international platforms.</w:t>
            </w:r>
          </w:p>
          <w:p w14:paraId="704068F1" w14:textId="77777777" w:rsidR="00F00FAC" w:rsidRPr="00436195" w:rsidRDefault="00F00FAC" w:rsidP="00477473">
            <w:pPr>
              <w:jc w:val="both"/>
              <w:rPr>
                <w:rFonts w:asciiTheme="minorHAnsi" w:hAnsiTheme="minorHAnsi"/>
                <w:sz w:val="20"/>
                <w:lang w:val="en-GB"/>
              </w:rPr>
            </w:pPr>
            <w:proofErr w:type="gramStart"/>
            <w:r w:rsidRPr="00436195">
              <w:rPr>
                <w:rFonts w:asciiTheme="minorHAnsi" w:hAnsiTheme="minorHAnsi"/>
                <w:sz w:val="20"/>
                <w:lang w:val="en-GB"/>
              </w:rPr>
              <w:t>The substitution therapy program</w:t>
            </w:r>
            <w:r>
              <w:rPr>
                <w:rFonts w:asciiTheme="minorHAnsi" w:hAnsiTheme="minorHAnsi"/>
                <w:sz w:val="20"/>
                <w:lang w:val="en-GB"/>
              </w:rPr>
              <w:t>me</w:t>
            </w:r>
            <w:r w:rsidRPr="00436195">
              <w:rPr>
                <w:rFonts w:asciiTheme="minorHAnsi" w:hAnsiTheme="minorHAnsi"/>
                <w:sz w:val="20"/>
                <w:lang w:val="en-GB"/>
              </w:rPr>
              <w:t xml:space="preserve">s and </w:t>
            </w:r>
            <w:r>
              <w:rPr>
                <w:rFonts w:asciiTheme="minorHAnsi" w:hAnsiTheme="minorHAnsi"/>
                <w:sz w:val="20"/>
                <w:lang w:val="en-GB"/>
              </w:rPr>
              <w:t xml:space="preserve">penitentiary </w:t>
            </w:r>
            <w:r w:rsidRPr="00436195">
              <w:rPr>
                <w:rFonts w:asciiTheme="minorHAnsi" w:hAnsiTheme="minorHAnsi"/>
                <w:sz w:val="20"/>
                <w:lang w:val="en-GB"/>
              </w:rPr>
              <w:t>system program</w:t>
            </w:r>
            <w:r>
              <w:rPr>
                <w:rFonts w:asciiTheme="minorHAnsi" w:hAnsiTheme="minorHAnsi"/>
                <w:sz w:val="20"/>
                <w:lang w:val="en-GB"/>
              </w:rPr>
              <w:t>me</w:t>
            </w:r>
            <w:r w:rsidRPr="00436195">
              <w:rPr>
                <w:rFonts w:asciiTheme="minorHAnsi" w:hAnsiTheme="minorHAnsi"/>
                <w:sz w:val="20"/>
                <w:lang w:val="en-GB"/>
              </w:rPr>
              <w:t xml:space="preserve">s are predominantly supported by </w:t>
            </w:r>
            <w:r>
              <w:rPr>
                <w:rFonts w:asciiTheme="minorHAnsi" w:hAnsiTheme="minorHAnsi"/>
                <w:sz w:val="20"/>
                <w:lang w:val="en-GB"/>
              </w:rPr>
              <w:t>GF</w:t>
            </w:r>
            <w:proofErr w:type="gramEnd"/>
            <w:r w:rsidRPr="00436195">
              <w:rPr>
                <w:rFonts w:asciiTheme="minorHAnsi" w:hAnsiTheme="minorHAnsi"/>
                <w:sz w:val="20"/>
                <w:lang w:val="en-GB"/>
              </w:rPr>
              <w:t xml:space="preserve"> and currently the efforts to develop a plan for transition to domestic funding of HIV and TB program</w:t>
            </w:r>
            <w:r>
              <w:rPr>
                <w:rFonts w:asciiTheme="minorHAnsi" w:hAnsiTheme="minorHAnsi"/>
                <w:sz w:val="20"/>
                <w:lang w:val="en-GB"/>
              </w:rPr>
              <w:t>mes in the penitentiary</w:t>
            </w:r>
            <w:r w:rsidRPr="00436195">
              <w:rPr>
                <w:rFonts w:asciiTheme="minorHAnsi" w:hAnsiTheme="minorHAnsi"/>
                <w:sz w:val="20"/>
                <w:lang w:val="en-GB"/>
              </w:rPr>
              <w:t xml:space="preserve"> system have been initiated, however, its approval and implementation will require advocacy actions. </w:t>
            </w:r>
          </w:p>
          <w:p w14:paraId="4F67F4D7" w14:textId="7206E0EB" w:rsidR="005E6229" w:rsidRPr="00B271DB" w:rsidRDefault="00F00FAC" w:rsidP="00477473">
            <w:pPr>
              <w:jc w:val="both"/>
              <w:rPr>
                <w:rFonts w:cs="Arial"/>
              </w:rPr>
            </w:pPr>
            <w:r w:rsidRPr="00436195">
              <w:rPr>
                <w:rFonts w:asciiTheme="minorHAnsi" w:hAnsiTheme="minorHAnsi"/>
                <w:sz w:val="20"/>
                <w:lang w:val="en-GB"/>
              </w:rPr>
              <w:t>Prevention program</w:t>
            </w:r>
            <w:r>
              <w:rPr>
                <w:rFonts w:asciiTheme="minorHAnsi" w:hAnsiTheme="minorHAnsi"/>
                <w:sz w:val="20"/>
                <w:lang w:val="en-GB"/>
              </w:rPr>
              <w:t>me</w:t>
            </w:r>
            <w:r w:rsidRPr="00436195">
              <w:rPr>
                <w:rFonts w:asciiTheme="minorHAnsi" w:hAnsiTheme="minorHAnsi"/>
                <w:sz w:val="20"/>
                <w:lang w:val="en-GB"/>
              </w:rPr>
              <w:t xml:space="preserve">s for key populations </w:t>
            </w:r>
            <w:proofErr w:type="gramStart"/>
            <w:r w:rsidRPr="00436195">
              <w:rPr>
                <w:rFonts w:asciiTheme="minorHAnsi" w:hAnsiTheme="minorHAnsi"/>
                <w:sz w:val="20"/>
                <w:lang w:val="en-GB"/>
              </w:rPr>
              <w:t>are largely financed</w:t>
            </w:r>
            <w:proofErr w:type="gramEnd"/>
            <w:r w:rsidRPr="00436195">
              <w:rPr>
                <w:rFonts w:asciiTheme="minorHAnsi" w:hAnsiTheme="minorHAnsi"/>
                <w:sz w:val="20"/>
                <w:lang w:val="en-GB"/>
              </w:rPr>
              <w:t xml:space="preserve"> </w:t>
            </w:r>
            <w:r>
              <w:rPr>
                <w:rFonts w:asciiTheme="minorHAnsi" w:hAnsiTheme="minorHAnsi"/>
                <w:sz w:val="20"/>
                <w:lang w:val="en-GB"/>
              </w:rPr>
              <w:t>through the GF</w:t>
            </w:r>
            <w:r w:rsidRPr="00436195">
              <w:rPr>
                <w:rFonts w:asciiTheme="minorHAnsi" w:hAnsiTheme="minorHAnsi"/>
                <w:sz w:val="20"/>
                <w:lang w:val="en-GB"/>
              </w:rPr>
              <w:t>, however, since 2018 the state social contracting mechanism for program</w:t>
            </w:r>
            <w:r>
              <w:rPr>
                <w:rFonts w:asciiTheme="minorHAnsi" w:hAnsiTheme="minorHAnsi"/>
                <w:sz w:val="20"/>
                <w:lang w:val="en-GB"/>
              </w:rPr>
              <w:t>me</w:t>
            </w:r>
            <w:r w:rsidRPr="00436195">
              <w:rPr>
                <w:rFonts w:asciiTheme="minorHAnsi" w:hAnsiTheme="minorHAnsi"/>
                <w:sz w:val="20"/>
                <w:lang w:val="en-GB"/>
              </w:rPr>
              <w:t>s to respond to HIV and TB has been implemented, the allocation of funds for these program</w:t>
            </w:r>
            <w:r>
              <w:rPr>
                <w:rFonts w:asciiTheme="minorHAnsi" w:hAnsiTheme="minorHAnsi"/>
                <w:sz w:val="20"/>
                <w:lang w:val="en-GB"/>
              </w:rPr>
              <w:t>me</w:t>
            </w:r>
            <w:r w:rsidRPr="00436195">
              <w:rPr>
                <w:rFonts w:asciiTheme="minorHAnsi" w:hAnsiTheme="minorHAnsi"/>
                <w:sz w:val="20"/>
                <w:lang w:val="en-GB"/>
              </w:rPr>
              <w:t>s has started and upon completion of at least 30% of prevention program</w:t>
            </w:r>
            <w:r>
              <w:rPr>
                <w:rFonts w:asciiTheme="minorHAnsi" w:hAnsiTheme="minorHAnsi"/>
                <w:sz w:val="20"/>
                <w:lang w:val="en-GB"/>
              </w:rPr>
              <w:t>me</w:t>
            </w:r>
            <w:r w:rsidRPr="00436195">
              <w:rPr>
                <w:rFonts w:asciiTheme="minorHAnsi" w:hAnsiTheme="minorHAnsi"/>
                <w:sz w:val="20"/>
                <w:lang w:val="en-GB"/>
              </w:rPr>
              <w:t xml:space="preserve">s will be financed from the government budget. In future, it will require further support, though of </w:t>
            </w:r>
            <w:r>
              <w:rPr>
                <w:rFonts w:asciiTheme="minorHAnsi" w:hAnsiTheme="minorHAnsi"/>
                <w:sz w:val="20"/>
                <w:lang w:val="en-GB"/>
              </w:rPr>
              <w:t>smaller</w:t>
            </w:r>
            <w:r w:rsidRPr="00436195">
              <w:rPr>
                <w:rFonts w:asciiTheme="minorHAnsi" w:hAnsiTheme="minorHAnsi"/>
                <w:sz w:val="20"/>
                <w:lang w:val="en-GB"/>
              </w:rPr>
              <w:t xml:space="preserve"> scale.</w:t>
            </w:r>
          </w:p>
        </w:tc>
      </w:tr>
    </w:tbl>
    <w:p w14:paraId="191ED7DA" w14:textId="77777777" w:rsidR="005E6229" w:rsidRPr="00B271DB" w:rsidRDefault="005E6229" w:rsidP="005E6229">
      <w:pPr>
        <w:pStyle w:val="affff3"/>
        <w:ind w:left="360"/>
      </w:pPr>
    </w:p>
    <w:p w14:paraId="6228BDE3" w14:textId="14BC6B03" w:rsidR="00485066" w:rsidRPr="007364E8" w:rsidRDefault="00D2174E" w:rsidP="008B5FE3">
      <w:pPr>
        <w:pStyle w:val="affff3"/>
        <w:numPr>
          <w:ilvl w:val="0"/>
          <w:numId w:val="22"/>
        </w:numPr>
        <w:spacing w:after="160" w:line="260" w:lineRule="atLeast"/>
        <w:jc w:val="both"/>
      </w:pPr>
      <w:r w:rsidRPr="007364E8">
        <w:t>If you have developed and impl</w:t>
      </w:r>
      <w:r w:rsidR="006931FE" w:rsidRPr="007364E8">
        <w:t>emented a t</w:t>
      </w:r>
      <w:r w:rsidRPr="007364E8">
        <w:t xml:space="preserve">ransition </w:t>
      </w:r>
      <w:r w:rsidR="006931FE" w:rsidRPr="007364E8">
        <w:t>w</w:t>
      </w:r>
      <w:r w:rsidRPr="007364E8">
        <w:t xml:space="preserve">orkplan in the </w:t>
      </w:r>
      <w:r w:rsidR="00263E19" w:rsidRPr="007364E8">
        <w:t>current</w:t>
      </w:r>
      <w:r w:rsidRPr="007364E8">
        <w:t xml:space="preserve"> </w:t>
      </w:r>
      <w:r w:rsidR="00AE7A47" w:rsidRPr="007364E8">
        <w:t xml:space="preserve">allocation </w:t>
      </w:r>
      <w:r w:rsidRPr="007364E8">
        <w:t>cycle, provide a status</w:t>
      </w:r>
      <w:r w:rsidRPr="007364E8">
        <w:rPr>
          <w:b/>
        </w:rPr>
        <w:t xml:space="preserve"> update</w:t>
      </w:r>
      <w:r w:rsidRPr="007364E8">
        <w:t xml:space="preserve"> as to what </w:t>
      </w:r>
      <w:r w:rsidR="00AE7A47" w:rsidRPr="007364E8">
        <w:t>has been</w:t>
      </w:r>
      <w:r w:rsidRPr="007364E8">
        <w:t xml:space="preserve"> achieved.</w:t>
      </w:r>
    </w:p>
    <w:p w14:paraId="0DFEC9C8" w14:textId="77777777" w:rsidR="00485066" w:rsidRPr="00B271DB" w:rsidRDefault="00485066" w:rsidP="00485066">
      <w:pPr>
        <w:pStyle w:val="affff3"/>
        <w:spacing w:before="120" w:after="0" w:line="240" w:lineRule="auto"/>
        <w:ind w:left="0"/>
        <w:jc w:val="both"/>
        <w:rPr>
          <w:rFonts w:cs="Arial"/>
          <w:bCs/>
          <w:iCs/>
        </w:rPr>
      </w:pPr>
    </w:p>
    <w:tbl>
      <w:tblPr>
        <w:tblStyle w:val="aa"/>
        <w:tblW w:w="0" w:type="auto"/>
        <w:tblLook w:val="04A0" w:firstRow="1" w:lastRow="0" w:firstColumn="1" w:lastColumn="0" w:noHBand="0" w:noVBand="1"/>
      </w:tblPr>
      <w:tblGrid>
        <w:gridCol w:w="10456"/>
      </w:tblGrid>
      <w:tr w:rsidR="00485066" w:rsidRPr="00B271DB" w14:paraId="6B5C2BAD" w14:textId="77777777" w:rsidTr="005279BC">
        <w:tc>
          <w:tcPr>
            <w:tcW w:w="10790" w:type="dxa"/>
          </w:tcPr>
          <w:p w14:paraId="34FA6B98" w14:textId="77777777" w:rsidR="00F00FAC" w:rsidRPr="00436195" w:rsidRDefault="00F00FAC" w:rsidP="00F00FAC">
            <w:pPr>
              <w:jc w:val="both"/>
              <w:rPr>
                <w:rFonts w:asciiTheme="minorHAnsi" w:hAnsiTheme="minorHAnsi"/>
                <w:sz w:val="20"/>
                <w:lang w:val="en-GB"/>
              </w:rPr>
            </w:pPr>
            <w:r w:rsidRPr="00436195">
              <w:rPr>
                <w:rFonts w:asciiTheme="minorHAnsi" w:hAnsiTheme="minorHAnsi"/>
                <w:sz w:val="20"/>
                <w:lang w:val="en-GB"/>
              </w:rPr>
              <w:t>Under the grant cycle of 2018-2020, the Kyrgyz Republic was to increase funding from domestic sources by at least 15% of the amount of disbursed</w:t>
            </w:r>
            <w:r>
              <w:rPr>
                <w:rFonts w:asciiTheme="minorHAnsi" w:hAnsiTheme="minorHAnsi"/>
                <w:sz w:val="20"/>
                <w:lang w:val="en-GB"/>
              </w:rPr>
              <w:t xml:space="preserve"> funds (</w:t>
            </w:r>
            <w:r w:rsidRPr="00436195">
              <w:rPr>
                <w:rFonts w:asciiTheme="minorHAnsi" w:hAnsiTheme="minorHAnsi"/>
                <w:sz w:val="20"/>
                <w:lang w:val="en-GB"/>
              </w:rPr>
              <w:t>23 million USD) and the Ministry of Finance of the Kyrgyz Republic confirmed its commitment to increase domestic funding. In line with its commitments, the Government of the Kyrgyz Republic allocated additional 43 million KGS (618.7 thousand USD) for HIV program</w:t>
            </w:r>
            <w:r>
              <w:rPr>
                <w:rFonts w:asciiTheme="minorHAnsi" w:hAnsiTheme="minorHAnsi"/>
                <w:sz w:val="20"/>
                <w:lang w:val="en-GB"/>
              </w:rPr>
              <w:t>me</w:t>
            </w:r>
            <w:r w:rsidRPr="00436195">
              <w:rPr>
                <w:rFonts w:asciiTheme="minorHAnsi" w:hAnsiTheme="minorHAnsi"/>
                <w:sz w:val="20"/>
                <w:lang w:val="en-GB"/>
              </w:rPr>
              <w:t>s in 2018, 63 million KGS (906.47 thousand USD) in 2019 and 63 million KGS</w:t>
            </w:r>
            <w:r>
              <w:rPr>
                <w:rFonts w:asciiTheme="minorHAnsi" w:hAnsiTheme="minorHAnsi"/>
                <w:sz w:val="20"/>
                <w:lang w:val="en-GB"/>
              </w:rPr>
              <w:t xml:space="preserve"> (</w:t>
            </w:r>
            <w:r w:rsidRPr="00436195">
              <w:rPr>
                <w:rFonts w:asciiTheme="minorHAnsi" w:hAnsiTheme="minorHAnsi"/>
                <w:sz w:val="20"/>
                <w:lang w:val="en-GB"/>
              </w:rPr>
              <w:t xml:space="preserve">906.47 thousand USD) in 2020, which </w:t>
            </w:r>
            <w:r>
              <w:rPr>
                <w:rFonts w:asciiTheme="minorHAnsi" w:hAnsiTheme="minorHAnsi"/>
                <w:sz w:val="20"/>
                <w:lang w:val="en-GB"/>
              </w:rPr>
              <w:t xml:space="preserve">added up to a total </w:t>
            </w:r>
            <w:proofErr w:type="spellStart"/>
            <w:r>
              <w:rPr>
                <w:rFonts w:asciiTheme="minorHAnsi" w:hAnsiTheme="minorHAnsi"/>
                <w:sz w:val="20"/>
                <w:lang w:val="en-GB"/>
              </w:rPr>
              <w:t>amout</w:t>
            </w:r>
            <w:proofErr w:type="spellEnd"/>
            <w:r>
              <w:rPr>
                <w:rFonts w:asciiTheme="minorHAnsi" w:hAnsiTheme="minorHAnsi"/>
                <w:sz w:val="20"/>
                <w:lang w:val="en-GB"/>
              </w:rPr>
              <w:t xml:space="preserve"> of</w:t>
            </w:r>
            <w:r w:rsidRPr="00436195">
              <w:rPr>
                <w:rFonts w:asciiTheme="minorHAnsi" w:hAnsiTheme="minorHAnsi"/>
                <w:sz w:val="20"/>
                <w:lang w:val="en-GB"/>
              </w:rPr>
              <w:t xml:space="preserve"> 2,431,640 USD. These funds were fully employed for increasing procurement</w:t>
            </w:r>
            <w:r>
              <w:rPr>
                <w:rFonts w:asciiTheme="minorHAnsi" w:hAnsiTheme="minorHAnsi"/>
                <w:sz w:val="20"/>
                <w:lang w:val="en-GB"/>
              </w:rPr>
              <w:t>s</w:t>
            </w:r>
            <w:r w:rsidRPr="00436195">
              <w:rPr>
                <w:rFonts w:asciiTheme="minorHAnsi" w:hAnsiTheme="minorHAnsi"/>
                <w:sz w:val="20"/>
                <w:lang w:val="en-GB"/>
              </w:rPr>
              <w:t xml:space="preserve"> of tests and reagents, ARV drugs, direct-acting antiviral agent</w:t>
            </w:r>
            <w:r>
              <w:rPr>
                <w:rFonts w:asciiTheme="minorHAnsi" w:hAnsiTheme="minorHAnsi"/>
                <w:sz w:val="20"/>
                <w:lang w:val="en-GB"/>
              </w:rPr>
              <w:t>s</w:t>
            </w:r>
            <w:r w:rsidRPr="00436195">
              <w:rPr>
                <w:rFonts w:asciiTheme="minorHAnsi" w:hAnsiTheme="minorHAnsi"/>
                <w:sz w:val="20"/>
                <w:lang w:val="en-GB"/>
              </w:rPr>
              <w:t xml:space="preserve"> for treatment of viral hepatitis C in PLH</w:t>
            </w:r>
            <w:r>
              <w:rPr>
                <w:rFonts w:asciiTheme="minorHAnsi" w:hAnsiTheme="minorHAnsi"/>
                <w:sz w:val="20"/>
                <w:lang w:val="en-GB"/>
              </w:rPr>
              <w:t>IV</w:t>
            </w:r>
            <w:r w:rsidRPr="00436195">
              <w:rPr>
                <w:rFonts w:asciiTheme="minorHAnsi" w:hAnsiTheme="minorHAnsi"/>
                <w:sz w:val="20"/>
                <w:lang w:val="en-GB"/>
              </w:rPr>
              <w:t>. In 2019, 3 million KGS (41,165 U</w:t>
            </w:r>
            <w:r>
              <w:rPr>
                <w:rFonts w:asciiTheme="minorHAnsi" w:hAnsiTheme="minorHAnsi"/>
                <w:sz w:val="20"/>
                <w:lang w:val="en-GB"/>
              </w:rPr>
              <w:t xml:space="preserve">SD) were allocated to pilot </w:t>
            </w:r>
            <w:r w:rsidRPr="00436195">
              <w:rPr>
                <w:rFonts w:asciiTheme="minorHAnsi" w:hAnsiTheme="minorHAnsi"/>
                <w:sz w:val="20"/>
                <w:lang w:val="en-GB"/>
              </w:rPr>
              <w:t xml:space="preserve">state social contracting projects for </w:t>
            </w:r>
            <w:r>
              <w:rPr>
                <w:rFonts w:asciiTheme="minorHAnsi" w:hAnsiTheme="minorHAnsi"/>
                <w:sz w:val="20"/>
                <w:lang w:val="en-GB"/>
              </w:rPr>
              <w:t>HIV-</w:t>
            </w:r>
            <w:r w:rsidRPr="00436195">
              <w:rPr>
                <w:rFonts w:asciiTheme="minorHAnsi" w:hAnsiTheme="minorHAnsi"/>
                <w:sz w:val="20"/>
                <w:lang w:val="en-GB"/>
              </w:rPr>
              <w:t>related support and care program</w:t>
            </w:r>
            <w:r>
              <w:rPr>
                <w:rFonts w:asciiTheme="minorHAnsi" w:hAnsiTheme="minorHAnsi"/>
                <w:sz w:val="20"/>
                <w:lang w:val="en-GB"/>
              </w:rPr>
              <w:t>me</w:t>
            </w:r>
            <w:r w:rsidRPr="00436195">
              <w:rPr>
                <w:rFonts w:asciiTheme="minorHAnsi" w:hAnsiTheme="minorHAnsi"/>
                <w:sz w:val="20"/>
                <w:lang w:val="en-GB"/>
              </w:rPr>
              <w:t xml:space="preserve">s. In 2020, advocacy campaigns resulted in reduced cost of ARV and HCV drugs that enabled increasing the volume of ARV drugs </w:t>
            </w:r>
            <w:r>
              <w:rPr>
                <w:rFonts w:asciiTheme="minorHAnsi" w:hAnsiTheme="minorHAnsi"/>
                <w:sz w:val="20"/>
                <w:lang w:val="en-GB"/>
              </w:rPr>
              <w:t>procured</w:t>
            </w:r>
            <w:r w:rsidRPr="00436195">
              <w:rPr>
                <w:rFonts w:asciiTheme="minorHAnsi" w:hAnsiTheme="minorHAnsi"/>
                <w:sz w:val="20"/>
                <w:lang w:val="en-GB"/>
              </w:rPr>
              <w:t xml:space="preserve">, primarily TLD. </w:t>
            </w:r>
          </w:p>
          <w:p w14:paraId="05FE6F6D" w14:textId="77777777" w:rsidR="00F00FAC" w:rsidRPr="00436195" w:rsidRDefault="00F00FAC" w:rsidP="00F00FAC">
            <w:pPr>
              <w:jc w:val="both"/>
              <w:rPr>
                <w:rFonts w:asciiTheme="minorHAnsi" w:hAnsiTheme="minorHAnsi"/>
                <w:sz w:val="20"/>
                <w:lang w:val="en-GB"/>
              </w:rPr>
            </w:pPr>
            <w:r w:rsidRPr="00436195">
              <w:rPr>
                <w:rFonts w:asciiTheme="minorHAnsi" w:hAnsiTheme="minorHAnsi"/>
                <w:sz w:val="20"/>
                <w:lang w:val="en-GB"/>
              </w:rPr>
              <w:t xml:space="preserve">In addition, the Kyrgyz Republic under the </w:t>
            </w:r>
            <w:r>
              <w:rPr>
                <w:rFonts w:asciiTheme="minorHAnsi" w:hAnsiTheme="minorHAnsi"/>
                <w:sz w:val="20"/>
                <w:lang w:val="en-GB"/>
              </w:rPr>
              <w:t>National HIV Programme</w:t>
            </w:r>
            <w:r w:rsidRPr="00436195">
              <w:rPr>
                <w:rFonts w:asciiTheme="minorHAnsi" w:hAnsiTheme="minorHAnsi"/>
                <w:sz w:val="20"/>
                <w:lang w:val="en-GB"/>
              </w:rPr>
              <w:t xml:space="preserve"> has adopted and implemented the plan for transition to domestic funding of HIV-related program</w:t>
            </w:r>
            <w:r>
              <w:rPr>
                <w:rFonts w:asciiTheme="minorHAnsi" w:hAnsiTheme="minorHAnsi"/>
                <w:sz w:val="20"/>
                <w:lang w:val="en-GB"/>
              </w:rPr>
              <w:t>me</w:t>
            </w:r>
            <w:r w:rsidRPr="00436195">
              <w:rPr>
                <w:rFonts w:asciiTheme="minorHAnsi" w:hAnsiTheme="minorHAnsi"/>
                <w:sz w:val="20"/>
                <w:lang w:val="en-GB"/>
              </w:rPr>
              <w:t>s. Following the plan</w:t>
            </w:r>
            <w:r>
              <w:rPr>
                <w:rFonts w:asciiTheme="minorHAnsi" w:hAnsiTheme="minorHAnsi"/>
                <w:sz w:val="20"/>
                <w:lang w:val="en-GB"/>
              </w:rPr>
              <w:t>,</w:t>
            </w:r>
            <w:r w:rsidRPr="00436195">
              <w:rPr>
                <w:rFonts w:asciiTheme="minorHAnsi" w:hAnsiTheme="minorHAnsi"/>
                <w:sz w:val="20"/>
                <w:lang w:val="en-GB"/>
              </w:rPr>
              <w:t xml:space="preserve"> all required ARV drugs were included in the list of essential drugs, </w:t>
            </w:r>
            <w:r>
              <w:rPr>
                <w:rFonts w:asciiTheme="minorHAnsi" w:hAnsiTheme="minorHAnsi"/>
                <w:sz w:val="20"/>
                <w:lang w:val="en-GB"/>
              </w:rPr>
              <w:t xml:space="preserve">the </w:t>
            </w:r>
            <w:r w:rsidRPr="00436195">
              <w:rPr>
                <w:rFonts w:asciiTheme="minorHAnsi" w:hAnsiTheme="minorHAnsi"/>
                <w:sz w:val="20"/>
                <w:lang w:val="en-GB"/>
              </w:rPr>
              <w:t xml:space="preserve">clinical protocol on HIV diagnostics and treatment has been updated, and efforts were </w:t>
            </w:r>
            <w:r>
              <w:rPr>
                <w:rFonts w:asciiTheme="minorHAnsi" w:hAnsiTheme="minorHAnsi"/>
                <w:sz w:val="20"/>
                <w:lang w:val="en-GB"/>
              </w:rPr>
              <w:t>made</w:t>
            </w:r>
            <w:r w:rsidRPr="00436195">
              <w:rPr>
                <w:rFonts w:asciiTheme="minorHAnsi" w:hAnsiTheme="minorHAnsi"/>
                <w:sz w:val="20"/>
                <w:lang w:val="en-GB"/>
              </w:rPr>
              <w:t xml:space="preserve"> to facilitate the registration of </w:t>
            </w:r>
            <w:proofErr w:type="gramStart"/>
            <w:r w:rsidRPr="00436195">
              <w:rPr>
                <w:rFonts w:asciiTheme="minorHAnsi" w:hAnsiTheme="minorHAnsi"/>
                <w:sz w:val="20"/>
                <w:lang w:val="en-GB"/>
              </w:rPr>
              <w:t>high quality</w:t>
            </w:r>
            <w:proofErr w:type="gramEnd"/>
            <w:r w:rsidRPr="00436195">
              <w:rPr>
                <w:rFonts w:asciiTheme="minorHAnsi" w:hAnsiTheme="minorHAnsi"/>
                <w:sz w:val="20"/>
                <w:lang w:val="en-GB"/>
              </w:rPr>
              <w:t xml:space="preserve"> ARV drugs. </w:t>
            </w:r>
          </w:p>
          <w:p w14:paraId="0D056DD6" w14:textId="072929DE" w:rsidR="00F00FAC" w:rsidRPr="00436195" w:rsidRDefault="00F00FAC" w:rsidP="00F00FAC">
            <w:pPr>
              <w:jc w:val="both"/>
              <w:rPr>
                <w:rFonts w:asciiTheme="minorHAnsi" w:hAnsiTheme="minorHAnsi"/>
                <w:sz w:val="20"/>
                <w:lang w:val="en-GB"/>
              </w:rPr>
            </w:pPr>
            <w:r w:rsidRPr="00436195">
              <w:rPr>
                <w:rFonts w:asciiTheme="minorHAnsi" w:hAnsiTheme="minorHAnsi"/>
                <w:sz w:val="20"/>
                <w:lang w:val="en-GB"/>
              </w:rPr>
              <w:t xml:space="preserve">In 2018, the new law "On State Social Contracting" </w:t>
            </w:r>
            <w:proofErr w:type="gramStart"/>
            <w:r w:rsidRPr="00436195">
              <w:rPr>
                <w:rFonts w:asciiTheme="minorHAnsi" w:hAnsiTheme="minorHAnsi"/>
                <w:sz w:val="20"/>
                <w:lang w:val="en-GB"/>
              </w:rPr>
              <w:t>was adopted</w:t>
            </w:r>
            <w:proofErr w:type="gramEnd"/>
            <w:r w:rsidRPr="00436195">
              <w:rPr>
                <w:rFonts w:asciiTheme="minorHAnsi" w:hAnsiTheme="minorHAnsi"/>
                <w:sz w:val="20"/>
                <w:lang w:val="en-GB"/>
              </w:rPr>
              <w:t xml:space="preserve"> and the Government approved regulations and bylaws to enable full-fledged contractin</w:t>
            </w:r>
            <w:r>
              <w:rPr>
                <w:rFonts w:asciiTheme="minorHAnsi" w:hAnsiTheme="minorHAnsi"/>
                <w:sz w:val="20"/>
                <w:lang w:val="en-GB"/>
              </w:rPr>
              <w:t>g of NGOs</w:t>
            </w:r>
            <w:r w:rsidRPr="00436195">
              <w:rPr>
                <w:rFonts w:asciiTheme="minorHAnsi" w:hAnsiTheme="minorHAnsi"/>
                <w:sz w:val="20"/>
                <w:lang w:val="en-GB"/>
              </w:rPr>
              <w:t xml:space="preserve">. The </w:t>
            </w:r>
            <w:proofErr w:type="spellStart"/>
            <w:r>
              <w:rPr>
                <w:rFonts w:asciiTheme="minorHAnsi" w:hAnsiTheme="minorHAnsi"/>
                <w:sz w:val="20"/>
                <w:lang w:val="en-GB"/>
              </w:rPr>
              <w:t>MoH</w:t>
            </w:r>
            <w:proofErr w:type="spellEnd"/>
            <w:r w:rsidRPr="00436195">
              <w:rPr>
                <w:rFonts w:asciiTheme="minorHAnsi" w:hAnsiTheme="minorHAnsi"/>
                <w:sz w:val="20"/>
                <w:lang w:val="en-GB"/>
              </w:rPr>
              <w:t xml:space="preserve"> in the same year approved the </w:t>
            </w:r>
            <w:r w:rsidR="002A5B3B">
              <w:rPr>
                <w:rFonts w:asciiTheme="minorHAnsi" w:hAnsiTheme="minorHAnsi"/>
                <w:sz w:val="20"/>
                <w:lang w:val="en-GB"/>
              </w:rPr>
              <w:t>SSC</w:t>
            </w:r>
            <w:r w:rsidRPr="00436195">
              <w:rPr>
                <w:rFonts w:asciiTheme="minorHAnsi" w:hAnsiTheme="minorHAnsi"/>
                <w:sz w:val="20"/>
                <w:lang w:val="en-GB"/>
              </w:rPr>
              <w:t xml:space="preserve"> Program</w:t>
            </w:r>
            <w:r>
              <w:rPr>
                <w:rFonts w:asciiTheme="minorHAnsi" w:hAnsiTheme="minorHAnsi"/>
                <w:sz w:val="20"/>
                <w:lang w:val="en-GB"/>
              </w:rPr>
              <w:t xml:space="preserve"> with four</w:t>
            </w:r>
            <w:r w:rsidRPr="00436195">
              <w:rPr>
                <w:rFonts w:asciiTheme="minorHAnsi" w:hAnsiTheme="minorHAnsi"/>
                <w:sz w:val="20"/>
                <w:lang w:val="en-GB"/>
              </w:rPr>
              <w:t xml:space="preserve"> priority areas including HIV and TB. In 2019</w:t>
            </w:r>
            <w:r>
              <w:rPr>
                <w:rFonts w:asciiTheme="minorHAnsi" w:hAnsiTheme="minorHAnsi"/>
                <w:sz w:val="20"/>
                <w:lang w:val="en-GB"/>
              </w:rPr>
              <w:t>,</w:t>
            </w:r>
            <w:r w:rsidRPr="00436195">
              <w:rPr>
                <w:rFonts w:asciiTheme="minorHAnsi" w:hAnsiTheme="minorHAnsi"/>
                <w:sz w:val="20"/>
                <w:lang w:val="en-GB"/>
              </w:rPr>
              <w:t xml:space="preserve"> the standards of services to key populations and PLHIV </w:t>
            </w:r>
            <w:proofErr w:type="gramStart"/>
            <w:r w:rsidRPr="00436195">
              <w:rPr>
                <w:rFonts w:asciiTheme="minorHAnsi" w:hAnsiTheme="minorHAnsi"/>
                <w:sz w:val="20"/>
                <w:lang w:val="en-GB"/>
              </w:rPr>
              <w:t>were approved</w:t>
            </w:r>
            <w:proofErr w:type="gramEnd"/>
            <w:r w:rsidRPr="00436195">
              <w:rPr>
                <w:rFonts w:asciiTheme="minorHAnsi" w:hAnsiTheme="minorHAnsi"/>
                <w:sz w:val="20"/>
                <w:lang w:val="en-GB"/>
              </w:rPr>
              <w:t xml:space="preserve"> and the </w:t>
            </w:r>
            <w:r>
              <w:rPr>
                <w:rFonts w:asciiTheme="minorHAnsi" w:hAnsiTheme="minorHAnsi"/>
                <w:sz w:val="20"/>
                <w:lang w:val="en-GB"/>
              </w:rPr>
              <w:t>RAC</w:t>
            </w:r>
            <w:r w:rsidRPr="00436195">
              <w:rPr>
                <w:rFonts w:asciiTheme="minorHAnsi" w:hAnsiTheme="minorHAnsi"/>
                <w:sz w:val="20"/>
                <w:lang w:val="en-GB"/>
              </w:rPr>
              <w:t xml:space="preserve"> contracted </w:t>
            </w:r>
            <w:r>
              <w:rPr>
                <w:rFonts w:asciiTheme="minorHAnsi" w:hAnsiTheme="minorHAnsi"/>
                <w:sz w:val="20"/>
                <w:lang w:val="en-GB"/>
              </w:rPr>
              <w:t>six NGOs to implement HIV-</w:t>
            </w:r>
            <w:r w:rsidRPr="00436195">
              <w:rPr>
                <w:rFonts w:asciiTheme="minorHAnsi" w:hAnsiTheme="minorHAnsi"/>
                <w:sz w:val="20"/>
                <w:lang w:val="en-GB"/>
              </w:rPr>
              <w:t>related support and care program</w:t>
            </w:r>
            <w:r>
              <w:rPr>
                <w:rFonts w:asciiTheme="minorHAnsi" w:hAnsiTheme="minorHAnsi"/>
                <w:sz w:val="20"/>
                <w:lang w:val="en-GB"/>
              </w:rPr>
              <w:t>me</w:t>
            </w:r>
            <w:r w:rsidRPr="00436195">
              <w:rPr>
                <w:rFonts w:asciiTheme="minorHAnsi" w:hAnsiTheme="minorHAnsi"/>
                <w:sz w:val="20"/>
                <w:lang w:val="en-GB"/>
              </w:rPr>
              <w:t xml:space="preserve">s that enabled </w:t>
            </w:r>
            <w:r>
              <w:rPr>
                <w:rFonts w:asciiTheme="minorHAnsi" w:hAnsiTheme="minorHAnsi"/>
                <w:sz w:val="20"/>
                <w:lang w:val="en-GB"/>
              </w:rPr>
              <w:t>the</w:t>
            </w:r>
            <w:r w:rsidRPr="00436195">
              <w:rPr>
                <w:rFonts w:asciiTheme="minorHAnsi" w:hAnsiTheme="minorHAnsi"/>
                <w:sz w:val="20"/>
                <w:lang w:val="en-GB"/>
              </w:rPr>
              <w:t xml:space="preserve"> develop</w:t>
            </w:r>
            <w:r>
              <w:rPr>
                <w:rFonts w:asciiTheme="minorHAnsi" w:hAnsiTheme="minorHAnsi"/>
                <w:sz w:val="20"/>
                <w:lang w:val="en-GB"/>
              </w:rPr>
              <w:t>ment</w:t>
            </w:r>
            <w:r w:rsidRPr="00436195">
              <w:rPr>
                <w:rFonts w:asciiTheme="minorHAnsi" w:hAnsiTheme="minorHAnsi"/>
                <w:sz w:val="20"/>
                <w:lang w:val="en-GB"/>
              </w:rPr>
              <w:t xml:space="preserve"> and launch mechanisms for contracting NGOs. </w:t>
            </w:r>
          </w:p>
          <w:p w14:paraId="28F4DEA1" w14:textId="77777777" w:rsidR="00F00FAC" w:rsidRPr="00436195" w:rsidRDefault="00F00FAC" w:rsidP="00F00FAC">
            <w:pPr>
              <w:jc w:val="both"/>
              <w:rPr>
                <w:rFonts w:asciiTheme="minorHAnsi" w:hAnsiTheme="minorHAnsi"/>
                <w:sz w:val="20"/>
                <w:lang w:val="en-GB"/>
              </w:rPr>
            </w:pPr>
            <w:r w:rsidRPr="00436195">
              <w:rPr>
                <w:rFonts w:asciiTheme="minorHAnsi" w:hAnsiTheme="minorHAnsi"/>
                <w:sz w:val="20"/>
                <w:lang w:val="en-GB"/>
              </w:rPr>
              <w:t>Partial gradual transition from donor funding to domestic funding in the form of redistribution of funds saved in the result of streamlined</w:t>
            </w:r>
            <w:r>
              <w:rPr>
                <w:rFonts w:asciiTheme="minorHAnsi" w:hAnsiTheme="minorHAnsi"/>
                <w:sz w:val="20"/>
                <w:lang w:val="en-GB"/>
              </w:rPr>
              <w:t xml:space="preserve"> TB service </w:t>
            </w:r>
            <w:proofErr w:type="gramStart"/>
            <w:r>
              <w:rPr>
                <w:rFonts w:asciiTheme="minorHAnsi" w:hAnsiTheme="minorHAnsi"/>
                <w:sz w:val="20"/>
                <w:lang w:val="en-GB"/>
              </w:rPr>
              <w:t>is provided</w:t>
            </w:r>
            <w:proofErr w:type="gramEnd"/>
            <w:r>
              <w:rPr>
                <w:rFonts w:asciiTheme="minorHAnsi" w:hAnsiTheme="minorHAnsi"/>
                <w:sz w:val="20"/>
                <w:lang w:val="en-GB"/>
              </w:rPr>
              <w:t xml:space="preserve"> by the</w:t>
            </w:r>
            <w:r w:rsidRPr="00436195">
              <w:rPr>
                <w:rFonts w:asciiTheme="minorHAnsi" w:hAnsiTheme="minorHAnsi"/>
                <w:sz w:val="20"/>
                <w:lang w:val="en-GB"/>
              </w:rPr>
              <w:t xml:space="preserve"> "Action Plan to Streamline the System to Deliver TB Care to Population of the Kyrgyz Republic for 2017-2026" approved by the Decree of the Government of the Kyrgyz Republic as of 17 January 2017 № 9-r. The interventions will </w:t>
            </w:r>
            <w:proofErr w:type="gramStart"/>
            <w:r w:rsidRPr="00436195">
              <w:rPr>
                <w:rFonts w:asciiTheme="minorHAnsi" w:hAnsiTheme="minorHAnsi"/>
                <w:sz w:val="20"/>
                <w:lang w:val="en-GB"/>
              </w:rPr>
              <w:t>be implemented</w:t>
            </w:r>
            <w:proofErr w:type="gramEnd"/>
            <w:r w:rsidRPr="00436195">
              <w:rPr>
                <w:rFonts w:asciiTheme="minorHAnsi" w:hAnsiTheme="minorHAnsi"/>
                <w:sz w:val="20"/>
                <w:lang w:val="en-GB"/>
              </w:rPr>
              <w:t xml:space="preserve"> in three phases: short-term (2017-2019), medium-term (2020-2022) and long-term (2023-2026). The total economic effect in </w:t>
            </w:r>
            <w:r>
              <w:rPr>
                <w:rFonts w:asciiTheme="minorHAnsi" w:hAnsiTheme="minorHAnsi"/>
                <w:sz w:val="20"/>
                <w:lang w:val="en-GB"/>
              </w:rPr>
              <w:t xml:space="preserve">the </w:t>
            </w:r>
            <w:r w:rsidRPr="00436195">
              <w:rPr>
                <w:rFonts w:asciiTheme="minorHAnsi" w:hAnsiTheme="minorHAnsi"/>
                <w:sz w:val="20"/>
                <w:lang w:val="en-GB"/>
              </w:rPr>
              <w:t xml:space="preserve">short- and mid-term will </w:t>
            </w:r>
            <w:r>
              <w:rPr>
                <w:rFonts w:asciiTheme="minorHAnsi" w:hAnsiTheme="minorHAnsi"/>
                <w:sz w:val="20"/>
                <w:lang w:val="en-GB"/>
              </w:rPr>
              <w:t>account for</w:t>
            </w:r>
            <w:r w:rsidRPr="00436195">
              <w:rPr>
                <w:rFonts w:asciiTheme="minorHAnsi" w:hAnsiTheme="minorHAnsi"/>
                <w:sz w:val="20"/>
                <w:lang w:val="en-GB"/>
              </w:rPr>
              <w:t xml:space="preserve"> about 139.7 million KGS. These funds will be allocated to priority components of TB care delivery. </w:t>
            </w:r>
          </w:p>
          <w:p w14:paraId="550D7E16" w14:textId="77777777" w:rsidR="00F00FAC" w:rsidRPr="00436195" w:rsidRDefault="00F00FAC" w:rsidP="00F00FAC">
            <w:pPr>
              <w:jc w:val="both"/>
              <w:rPr>
                <w:rFonts w:asciiTheme="minorHAnsi" w:hAnsiTheme="minorHAnsi"/>
                <w:sz w:val="20"/>
                <w:lang w:val="en-GB"/>
              </w:rPr>
            </w:pPr>
            <w:r w:rsidRPr="00436195">
              <w:rPr>
                <w:rFonts w:asciiTheme="minorHAnsi" w:hAnsiTheme="minorHAnsi"/>
                <w:sz w:val="20"/>
                <w:lang w:val="en-GB"/>
              </w:rPr>
              <w:t xml:space="preserve">The saved funds are not </w:t>
            </w:r>
            <w:proofErr w:type="gramStart"/>
            <w:r w:rsidRPr="00436195">
              <w:rPr>
                <w:rFonts w:asciiTheme="minorHAnsi" w:hAnsiTheme="minorHAnsi"/>
                <w:sz w:val="20"/>
                <w:lang w:val="en-GB"/>
              </w:rPr>
              <w:t>sufficient</w:t>
            </w:r>
            <w:proofErr w:type="gramEnd"/>
            <w:r w:rsidRPr="00436195">
              <w:rPr>
                <w:rFonts w:asciiTheme="minorHAnsi" w:hAnsiTheme="minorHAnsi"/>
                <w:sz w:val="20"/>
                <w:lang w:val="en-GB"/>
              </w:rPr>
              <w:t xml:space="preserve"> to cover the entire required amount to deliver TB care in the country. Therefore, the donor aid will </w:t>
            </w:r>
            <w:proofErr w:type="gramStart"/>
            <w:r w:rsidRPr="00436195">
              <w:rPr>
                <w:rFonts w:asciiTheme="minorHAnsi" w:hAnsiTheme="minorHAnsi"/>
                <w:sz w:val="20"/>
                <w:lang w:val="en-GB"/>
              </w:rPr>
              <w:t>be sought</w:t>
            </w:r>
            <w:proofErr w:type="gramEnd"/>
            <w:r w:rsidRPr="00436195">
              <w:rPr>
                <w:rFonts w:asciiTheme="minorHAnsi" w:hAnsiTheme="minorHAnsi"/>
                <w:sz w:val="20"/>
                <w:lang w:val="en-GB"/>
              </w:rPr>
              <w:t xml:space="preserve"> to design joint requests in compliance with priorities of the Action Plan.</w:t>
            </w:r>
          </w:p>
          <w:p w14:paraId="500988E0" w14:textId="01AAFA4C" w:rsidR="00485066" w:rsidRPr="00B271DB" w:rsidRDefault="00F00FAC" w:rsidP="00F00FAC">
            <w:pPr>
              <w:rPr>
                <w:rFonts w:cs="Arial"/>
              </w:rPr>
            </w:pPr>
            <w:r w:rsidRPr="00436195">
              <w:rPr>
                <w:rFonts w:asciiTheme="minorHAnsi" w:hAnsiTheme="minorHAnsi"/>
                <w:sz w:val="20"/>
                <w:lang w:val="en-GB"/>
              </w:rPr>
              <w:t xml:space="preserve">In 2020, the Working Group </w:t>
            </w:r>
            <w:proofErr w:type="gramStart"/>
            <w:r w:rsidRPr="00436195">
              <w:rPr>
                <w:rFonts w:asciiTheme="minorHAnsi" w:hAnsiTheme="minorHAnsi"/>
                <w:sz w:val="20"/>
                <w:lang w:val="en-GB"/>
              </w:rPr>
              <w:t>was established</w:t>
            </w:r>
            <w:proofErr w:type="gramEnd"/>
            <w:r w:rsidRPr="00436195">
              <w:rPr>
                <w:rFonts w:asciiTheme="minorHAnsi" w:hAnsiTheme="minorHAnsi"/>
                <w:sz w:val="20"/>
                <w:lang w:val="en-GB"/>
              </w:rPr>
              <w:t xml:space="preserve"> to develop a plan for transition to domestic funding of TB program</w:t>
            </w:r>
            <w:r>
              <w:rPr>
                <w:rFonts w:asciiTheme="minorHAnsi" w:hAnsiTheme="minorHAnsi"/>
                <w:sz w:val="20"/>
                <w:lang w:val="en-GB"/>
              </w:rPr>
              <w:t>me</w:t>
            </w:r>
            <w:r w:rsidRPr="00436195">
              <w:rPr>
                <w:rFonts w:asciiTheme="minorHAnsi" w:hAnsiTheme="minorHAnsi"/>
                <w:sz w:val="20"/>
                <w:lang w:val="en-GB"/>
              </w:rPr>
              <w:t xml:space="preserve">s.  </w:t>
            </w:r>
          </w:p>
        </w:tc>
      </w:tr>
    </w:tbl>
    <w:p w14:paraId="4A0472B9" w14:textId="77777777" w:rsidR="00485066" w:rsidRPr="00B271DB" w:rsidRDefault="00485066" w:rsidP="00485066">
      <w:pPr>
        <w:pStyle w:val="affff3"/>
        <w:ind w:left="360"/>
      </w:pPr>
    </w:p>
    <w:p w14:paraId="73E9A535" w14:textId="77777777" w:rsidR="00485066" w:rsidRPr="00B271DB" w:rsidRDefault="00485066">
      <w:pPr>
        <w:spacing w:after="160" w:line="0" w:lineRule="auto"/>
        <w:rPr>
          <w:rFonts w:cs="Arial"/>
          <w:bCs/>
          <w:iCs/>
        </w:rPr>
      </w:pPr>
      <w:r w:rsidRPr="00B271DB">
        <w:rPr>
          <w:rFonts w:cs="Arial"/>
          <w:bCs/>
          <w:iCs/>
        </w:rPr>
        <w:br w:type="page"/>
      </w:r>
    </w:p>
    <w:p w14:paraId="05E80D74" w14:textId="3B69D4AF" w:rsidR="004619FD" w:rsidRPr="00B271DB" w:rsidRDefault="004619FD" w:rsidP="004619FD">
      <w:pPr>
        <w:pStyle w:val="1"/>
        <w:numPr>
          <w:ilvl w:val="0"/>
          <w:numId w:val="0"/>
        </w:numPr>
        <w:pBdr>
          <w:top w:val="single" w:sz="4" w:space="0"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spacing w:before="0" w:after="0"/>
        <w:ind w:left="567" w:hanging="567"/>
        <w:rPr>
          <w:b/>
          <w:lang w:val="fr-CH"/>
        </w:rPr>
      </w:pPr>
      <w:r w:rsidRPr="00B271DB">
        <w:rPr>
          <w:b/>
          <w:lang w:val="fr-CH"/>
        </w:rPr>
        <w:lastRenderedPageBreak/>
        <w:t xml:space="preserve">Annex </w:t>
      </w:r>
      <w:r w:rsidR="00930929">
        <w:rPr>
          <w:b/>
          <w:lang w:val="fr-CH"/>
        </w:rPr>
        <w:t>1</w:t>
      </w:r>
      <w:r w:rsidRPr="00B271DB">
        <w:rPr>
          <w:b/>
          <w:lang w:val="fr-CH"/>
        </w:rPr>
        <w:t>: Documents Checklist</w:t>
      </w:r>
    </w:p>
    <w:p w14:paraId="3258BF2F" w14:textId="77777777" w:rsidR="004619FD" w:rsidRDefault="004619FD" w:rsidP="004619FD">
      <w:pPr>
        <w:pStyle w:val="affff3"/>
        <w:spacing w:line="360" w:lineRule="auto"/>
        <w:ind w:left="0"/>
        <w:rPr>
          <w:rFonts w:cs="Arial"/>
        </w:rPr>
      </w:pPr>
    </w:p>
    <w:p w14:paraId="1B05CBD7" w14:textId="7D8D1824" w:rsidR="0087373E" w:rsidRDefault="004619FD" w:rsidP="004619FD">
      <w:pPr>
        <w:pStyle w:val="affff3"/>
        <w:spacing w:line="360" w:lineRule="auto"/>
        <w:ind w:left="0"/>
        <w:rPr>
          <w:rFonts w:cs="Arial"/>
        </w:rPr>
      </w:pPr>
      <w:r w:rsidRPr="00B271DB">
        <w:rPr>
          <w:rFonts w:cs="Arial"/>
        </w:rPr>
        <w:t>Use the list below to verify the completeness of your application package:</w:t>
      </w:r>
    </w:p>
    <w:tbl>
      <w:tblPr>
        <w:tblStyle w:val="TableGrid2"/>
        <w:tblpPr w:leftFromText="180" w:rightFromText="180" w:vertAnchor="text" w:tblpY="1"/>
        <w:tblOverlap w:val="never"/>
        <w:tblW w:w="102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67"/>
        <w:gridCol w:w="9688"/>
      </w:tblGrid>
      <w:tr w:rsidR="006810B2" w:rsidRPr="0098274C" w14:paraId="2A2CC4CD" w14:textId="77777777" w:rsidTr="006810B2">
        <w:trPr>
          <w:trHeight w:val="567"/>
        </w:trPr>
        <w:tc>
          <w:tcPr>
            <w:tcW w:w="567" w:type="dxa"/>
            <w:shd w:val="clear" w:color="auto" w:fill="auto"/>
            <w:vAlign w:val="center"/>
          </w:tcPr>
          <w:p w14:paraId="14EF1921" w14:textId="5734A1A6" w:rsidR="006810B2" w:rsidRPr="00B74DAA" w:rsidRDefault="007161FD" w:rsidP="006810B2">
            <w:pPr>
              <w:rPr>
                <w:rFonts w:ascii="Arial" w:hAnsi="Arial"/>
                <w:sz w:val="22"/>
                <w:szCs w:val="22"/>
              </w:rPr>
            </w:pPr>
            <w:sdt>
              <w:sdtPr>
                <w:id w:val="-180662496"/>
                <w14:checkbox>
                  <w14:checked w14:val="1"/>
                  <w14:checkedState w14:val="2612" w14:font="MS Gothic"/>
                  <w14:uncheckedState w14:val="2610" w14:font="MS Gothic"/>
                </w14:checkbox>
              </w:sdtPr>
              <w:sdtEndPr/>
              <w:sdtContent>
                <w:r w:rsidR="00154171">
                  <w:rPr>
                    <w:rFonts w:ascii="MS Gothic" w:eastAsia="MS Gothic" w:hAnsi="MS Gothic" w:hint="eastAsia"/>
                  </w:rPr>
                  <w:t>☒</w:t>
                </w:r>
              </w:sdtContent>
            </w:sdt>
          </w:p>
        </w:tc>
        <w:tc>
          <w:tcPr>
            <w:tcW w:w="9688" w:type="dxa"/>
            <w:vAlign w:val="center"/>
          </w:tcPr>
          <w:p w14:paraId="33A3B392" w14:textId="77777777" w:rsidR="006810B2" w:rsidRPr="00B74DAA" w:rsidRDefault="006810B2" w:rsidP="006810B2">
            <w:pPr>
              <w:rPr>
                <w:rFonts w:ascii="Arial" w:hAnsi="Arial"/>
                <w:sz w:val="22"/>
                <w:szCs w:val="22"/>
              </w:rPr>
            </w:pPr>
            <w:r w:rsidRPr="00B74DAA">
              <w:rPr>
                <w:rFonts w:ascii="Arial" w:hAnsi="Arial" w:cstheme="minorBidi"/>
              </w:rPr>
              <w:t>Funding Request Form</w:t>
            </w:r>
          </w:p>
        </w:tc>
      </w:tr>
      <w:tr w:rsidR="006810B2" w:rsidRPr="0098274C" w14:paraId="799804E6" w14:textId="77777777" w:rsidTr="006810B2">
        <w:trPr>
          <w:trHeight w:val="567"/>
        </w:trPr>
        <w:tc>
          <w:tcPr>
            <w:tcW w:w="567" w:type="dxa"/>
            <w:shd w:val="clear" w:color="auto" w:fill="auto"/>
            <w:vAlign w:val="center"/>
          </w:tcPr>
          <w:p w14:paraId="1286C15F" w14:textId="2657902C" w:rsidR="006810B2" w:rsidRPr="00B74DAA" w:rsidRDefault="007161FD" w:rsidP="006810B2">
            <w:pPr>
              <w:rPr>
                <w:rFonts w:ascii="Arial" w:hAnsi="Arial"/>
                <w:sz w:val="22"/>
                <w:szCs w:val="22"/>
              </w:rPr>
            </w:pPr>
            <w:sdt>
              <w:sdtPr>
                <w:id w:val="-797372883"/>
                <w14:checkbox>
                  <w14:checked w14:val="1"/>
                  <w14:checkedState w14:val="2612" w14:font="MS Gothic"/>
                  <w14:uncheckedState w14:val="2610" w14:font="MS Gothic"/>
                </w14:checkbox>
              </w:sdtPr>
              <w:sdtEndPr/>
              <w:sdtContent>
                <w:r w:rsidR="004320B3">
                  <w:rPr>
                    <w:rFonts w:ascii="MS Gothic" w:eastAsia="MS Gothic" w:hAnsi="MS Gothic" w:hint="eastAsia"/>
                  </w:rPr>
                  <w:t>☒</w:t>
                </w:r>
              </w:sdtContent>
            </w:sdt>
          </w:p>
        </w:tc>
        <w:tc>
          <w:tcPr>
            <w:tcW w:w="9688" w:type="dxa"/>
            <w:vAlign w:val="center"/>
          </w:tcPr>
          <w:p w14:paraId="56B50545" w14:textId="77777777" w:rsidR="006810B2" w:rsidRPr="00B74DAA" w:rsidRDefault="006810B2" w:rsidP="006810B2">
            <w:pPr>
              <w:rPr>
                <w:rFonts w:ascii="Arial" w:hAnsi="Arial"/>
                <w:b/>
                <w:sz w:val="22"/>
                <w:szCs w:val="22"/>
              </w:rPr>
            </w:pPr>
            <w:r w:rsidRPr="00B74DAA">
              <w:rPr>
                <w:rFonts w:ascii="Arial" w:hAnsi="Arial" w:cstheme="minorBidi"/>
                <w:lang w:eastAsia="zh-CN"/>
              </w:rPr>
              <w:t>Programmatic Gap Table(s)</w:t>
            </w:r>
          </w:p>
        </w:tc>
      </w:tr>
      <w:tr w:rsidR="006810B2" w:rsidRPr="0098274C" w14:paraId="6DCCCCFB" w14:textId="77777777" w:rsidTr="006810B2">
        <w:trPr>
          <w:trHeight w:val="567"/>
        </w:trPr>
        <w:tc>
          <w:tcPr>
            <w:tcW w:w="567" w:type="dxa"/>
            <w:shd w:val="clear" w:color="auto" w:fill="auto"/>
            <w:vAlign w:val="center"/>
          </w:tcPr>
          <w:p w14:paraId="5800EDC7" w14:textId="7D560173" w:rsidR="006810B2" w:rsidRPr="00B74DAA" w:rsidRDefault="007161FD" w:rsidP="006810B2">
            <w:pPr>
              <w:rPr>
                <w:rFonts w:ascii="Arial" w:hAnsi="Arial"/>
                <w:sz w:val="22"/>
                <w:szCs w:val="22"/>
              </w:rPr>
            </w:pPr>
            <w:sdt>
              <w:sdtPr>
                <w:id w:val="254638760"/>
                <w14:checkbox>
                  <w14:checked w14:val="1"/>
                  <w14:checkedState w14:val="2612" w14:font="MS Gothic"/>
                  <w14:uncheckedState w14:val="2610" w14:font="MS Gothic"/>
                </w14:checkbox>
              </w:sdtPr>
              <w:sdtEndPr/>
              <w:sdtContent>
                <w:r w:rsidR="00154171">
                  <w:rPr>
                    <w:rFonts w:ascii="MS Gothic" w:eastAsia="MS Gothic" w:hAnsi="MS Gothic" w:hint="eastAsia"/>
                  </w:rPr>
                  <w:t>☒</w:t>
                </w:r>
              </w:sdtContent>
            </w:sdt>
          </w:p>
        </w:tc>
        <w:tc>
          <w:tcPr>
            <w:tcW w:w="9688" w:type="dxa"/>
            <w:vAlign w:val="center"/>
          </w:tcPr>
          <w:p w14:paraId="36AEDFCF" w14:textId="77777777" w:rsidR="006810B2" w:rsidRPr="00B74DAA" w:rsidRDefault="006810B2" w:rsidP="006810B2">
            <w:pPr>
              <w:rPr>
                <w:rFonts w:ascii="Arial" w:hAnsi="Arial"/>
                <w:b/>
                <w:sz w:val="22"/>
                <w:szCs w:val="22"/>
              </w:rPr>
            </w:pPr>
            <w:r w:rsidRPr="00B74DAA">
              <w:rPr>
                <w:rFonts w:ascii="Arial" w:hAnsi="Arial" w:cstheme="minorBidi"/>
              </w:rPr>
              <w:t>Funding Landscape Table(s)</w:t>
            </w:r>
          </w:p>
        </w:tc>
      </w:tr>
      <w:tr w:rsidR="006810B2" w:rsidRPr="0098274C" w14:paraId="33424CB1" w14:textId="77777777" w:rsidTr="006810B2">
        <w:trPr>
          <w:trHeight w:val="567"/>
        </w:trPr>
        <w:tc>
          <w:tcPr>
            <w:tcW w:w="567" w:type="dxa"/>
            <w:shd w:val="clear" w:color="auto" w:fill="auto"/>
            <w:vAlign w:val="center"/>
          </w:tcPr>
          <w:p w14:paraId="64E0AFA5" w14:textId="16060006" w:rsidR="006810B2" w:rsidRPr="00B74DAA" w:rsidRDefault="007161FD" w:rsidP="006810B2">
            <w:pPr>
              <w:rPr>
                <w:rFonts w:ascii="Arial" w:hAnsi="Arial"/>
                <w:sz w:val="22"/>
                <w:szCs w:val="22"/>
              </w:rPr>
            </w:pPr>
            <w:sdt>
              <w:sdtPr>
                <w:id w:val="189352396"/>
                <w14:checkbox>
                  <w14:checked w14:val="1"/>
                  <w14:checkedState w14:val="2612" w14:font="MS Gothic"/>
                  <w14:uncheckedState w14:val="2610" w14:font="MS Gothic"/>
                </w14:checkbox>
              </w:sdtPr>
              <w:sdtEndPr/>
              <w:sdtContent>
                <w:r w:rsidR="00154171">
                  <w:rPr>
                    <w:rFonts w:ascii="MS Gothic" w:eastAsia="MS Gothic" w:hAnsi="MS Gothic" w:hint="eastAsia"/>
                  </w:rPr>
                  <w:t>☒</w:t>
                </w:r>
              </w:sdtContent>
            </w:sdt>
          </w:p>
        </w:tc>
        <w:tc>
          <w:tcPr>
            <w:tcW w:w="9688" w:type="dxa"/>
            <w:vAlign w:val="center"/>
          </w:tcPr>
          <w:p w14:paraId="1ABF2D87" w14:textId="77777777" w:rsidR="006810B2" w:rsidRPr="00B74DAA" w:rsidRDefault="006810B2" w:rsidP="006810B2">
            <w:pPr>
              <w:rPr>
                <w:rFonts w:ascii="Arial" w:hAnsi="Arial"/>
                <w:b/>
                <w:sz w:val="22"/>
                <w:szCs w:val="22"/>
              </w:rPr>
            </w:pPr>
            <w:r w:rsidRPr="00B74DAA">
              <w:rPr>
                <w:rFonts w:ascii="Arial" w:hAnsi="Arial" w:cstheme="minorBidi"/>
              </w:rPr>
              <w:t>Performance Framework</w:t>
            </w:r>
          </w:p>
        </w:tc>
      </w:tr>
      <w:tr w:rsidR="006810B2" w:rsidRPr="0098274C" w14:paraId="30892731" w14:textId="77777777" w:rsidTr="006810B2">
        <w:trPr>
          <w:trHeight w:val="567"/>
        </w:trPr>
        <w:tc>
          <w:tcPr>
            <w:tcW w:w="567" w:type="dxa"/>
            <w:shd w:val="clear" w:color="auto" w:fill="auto"/>
            <w:vAlign w:val="center"/>
          </w:tcPr>
          <w:p w14:paraId="1184E211" w14:textId="2C90F30F" w:rsidR="006810B2" w:rsidRPr="00B74DAA" w:rsidRDefault="007161FD" w:rsidP="006810B2">
            <w:pPr>
              <w:rPr>
                <w:rFonts w:ascii="Arial" w:hAnsi="Arial"/>
                <w:sz w:val="22"/>
                <w:szCs w:val="22"/>
              </w:rPr>
            </w:pPr>
            <w:sdt>
              <w:sdtPr>
                <w:id w:val="595447511"/>
                <w14:checkbox>
                  <w14:checked w14:val="1"/>
                  <w14:checkedState w14:val="2612" w14:font="MS Gothic"/>
                  <w14:uncheckedState w14:val="2610" w14:font="MS Gothic"/>
                </w14:checkbox>
              </w:sdtPr>
              <w:sdtEndPr/>
              <w:sdtContent>
                <w:r w:rsidR="00154171">
                  <w:rPr>
                    <w:rFonts w:ascii="MS Gothic" w:eastAsia="MS Gothic" w:hAnsi="MS Gothic" w:hint="eastAsia"/>
                  </w:rPr>
                  <w:t>☒</w:t>
                </w:r>
              </w:sdtContent>
            </w:sdt>
          </w:p>
        </w:tc>
        <w:tc>
          <w:tcPr>
            <w:tcW w:w="9688" w:type="dxa"/>
            <w:shd w:val="clear" w:color="auto" w:fill="FFFFFF"/>
            <w:vAlign w:val="center"/>
          </w:tcPr>
          <w:p w14:paraId="31E16FC2" w14:textId="77777777" w:rsidR="006810B2" w:rsidRPr="00B74DAA" w:rsidRDefault="006810B2" w:rsidP="006810B2">
            <w:pPr>
              <w:rPr>
                <w:rFonts w:ascii="Arial" w:hAnsi="Arial"/>
                <w:sz w:val="22"/>
                <w:szCs w:val="22"/>
              </w:rPr>
            </w:pPr>
            <w:r w:rsidRPr="00B74DAA">
              <w:rPr>
                <w:rFonts w:ascii="Arial" w:hAnsi="Arial" w:cstheme="minorBidi"/>
              </w:rPr>
              <w:t>Budget</w:t>
            </w:r>
          </w:p>
        </w:tc>
      </w:tr>
      <w:tr w:rsidR="006810B2" w:rsidRPr="0098274C" w14:paraId="5818DEE4" w14:textId="77777777" w:rsidTr="006810B2">
        <w:trPr>
          <w:trHeight w:val="567"/>
        </w:trPr>
        <w:tc>
          <w:tcPr>
            <w:tcW w:w="567" w:type="dxa"/>
            <w:shd w:val="clear" w:color="auto" w:fill="auto"/>
            <w:vAlign w:val="center"/>
          </w:tcPr>
          <w:p w14:paraId="18B141BE" w14:textId="03759969" w:rsidR="006810B2" w:rsidRPr="00B74DAA" w:rsidRDefault="007161FD" w:rsidP="006810B2">
            <w:pPr>
              <w:rPr>
                <w:rFonts w:ascii="Arial" w:hAnsi="Arial"/>
                <w:sz w:val="22"/>
                <w:szCs w:val="22"/>
              </w:rPr>
            </w:pPr>
            <w:sdt>
              <w:sdtPr>
                <w:id w:val="-2051445561"/>
                <w14:checkbox>
                  <w14:checked w14:val="1"/>
                  <w14:checkedState w14:val="2612" w14:font="MS Gothic"/>
                  <w14:uncheckedState w14:val="2610" w14:font="MS Gothic"/>
                </w14:checkbox>
              </w:sdtPr>
              <w:sdtEndPr/>
              <w:sdtContent>
                <w:r w:rsidR="00154171">
                  <w:rPr>
                    <w:rFonts w:ascii="MS Gothic" w:eastAsia="MS Gothic" w:hAnsi="MS Gothic" w:hint="eastAsia"/>
                  </w:rPr>
                  <w:t>☒</w:t>
                </w:r>
              </w:sdtContent>
            </w:sdt>
          </w:p>
        </w:tc>
        <w:tc>
          <w:tcPr>
            <w:tcW w:w="9688" w:type="dxa"/>
            <w:vAlign w:val="center"/>
          </w:tcPr>
          <w:p w14:paraId="6333DFAD" w14:textId="77777777" w:rsidR="006810B2" w:rsidRPr="00B74DAA" w:rsidRDefault="006810B2" w:rsidP="006810B2">
            <w:pPr>
              <w:rPr>
                <w:rFonts w:ascii="Arial" w:hAnsi="Arial"/>
                <w:sz w:val="22"/>
                <w:szCs w:val="22"/>
              </w:rPr>
            </w:pPr>
            <w:r w:rsidRPr="00B74DAA">
              <w:rPr>
                <w:rFonts w:ascii="Arial" w:hAnsi="Arial" w:cstheme="minorBidi"/>
              </w:rPr>
              <w:t>Prioritized above allocation request (PAAR)</w:t>
            </w:r>
          </w:p>
        </w:tc>
      </w:tr>
      <w:tr w:rsidR="00D33288" w:rsidRPr="0098274C" w14:paraId="6B993DCA" w14:textId="77777777" w:rsidTr="006810B2">
        <w:trPr>
          <w:trHeight w:val="567"/>
        </w:trPr>
        <w:tc>
          <w:tcPr>
            <w:tcW w:w="567" w:type="dxa"/>
            <w:shd w:val="clear" w:color="auto" w:fill="auto"/>
            <w:vAlign w:val="center"/>
          </w:tcPr>
          <w:p w14:paraId="3C0AA115" w14:textId="027D3F90" w:rsidR="00D33288" w:rsidRDefault="007161FD" w:rsidP="00D33288">
            <w:sdt>
              <w:sdtPr>
                <w:id w:val="-216817733"/>
                <w14:checkbox>
                  <w14:checked w14:val="1"/>
                  <w14:checkedState w14:val="2612" w14:font="MS Gothic"/>
                  <w14:uncheckedState w14:val="2610" w14:font="MS Gothic"/>
                </w14:checkbox>
              </w:sdtPr>
              <w:sdtEndPr/>
              <w:sdtContent>
                <w:r w:rsidR="004320B3">
                  <w:rPr>
                    <w:rFonts w:ascii="MS Gothic" w:eastAsia="MS Gothic" w:hAnsi="MS Gothic" w:hint="eastAsia"/>
                  </w:rPr>
                  <w:t>☒</w:t>
                </w:r>
              </w:sdtContent>
            </w:sdt>
          </w:p>
        </w:tc>
        <w:tc>
          <w:tcPr>
            <w:tcW w:w="9688" w:type="dxa"/>
            <w:vAlign w:val="center"/>
          </w:tcPr>
          <w:p w14:paraId="7ED279D8" w14:textId="7B25F092" w:rsidR="00D33288" w:rsidRPr="00B74DAA" w:rsidRDefault="00D33288" w:rsidP="00D33288">
            <w:r>
              <w:rPr>
                <w:rFonts w:ascii="Arial" w:hAnsi="Arial" w:cstheme="minorBidi"/>
              </w:rPr>
              <w:t>Implementation Arrangement</w:t>
            </w:r>
            <w:r w:rsidRPr="00B74DAA">
              <w:rPr>
                <w:rFonts w:ascii="Arial" w:hAnsi="Arial" w:cstheme="minorBidi"/>
              </w:rPr>
              <w:t xml:space="preserve"> Map</w:t>
            </w:r>
            <w:r>
              <w:rPr>
                <w:rFonts w:ascii="Arial" w:hAnsi="Arial" w:cstheme="minorBidi"/>
              </w:rPr>
              <w:t>(s)</w:t>
            </w:r>
            <w:r w:rsidRPr="00B74DAA">
              <w:rPr>
                <w:rStyle w:val="af"/>
                <w:rFonts w:ascii="Arial" w:hAnsi="Arial" w:cstheme="minorBidi"/>
              </w:rPr>
              <w:footnoteReference w:id="44"/>
            </w:r>
          </w:p>
        </w:tc>
      </w:tr>
      <w:tr w:rsidR="00D33288" w:rsidRPr="0098274C" w14:paraId="688610CB" w14:textId="77777777" w:rsidTr="006810B2">
        <w:trPr>
          <w:trHeight w:val="567"/>
        </w:trPr>
        <w:tc>
          <w:tcPr>
            <w:tcW w:w="567" w:type="dxa"/>
            <w:shd w:val="clear" w:color="auto" w:fill="auto"/>
            <w:vAlign w:val="center"/>
          </w:tcPr>
          <w:p w14:paraId="5B608C89" w14:textId="7AC8B021" w:rsidR="00D33288" w:rsidRDefault="007161FD" w:rsidP="00D33288">
            <w:sdt>
              <w:sdtPr>
                <w:id w:val="-1954390594"/>
                <w14:checkbox>
                  <w14:checked w14:val="1"/>
                  <w14:checkedState w14:val="2612" w14:font="MS Gothic"/>
                  <w14:uncheckedState w14:val="2610" w14:font="MS Gothic"/>
                </w14:checkbox>
              </w:sdtPr>
              <w:sdtEndPr/>
              <w:sdtContent>
                <w:r w:rsidR="004320B3">
                  <w:rPr>
                    <w:rFonts w:ascii="MS Gothic" w:eastAsia="MS Gothic" w:hAnsi="MS Gothic" w:hint="eastAsia"/>
                  </w:rPr>
                  <w:t>☒</w:t>
                </w:r>
              </w:sdtContent>
            </w:sdt>
          </w:p>
        </w:tc>
        <w:tc>
          <w:tcPr>
            <w:tcW w:w="9688" w:type="dxa"/>
            <w:vAlign w:val="center"/>
          </w:tcPr>
          <w:p w14:paraId="21FC5643" w14:textId="1D4F29C4" w:rsidR="00D33288" w:rsidRDefault="00D33288" w:rsidP="00D33288">
            <w:r w:rsidRPr="00B74DAA">
              <w:rPr>
                <w:rFonts w:ascii="Arial" w:hAnsi="Arial" w:cstheme="minorBidi"/>
              </w:rPr>
              <w:t>Essential Data Tables (updated)</w:t>
            </w:r>
          </w:p>
        </w:tc>
      </w:tr>
      <w:tr w:rsidR="00D33288" w:rsidRPr="0098274C" w14:paraId="675822DB" w14:textId="77777777" w:rsidTr="006810B2">
        <w:trPr>
          <w:trHeight w:val="567"/>
        </w:trPr>
        <w:tc>
          <w:tcPr>
            <w:tcW w:w="567" w:type="dxa"/>
            <w:shd w:val="clear" w:color="auto" w:fill="auto"/>
            <w:vAlign w:val="center"/>
          </w:tcPr>
          <w:p w14:paraId="065206CC" w14:textId="7D09F7E8" w:rsidR="00D33288" w:rsidRPr="00B74DAA" w:rsidRDefault="007161FD" w:rsidP="00D33288">
            <w:pPr>
              <w:rPr>
                <w:rFonts w:ascii="Arial" w:hAnsi="Arial"/>
                <w:sz w:val="22"/>
                <w:szCs w:val="22"/>
              </w:rPr>
            </w:pPr>
            <w:sdt>
              <w:sdtPr>
                <w:id w:val="1718853472"/>
                <w14:checkbox>
                  <w14:checked w14:val="1"/>
                  <w14:checkedState w14:val="2612" w14:font="MS Gothic"/>
                  <w14:uncheckedState w14:val="2610" w14:font="MS Gothic"/>
                </w14:checkbox>
              </w:sdtPr>
              <w:sdtEndPr/>
              <w:sdtContent>
                <w:r w:rsidR="004320B3">
                  <w:rPr>
                    <w:rFonts w:ascii="MS Gothic" w:eastAsia="MS Gothic" w:hAnsi="MS Gothic" w:hint="eastAsia"/>
                  </w:rPr>
                  <w:t>☒</w:t>
                </w:r>
              </w:sdtContent>
            </w:sdt>
          </w:p>
        </w:tc>
        <w:tc>
          <w:tcPr>
            <w:tcW w:w="9688" w:type="dxa"/>
            <w:vAlign w:val="center"/>
          </w:tcPr>
          <w:p w14:paraId="13DB83B3" w14:textId="48864ACC" w:rsidR="00D33288" w:rsidRPr="00B74DAA" w:rsidRDefault="00D33288" w:rsidP="00D33288">
            <w:pPr>
              <w:rPr>
                <w:rFonts w:ascii="Arial" w:hAnsi="Arial"/>
                <w:sz w:val="22"/>
                <w:szCs w:val="22"/>
              </w:rPr>
            </w:pPr>
            <w:r w:rsidRPr="00B74DAA">
              <w:rPr>
                <w:rFonts w:ascii="Arial" w:hAnsi="Arial" w:cstheme="minorBidi"/>
                <w:bCs/>
              </w:rPr>
              <w:t>CCM Endorsement of Funding Request</w:t>
            </w:r>
          </w:p>
        </w:tc>
      </w:tr>
      <w:tr w:rsidR="00D33288" w:rsidRPr="0098274C" w14:paraId="59C65730" w14:textId="77777777" w:rsidTr="006810B2">
        <w:trPr>
          <w:trHeight w:val="567"/>
        </w:trPr>
        <w:tc>
          <w:tcPr>
            <w:tcW w:w="567" w:type="dxa"/>
            <w:shd w:val="clear" w:color="auto" w:fill="auto"/>
            <w:vAlign w:val="center"/>
          </w:tcPr>
          <w:p w14:paraId="3B3E084D" w14:textId="60E2987B" w:rsidR="00D33288" w:rsidRPr="00B74DAA" w:rsidRDefault="007161FD" w:rsidP="00D33288">
            <w:pPr>
              <w:rPr>
                <w:rFonts w:ascii="Arial" w:hAnsi="Arial"/>
                <w:sz w:val="22"/>
                <w:szCs w:val="22"/>
              </w:rPr>
            </w:pPr>
            <w:sdt>
              <w:sdtPr>
                <w:id w:val="-910225486"/>
                <w14:checkbox>
                  <w14:checked w14:val="1"/>
                  <w14:checkedState w14:val="2612" w14:font="MS Gothic"/>
                  <w14:uncheckedState w14:val="2610" w14:font="MS Gothic"/>
                </w14:checkbox>
              </w:sdtPr>
              <w:sdtEndPr/>
              <w:sdtContent>
                <w:r w:rsidR="004320B3">
                  <w:rPr>
                    <w:rFonts w:ascii="MS Gothic" w:eastAsia="MS Gothic" w:hAnsi="MS Gothic" w:hint="eastAsia"/>
                  </w:rPr>
                  <w:t>☒</w:t>
                </w:r>
              </w:sdtContent>
            </w:sdt>
          </w:p>
        </w:tc>
        <w:tc>
          <w:tcPr>
            <w:tcW w:w="9688" w:type="dxa"/>
            <w:vAlign w:val="center"/>
          </w:tcPr>
          <w:p w14:paraId="55D14EBC" w14:textId="37D435FC" w:rsidR="00D33288" w:rsidRPr="00B74DAA" w:rsidRDefault="00D33288" w:rsidP="00D33288">
            <w:pPr>
              <w:rPr>
                <w:rFonts w:ascii="Arial" w:hAnsi="Arial"/>
                <w:sz w:val="22"/>
                <w:szCs w:val="22"/>
              </w:rPr>
            </w:pPr>
            <w:r w:rsidRPr="00B74DAA">
              <w:rPr>
                <w:rFonts w:ascii="Arial" w:hAnsi="Arial" w:cstheme="minorBidi"/>
              </w:rPr>
              <w:t>CCM Statement of Compliance</w:t>
            </w:r>
          </w:p>
        </w:tc>
      </w:tr>
      <w:tr w:rsidR="00D33288" w:rsidRPr="0098274C" w14:paraId="4A34B2E7" w14:textId="77777777" w:rsidTr="006810B2">
        <w:trPr>
          <w:trHeight w:val="567"/>
        </w:trPr>
        <w:tc>
          <w:tcPr>
            <w:tcW w:w="567" w:type="dxa"/>
            <w:shd w:val="clear" w:color="auto" w:fill="auto"/>
            <w:vAlign w:val="center"/>
          </w:tcPr>
          <w:p w14:paraId="290BC4ED" w14:textId="62ECE833" w:rsidR="00D33288" w:rsidRPr="00B74DAA" w:rsidRDefault="007161FD" w:rsidP="00D33288">
            <w:pPr>
              <w:rPr>
                <w:rFonts w:ascii="Arial" w:hAnsi="Arial"/>
                <w:sz w:val="22"/>
                <w:szCs w:val="22"/>
              </w:rPr>
            </w:pPr>
            <w:sdt>
              <w:sdtPr>
                <w:id w:val="-220992833"/>
                <w14:checkbox>
                  <w14:checked w14:val="1"/>
                  <w14:checkedState w14:val="2612" w14:font="MS Gothic"/>
                  <w14:uncheckedState w14:val="2610" w14:font="MS Gothic"/>
                </w14:checkbox>
              </w:sdtPr>
              <w:sdtEndPr/>
              <w:sdtContent>
                <w:r w:rsidR="004320B3">
                  <w:rPr>
                    <w:rFonts w:ascii="MS Gothic" w:eastAsia="MS Gothic" w:hAnsi="MS Gothic" w:hint="eastAsia"/>
                  </w:rPr>
                  <w:t>☒</w:t>
                </w:r>
              </w:sdtContent>
            </w:sdt>
          </w:p>
        </w:tc>
        <w:tc>
          <w:tcPr>
            <w:tcW w:w="9688" w:type="dxa"/>
            <w:vAlign w:val="center"/>
          </w:tcPr>
          <w:p w14:paraId="438E6E92" w14:textId="0AAB17BA" w:rsidR="00D33288" w:rsidRPr="00B74DAA" w:rsidRDefault="00D33288" w:rsidP="00D33288">
            <w:pPr>
              <w:rPr>
                <w:rFonts w:ascii="Arial" w:hAnsi="Arial"/>
                <w:sz w:val="22"/>
                <w:szCs w:val="22"/>
              </w:rPr>
            </w:pPr>
            <w:r w:rsidRPr="00B74DAA">
              <w:rPr>
                <w:rFonts w:ascii="Arial" w:hAnsi="Arial" w:cstheme="minorBidi"/>
              </w:rPr>
              <w:t xml:space="preserve">Supporting documentation to confirm meeting co-financing requirements for the current allocation period </w:t>
            </w:r>
          </w:p>
        </w:tc>
      </w:tr>
      <w:tr w:rsidR="00D33288" w:rsidRPr="0098274C" w14:paraId="21E3ED79" w14:textId="77777777" w:rsidTr="006810B2">
        <w:trPr>
          <w:trHeight w:val="567"/>
        </w:trPr>
        <w:tc>
          <w:tcPr>
            <w:tcW w:w="567" w:type="dxa"/>
            <w:shd w:val="clear" w:color="auto" w:fill="auto"/>
            <w:vAlign w:val="center"/>
          </w:tcPr>
          <w:p w14:paraId="62C015EB" w14:textId="2B002DFD" w:rsidR="00D33288" w:rsidRPr="00B74DAA" w:rsidRDefault="007161FD" w:rsidP="00D33288">
            <w:pPr>
              <w:rPr>
                <w:rFonts w:ascii="Arial" w:hAnsi="Arial"/>
                <w:sz w:val="22"/>
                <w:szCs w:val="22"/>
              </w:rPr>
            </w:pPr>
            <w:sdt>
              <w:sdtPr>
                <w:id w:val="-1023165458"/>
                <w14:checkbox>
                  <w14:checked w14:val="1"/>
                  <w14:checkedState w14:val="2612" w14:font="MS Gothic"/>
                  <w14:uncheckedState w14:val="2610" w14:font="MS Gothic"/>
                </w14:checkbox>
              </w:sdtPr>
              <w:sdtEndPr/>
              <w:sdtContent>
                <w:r w:rsidR="004320B3">
                  <w:rPr>
                    <w:rFonts w:ascii="MS Gothic" w:eastAsia="MS Gothic" w:hAnsi="MS Gothic" w:hint="eastAsia"/>
                  </w:rPr>
                  <w:t>☒</w:t>
                </w:r>
              </w:sdtContent>
            </w:sdt>
          </w:p>
        </w:tc>
        <w:tc>
          <w:tcPr>
            <w:tcW w:w="9688" w:type="dxa"/>
            <w:vAlign w:val="center"/>
          </w:tcPr>
          <w:p w14:paraId="7E15B594" w14:textId="5A0A7BB7" w:rsidR="00D33288" w:rsidRPr="00B74DAA" w:rsidRDefault="00D33288" w:rsidP="00D33288">
            <w:pPr>
              <w:rPr>
                <w:rFonts w:ascii="Arial" w:hAnsi="Arial"/>
                <w:sz w:val="22"/>
                <w:szCs w:val="22"/>
              </w:rPr>
            </w:pPr>
            <w:r w:rsidRPr="00B74DAA">
              <w:rPr>
                <w:rFonts w:ascii="Arial" w:hAnsi="Arial" w:cstheme="minorBidi"/>
              </w:rPr>
              <w:t xml:space="preserve">Supporting documentation for co-financing commitments for the next allocation period </w:t>
            </w:r>
          </w:p>
        </w:tc>
      </w:tr>
      <w:tr w:rsidR="00D33288" w:rsidRPr="0098274C" w14:paraId="3BC697F8" w14:textId="77777777" w:rsidTr="006810B2">
        <w:trPr>
          <w:trHeight w:val="567"/>
        </w:trPr>
        <w:tc>
          <w:tcPr>
            <w:tcW w:w="567" w:type="dxa"/>
            <w:shd w:val="clear" w:color="auto" w:fill="auto"/>
            <w:vAlign w:val="center"/>
          </w:tcPr>
          <w:p w14:paraId="4C02B429" w14:textId="7C5909E3" w:rsidR="00D33288" w:rsidRPr="00B74DAA" w:rsidRDefault="007161FD" w:rsidP="00D33288">
            <w:pPr>
              <w:rPr>
                <w:rFonts w:ascii="Arial" w:hAnsi="Arial"/>
                <w:sz w:val="22"/>
                <w:szCs w:val="22"/>
              </w:rPr>
            </w:pPr>
            <w:sdt>
              <w:sdtPr>
                <w:id w:val="-871300088"/>
                <w14:checkbox>
                  <w14:checked w14:val="1"/>
                  <w14:checkedState w14:val="2612" w14:font="MS Gothic"/>
                  <w14:uncheckedState w14:val="2610" w14:font="MS Gothic"/>
                </w14:checkbox>
              </w:sdtPr>
              <w:sdtEndPr/>
              <w:sdtContent>
                <w:r w:rsidR="004320B3">
                  <w:rPr>
                    <w:rFonts w:ascii="MS Gothic" w:eastAsia="MS Gothic" w:hAnsi="MS Gothic" w:hint="eastAsia"/>
                  </w:rPr>
                  <w:t>☒</w:t>
                </w:r>
              </w:sdtContent>
            </w:sdt>
          </w:p>
        </w:tc>
        <w:tc>
          <w:tcPr>
            <w:tcW w:w="9688" w:type="dxa"/>
            <w:vAlign w:val="center"/>
          </w:tcPr>
          <w:p w14:paraId="1EC662BC" w14:textId="4A398D86" w:rsidR="00D33288" w:rsidRPr="00B74DAA" w:rsidRDefault="00D33288" w:rsidP="00D33288">
            <w:pPr>
              <w:rPr>
                <w:rFonts w:ascii="Arial" w:hAnsi="Arial"/>
                <w:sz w:val="22"/>
                <w:szCs w:val="22"/>
                <w:lang w:eastAsia="zh-CN"/>
              </w:rPr>
            </w:pPr>
            <w:r w:rsidRPr="00B74DAA">
              <w:rPr>
                <w:rFonts w:ascii="Arial" w:hAnsi="Arial" w:cstheme="minorBidi"/>
              </w:rPr>
              <w:t>Transition Workplan</w:t>
            </w:r>
            <w:r w:rsidR="003844E1">
              <w:rPr>
                <w:rFonts w:ascii="Arial" w:hAnsi="Arial" w:cstheme="minorBidi"/>
              </w:rPr>
              <w:t xml:space="preserve"> (if available)</w:t>
            </w:r>
          </w:p>
        </w:tc>
      </w:tr>
      <w:tr w:rsidR="00D33288" w:rsidRPr="0098274C" w14:paraId="60E59B26" w14:textId="77777777" w:rsidTr="006810B2">
        <w:trPr>
          <w:trHeight w:val="567"/>
        </w:trPr>
        <w:tc>
          <w:tcPr>
            <w:tcW w:w="567" w:type="dxa"/>
            <w:shd w:val="clear" w:color="auto" w:fill="auto"/>
            <w:vAlign w:val="center"/>
          </w:tcPr>
          <w:p w14:paraId="3D99A533" w14:textId="2F85FCF1" w:rsidR="00D33288" w:rsidRPr="00B74DAA" w:rsidRDefault="007161FD" w:rsidP="00D33288">
            <w:pPr>
              <w:rPr>
                <w:rFonts w:ascii="Arial" w:hAnsi="Arial"/>
                <w:sz w:val="22"/>
                <w:szCs w:val="22"/>
              </w:rPr>
            </w:pPr>
            <w:sdt>
              <w:sdtPr>
                <w:id w:val="-653519876"/>
                <w14:checkbox>
                  <w14:checked w14:val="1"/>
                  <w14:checkedState w14:val="2612" w14:font="MS Gothic"/>
                  <w14:uncheckedState w14:val="2610" w14:font="MS Gothic"/>
                </w14:checkbox>
              </w:sdtPr>
              <w:sdtEndPr/>
              <w:sdtContent>
                <w:r w:rsidR="00154171">
                  <w:rPr>
                    <w:rFonts w:ascii="MS Gothic" w:eastAsia="MS Gothic" w:hAnsi="MS Gothic" w:hint="eastAsia"/>
                  </w:rPr>
                  <w:t>☒</w:t>
                </w:r>
              </w:sdtContent>
            </w:sdt>
          </w:p>
        </w:tc>
        <w:tc>
          <w:tcPr>
            <w:tcW w:w="9688" w:type="dxa"/>
            <w:vAlign w:val="center"/>
          </w:tcPr>
          <w:p w14:paraId="4A635CA2" w14:textId="491F2008" w:rsidR="00D33288" w:rsidRPr="00B74DAA" w:rsidRDefault="00D33288" w:rsidP="00D33288">
            <w:pPr>
              <w:rPr>
                <w:rFonts w:ascii="Arial" w:hAnsi="Arial"/>
                <w:sz w:val="22"/>
                <w:szCs w:val="22"/>
              </w:rPr>
            </w:pPr>
            <w:r w:rsidRPr="00B74DAA">
              <w:rPr>
                <w:rFonts w:ascii="Arial" w:hAnsi="Arial" w:cstheme="minorBidi"/>
              </w:rPr>
              <w:t>Transition Readiness Assessment (if available)</w:t>
            </w:r>
          </w:p>
        </w:tc>
      </w:tr>
      <w:tr w:rsidR="00D33288" w:rsidRPr="0098274C" w14:paraId="75FD2557" w14:textId="77777777" w:rsidTr="006810B2">
        <w:trPr>
          <w:trHeight w:val="567"/>
        </w:trPr>
        <w:tc>
          <w:tcPr>
            <w:tcW w:w="567" w:type="dxa"/>
            <w:shd w:val="clear" w:color="auto" w:fill="auto"/>
            <w:vAlign w:val="center"/>
          </w:tcPr>
          <w:p w14:paraId="0ED229A7" w14:textId="06B1214A" w:rsidR="00D33288" w:rsidRPr="00B74DAA" w:rsidRDefault="007161FD" w:rsidP="00D33288">
            <w:pPr>
              <w:rPr>
                <w:rFonts w:ascii="Arial" w:hAnsi="Arial"/>
                <w:sz w:val="22"/>
                <w:szCs w:val="22"/>
              </w:rPr>
            </w:pPr>
            <w:sdt>
              <w:sdtPr>
                <w:id w:val="1226954297"/>
                <w14:checkbox>
                  <w14:checked w14:val="1"/>
                  <w14:checkedState w14:val="2612" w14:font="MS Gothic"/>
                  <w14:uncheckedState w14:val="2610" w14:font="MS Gothic"/>
                </w14:checkbox>
              </w:sdtPr>
              <w:sdtEndPr/>
              <w:sdtContent>
                <w:r w:rsidR="004320B3">
                  <w:rPr>
                    <w:rFonts w:ascii="MS Gothic" w:eastAsia="MS Gothic" w:hAnsi="MS Gothic" w:hint="eastAsia"/>
                  </w:rPr>
                  <w:t>☒</w:t>
                </w:r>
              </w:sdtContent>
            </w:sdt>
          </w:p>
        </w:tc>
        <w:tc>
          <w:tcPr>
            <w:tcW w:w="9688" w:type="dxa"/>
            <w:vAlign w:val="center"/>
          </w:tcPr>
          <w:p w14:paraId="2F94AEA8" w14:textId="7E0D3F30" w:rsidR="00D33288" w:rsidRPr="00B74DAA" w:rsidRDefault="00D33288" w:rsidP="00D33288">
            <w:pPr>
              <w:rPr>
                <w:rFonts w:ascii="Arial" w:hAnsi="Arial"/>
                <w:sz w:val="22"/>
                <w:szCs w:val="22"/>
              </w:rPr>
            </w:pPr>
            <w:r w:rsidRPr="00B74DAA">
              <w:rPr>
                <w:rFonts w:ascii="Arial" w:hAnsi="Arial" w:cstheme="minorBidi"/>
              </w:rPr>
              <w:t>National Strategic Plans (Health Sector and Disease specific)</w:t>
            </w:r>
          </w:p>
        </w:tc>
      </w:tr>
      <w:tr w:rsidR="00D33288" w:rsidRPr="0098274C" w14:paraId="0591D3E7" w14:textId="77777777" w:rsidTr="006810B2">
        <w:trPr>
          <w:trHeight w:val="567"/>
        </w:trPr>
        <w:tc>
          <w:tcPr>
            <w:tcW w:w="567" w:type="dxa"/>
            <w:shd w:val="clear" w:color="auto" w:fill="auto"/>
            <w:vAlign w:val="center"/>
          </w:tcPr>
          <w:p w14:paraId="45A7E14B" w14:textId="3360C866" w:rsidR="00D33288" w:rsidRPr="00B74DAA" w:rsidRDefault="007161FD" w:rsidP="00D33288">
            <w:pPr>
              <w:rPr>
                <w:rFonts w:ascii="Arial" w:hAnsi="Arial"/>
                <w:sz w:val="22"/>
                <w:szCs w:val="22"/>
              </w:rPr>
            </w:pPr>
            <w:sdt>
              <w:sdtPr>
                <w:id w:val="-1163155206"/>
                <w14:checkbox>
                  <w14:checked w14:val="0"/>
                  <w14:checkedState w14:val="2612" w14:font="MS Gothic"/>
                  <w14:uncheckedState w14:val="2610" w14:font="MS Gothic"/>
                </w14:checkbox>
              </w:sdtPr>
              <w:sdtEndPr/>
              <w:sdtContent/>
            </w:sdt>
            <w:r w:rsidR="004320B3">
              <w:t xml:space="preserve"> </w:t>
            </w:r>
            <w:sdt>
              <w:sdtPr>
                <w:id w:val="-113839657"/>
                <w14:checkbox>
                  <w14:checked w14:val="1"/>
                  <w14:checkedState w14:val="2612" w14:font="MS Gothic"/>
                  <w14:uncheckedState w14:val="2610" w14:font="MS Gothic"/>
                </w14:checkbox>
              </w:sdtPr>
              <w:sdtEndPr/>
              <w:sdtContent>
                <w:r w:rsidR="004320B3">
                  <w:rPr>
                    <w:rFonts w:ascii="MS Gothic" w:eastAsia="MS Gothic" w:hAnsi="MS Gothic" w:hint="eastAsia"/>
                  </w:rPr>
                  <w:t>☒</w:t>
                </w:r>
              </w:sdtContent>
            </w:sdt>
          </w:p>
        </w:tc>
        <w:tc>
          <w:tcPr>
            <w:tcW w:w="9688" w:type="dxa"/>
            <w:vAlign w:val="center"/>
          </w:tcPr>
          <w:p w14:paraId="547AC985" w14:textId="35BA0E22" w:rsidR="00D33288" w:rsidRPr="00B74DAA" w:rsidRDefault="00D33288" w:rsidP="00D33288">
            <w:pPr>
              <w:rPr>
                <w:rFonts w:ascii="Arial" w:hAnsi="Arial"/>
                <w:sz w:val="22"/>
                <w:szCs w:val="22"/>
              </w:rPr>
            </w:pPr>
            <w:r w:rsidRPr="00B74DAA">
              <w:rPr>
                <w:rFonts w:ascii="Arial" w:hAnsi="Arial" w:cstheme="minorBidi"/>
                <w:lang w:eastAsia="zh-CN"/>
              </w:rPr>
              <w:t>All supporting documentation referenced in the funding request</w:t>
            </w:r>
          </w:p>
        </w:tc>
      </w:tr>
      <w:tr w:rsidR="00D33288" w:rsidRPr="0098274C" w14:paraId="2529886F" w14:textId="77777777" w:rsidTr="006810B2">
        <w:trPr>
          <w:trHeight w:val="567"/>
        </w:trPr>
        <w:tc>
          <w:tcPr>
            <w:tcW w:w="567" w:type="dxa"/>
            <w:shd w:val="clear" w:color="auto" w:fill="auto"/>
            <w:vAlign w:val="center"/>
          </w:tcPr>
          <w:p w14:paraId="7B19AFA1" w14:textId="36179132" w:rsidR="00D33288" w:rsidRPr="00B74DAA" w:rsidRDefault="007161FD" w:rsidP="00D33288">
            <w:pPr>
              <w:rPr>
                <w:rFonts w:ascii="Arial" w:hAnsi="Arial"/>
                <w:sz w:val="22"/>
                <w:szCs w:val="22"/>
              </w:rPr>
            </w:pPr>
            <w:sdt>
              <w:sdtPr>
                <w:id w:val="1501008062"/>
                <w14:checkbox>
                  <w14:checked w14:val="1"/>
                  <w14:checkedState w14:val="2612" w14:font="MS Gothic"/>
                  <w14:uncheckedState w14:val="2610" w14:font="MS Gothic"/>
                </w14:checkbox>
              </w:sdtPr>
              <w:sdtEndPr/>
              <w:sdtContent>
                <w:r w:rsidR="00154171">
                  <w:rPr>
                    <w:rFonts w:ascii="MS Gothic" w:eastAsia="MS Gothic" w:hAnsi="MS Gothic" w:hint="eastAsia"/>
                  </w:rPr>
                  <w:t>☒</w:t>
                </w:r>
              </w:sdtContent>
            </w:sdt>
          </w:p>
        </w:tc>
        <w:tc>
          <w:tcPr>
            <w:tcW w:w="9688" w:type="dxa"/>
            <w:vAlign w:val="center"/>
          </w:tcPr>
          <w:p w14:paraId="23739BB7" w14:textId="27886806" w:rsidR="00D33288" w:rsidRPr="00B74DAA" w:rsidRDefault="00D33288" w:rsidP="00D33288">
            <w:pPr>
              <w:rPr>
                <w:rFonts w:ascii="Arial" w:hAnsi="Arial"/>
                <w:sz w:val="22"/>
                <w:szCs w:val="22"/>
              </w:rPr>
            </w:pPr>
            <w:r>
              <w:rPr>
                <w:rFonts w:ascii="Arial" w:hAnsi="Arial" w:cstheme="minorBidi"/>
              </w:rPr>
              <w:t>Health Product Management Tool</w:t>
            </w:r>
            <w:r w:rsidRPr="00B74DAA">
              <w:rPr>
                <w:rFonts w:ascii="Arial" w:hAnsi="Arial" w:cstheme="minorBidi"/>
              </w:rPr>
              <w:t xml:space="preserve"> (if applicable)</w:t>
            </w:r>
          </w:p>
        </w:tc>
      </w:tr>
      <w:tr w:rsidR="00D33288" w:rsidRPr="0098274C" w14:paraId="000B6993" w14:textId="77777777" w:rsidTr="00F268A0">
        <w:trPr>
          <w:trHeight w:val="567"/>
        </w:trPr>
        <w:tc>
          <w:tcPr>
            <w:tcW w:w="567" w:type="dxa"/>
            <w:shd w:val="clear" w:color="auto" w:fill="auto"/>
            <w:vAlign w:val="center"/>
          </w:tcPr>
          <w:p w14:paraId="5ABDDC04" w14:textId="193A3CFE" w:rsidR="00D33288" w:rsidRPr="00B74DAA" w:rsidRDefault="007161FD" w:rsidP="00D33288">
            <w:pPr>
              <w:rPr>
                <w:rFonts w:ascii="Arial" w:hAnsi="Arial"/>
                <w:sz w:val="22"/>
                <w:szCs w:val="22"/>
              </w:rPr>
            </w:pPr>
            <w:sdt>
              <w:sdtPr>
                <w:id w:val="401407315"/>
                <w14:checkbox>
                  <w14:checked w14:val="1"/>
                  <w14:checkedState w14:val="2612" w14:font="MS Gothic"/>
                  <w14:uncheckedState w14:val="2610" w14:font="MS Gothic"/>
                </w14:checkbox>
              </w:sdtPr>
              <w:sdtEndPr/>
              <w:sdtContent>
                <w:r w:rsidR="00154171">
                  <w:rPr>
                    <w:rFonts w:ascii="MS Gothic" w:eastAsia="MS Gothic" w:hAnsi="MS Gothic" w:hint="eastAsia"/>
                  </w:rPr>
                  <w:t>☒</w:t>
                </w:r>
              </w:sdtContent>
            </w:sdt>
          </w:p>
        </w:tc>
        <w:tc>
          <w:tcPr>
            <w:tcW w:w="9688" w:type="dxa"/>
            <w:vAlign w:val="center"/>
          </w:tcPr>
          <w:p w14:paraId="40AE76AC" w14:textId="77777777" w:rsidR="00D33288" w:rsidRPr="00B74DAA" w:rsidRDefault="00D33288" w:rsidP="00D33288">
            <w:pPr>
              <w:rPr>
                <w:rFonts w:ascii="Arial" w:hAnsi="Arial"/>
                <w:sz w:val="22"/>
                <w:szCs w:val="22"/>
              </w:rPr>
            </w:pPr>
            <w:r w:rsidRPr="00B74DAA">
              <w:rPr>
                <w:rFonts w:ascii="Arial" w:hAnsi="Arial" w:cstheme="minorBidi"/>
              </w:rPr>
              <w:t>List of Abbreviations and Annexes</w:t>
            </w:r>
          </w:p>
        </w:tc>
      </w:tr>
    </w:tbl>
    <w:p w14:paraId="72F0A4CC" w14:textId="77777777" w:rsidR="006810B2" w:rsidRPr="00B271DB" w:rsidRDefault="006810B2" w:rsidP="004619FD">
      <w:pPr>
        <w:pStyle w:val="affff3"/>
        <w:spacing w:line="360" w:lineRule="auto"/>
        <w:ind w:left="0"/>
        <w:rPr>
          <w:rFonts w:cs="Arial"/>
        </w:rPr>
      </w:pPr>
    </w:p>
    <w:p w14:paraId="6E1D3450" w14:textId="323E3E9E" w:rsidR="009A6DE4" w:rsidRPr="004619FD" w:rsidRDefault="009A6DE4" w:rsidP="004619FD">
      <w:pPr>
        <w:spacing w:after="160" w:line="0" w:lineRule="auto"/>
      </w:pPr>
    </w:p>
    <w:sectPr w:rsidR="009A6DE4" w:rsidRPr="004619FD" w:rsidSect="00F5709E">
      <w:headerReference w:type="even" r:id="rId17"/>
      <w:headerReference w:type="default" r:id="rId18"/>
      <w:footerReference w:type="even" r:id="rId19"/>
      <w:footerReference w:type="default" r:id="rId20"/>
      <w:headerReference w:type="first" r:id="rId21"/>
      <w:footerReference w:type="first" r:id="rId22"/>
      <w:pgSz w:w="11906" w:h="16838" w:code="9"/>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39DCC" w14:textId="77777777" w:rsidR="007161FD" w:rsidRPr="009F52F1" w:rsidRDefault="007161FD" w:rsidP="0013691B">
      <w:pPr>
        <w:spacing w:after="0" w:line="240" w:lineRule="auto"/>
      </w:pPr>
      <w:r w:rsidRPr="009F52F1">
        <w:separator/>
      </w:r>
    </w:p>
  </w:endnote>
  <w:endnote w:type="continuationSeparator" w:id="0">
    <w:p w14:paraId="7EE93DBF" w14:textId="77777777" w:rsidR="007161FD" w:rsidRPr="009F52F1" w:rsidRDefault="007161FD" w:rsidP="0013691B">
      <w:pPr>
        <w:spacing w:after="0" w:line="240" w:lineRule="auto"/>
      </w:pPr>
      <w:r w:rsidRPr="009F52F1">
        <w:continuationSeparator/>
      </w:r>
    </w:p>
  </w:endnote>
  <w:endnote w:type="continuationNotice" w:id="1">
    <w:p w14:paraId="01F4AFF2" w14:textId="77777777" w:rsidR="007161FD" w:rsidRDefault="007161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720DA" w14:textId="77777777" w:rsidR="001127F4" w:rsidRDefault="001127F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0556792"/>
      <w:docPartObj>
        <w:docPartGallery w:val="Page Numbers (Bottom of Page)"/>
        <w:docPartUnique/>
      </w:docPartObj>
    </w:sdtPr>
    <w:sdtEndPr>
      <w:rPr>
        <w:noProof/>
      </w:rPr>
    </w:sdtEndPr>
    <w:sdtContent>
      <w:p w14:paraId="0E4B75CA" w14:textId="77777777" w:rsidR="001127F4" w:rsidRDefault="001127F4">
        <w:pPr>
          <w:pStyle w:val="a8"/>
          <w:jc w:val="right"/>
        </w:pPr>
        <w:r>
          <w:fldChar w:fldCharType="begin"/>
        </w:r>
        <w:r>
          <w:instrText xml:space="preserve"> PAGE   \* MERGEFORMAT </w:instrText>
        </w:r>
        <w:r>
          <w:fldChar w:fldCharType="separate"/>
        </w:r>
        <w:r>
          <w:rPr>
            <w:noProof/>
          </w:rPr>
          <w:t>2</w:t>
        </w:r>
        <w:r>
          <w:rPr>
            <w:noProof/>
          </w:rPr>
          <w:fldChar w:fldCharType="end"/>
        </w:r>
      </w:p>
    </w:sdtContent>
  </w:sdt>
  <w:p w14:paraId="5E30F3AB" w14:textId="29B74E9F" w:rsidR="001127F4" w:rsidRPr="006364FF" w:rsidRDefault="001127F4" w:rsidP="006364FF">
    <w:pPr>
      <w:spacing w:after="0"/>
      <w:jc w:val="center"/>
      <w:rPr>
        <w:color w:val="A6A6A6" w:themeColor="background1" w:themeShade="A6"/>
        <w:sz w:val="18"/>
        <w:szCs w:val="18"/>
      </w:rPr>
    </w:pPr>
    <w:r w:rsidRPr="00D21468">
      <w:rPr>
        <w:color w:val="A6A6A6" w:themeColor="background1" w:themeShade="A6"/>
        <w:sz w:val="18"/>
        <w:szCs w:val="18"/>
      </w:rPr>
      <w:t xml:space="preserve"> </w:t>
    </w:r>
    <w:bookmarkStart w:id="17" w:name="_Hlk14420169"/>
    <w:r w:rsidRPr="006364FF">
      <w:rPr>
        <w:color w:val="A6A6A6" w:themeColor="background1" w:themeShade="A6"/>
        <w:sz w:val="18"/>
        <w:szCs w:val="18"/>
      </w:rPr>
      <w:t xml:space="preserve">Funding Request Form – </w:t>
    </w:r>
    <w:r>
      <w:rPr>
        <w:color w:val="A6A6A6" w:themeColor="background1" w:themeShade="A6"/>
        <w:sz w:val="18"/>
        <w:szCs w:val="18"/>
      </w:rPr>
      <w:t>Tailored for Focused Portfolios</w:t>
    </w:r>
  </w:p>
  <w:p w14:paraId="163F2751" w14:textId="7CD8D1A3" w:rsidR="001127F4" w:rsidRPr="009B192C" w:rsidRDefault="001127F4" w:rsidP="006364FF">
    <w:pPr>
      <w:spacing w:after="0"/>
      <w:jc w:val="center"/>
      <w:rPr>
        <w:b/>
        <w:color w:val="A6A6A6" w:themeColor="background1" w:themeShade="A6"/>
        <w:sz w:val="18"/>
        <w:szCs w:val="18"/>
      </w:rPr>
    </w:pPr>
    <w:r w:rsidRPr="006364FF">
      <w:rPr>
        <w:color w:val="A6A6A6" w:themeColor="background1" w:themeShade="A6"/>
        <w:sz w:val="18"/>
        <w:szCs w:val="18"/>
      </w:rPr>
      <w:t xml:space="preserve">Issue Date: </w:t>
    </w:r>
    <w:bookmarkEnd w:id="17"/>
    <w:r>
      <w:rPr>
        <w:color w:val="A6A6A6" w:themeColor="background1" w:themeShade="A6"/>
        <w:sz w:val="18"/>
        <w:szCs w:val="18"/>
      </w:rPr>
      <w:t>November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2C72B" w14:textId="39EF8D9B" w:rsidR="001127F4" w:rsidRDefault="001127F4" w:rsidP="00F5709E">
    <w:pPr>
      <w:spacing w:after="0"/>
      <w:jc w:val="center"/>
      <w:rPr>
        <w:color w:val="A6A6A6" w:themeColor="background1" w:themeShade="A6"/>
        <w:sz w:val="18"/>
        <w:szCs w:val="18"/>
      </w:rPr>
    </w:pPr>
    <w:r w:rsidRPr="00EF23C6">
      <w:rPr>
        <w:color w:val="A6A6A6" w:themeColor="background1" w:themeShade="A6"/>
        <w:sz w:val="18"/>
        <w:szCs w:val="18"/>
      </w:rPr>
      <w:t xml:space="preserve">Funding Request </w:t>
    </w:r>
    <w:r>
      <w:rPr>
        <w:color w:val="A6A6A6" w:themeColor="background1" w:themeShade="A6"/>
        <w:sz w:val="18"/>
        <w:szCs w:val="18"/>
      </w:rPr>
      <w:t>Form</w:t>
    </w:r>
    <w:r w:rsidRPr="00EF23C6">
      <w:rPr>
        <w:color w:val="A6A6A6" w:themeColor="background1" w:themeShade="A6"/>
        <w:sz w:val="18"/>
        <w:szCs w:val="18"/>
      </w:rPr>
      <w:t xml:space="preserve"> </w:t>
    </w:r>
    <w:r>
      <w:rPr>
        <w:color w:val="A6A6A6" w:themeColor="background1" w:themeShade="A6"/>
        <w:sz w:val="18"/>
        <w:szCs w:val="18"/>
      </w:rPr>
      <w:t>–</w:t>
    </w:r>
    <w:r w:rsidRPr="00EF23C6">
      <w:rPr>
        <w:color w:val="A6A6A6" w:themeColor="background1" w:themeShade="A6"/>
        <w:sz w:val="18"/>
        <w:szCs w:val="18"/>
      </w:rPr>
      <w:t xml:space="preserve"> </w:t>
    </w:r>
    <w:r>
      <w:rPr>
        <w:color w:val="A6A6A6" w:themeColor="background1" w:themeShade="A6"/>
        <w:sz w:val="18"/>
        <w:szCs w:val="18"/>
      </w:rPr>
      <w:t>Tailored for Focused Portfolios</w:t>
    </w:r>
  </w:p>
  <w:p w14:paraId="2BEB7DF9" w14:textId="64897F2A" w:rsidR="001127F4" w:rsidRDefault="001127F4" w:rsidP="00F5709E">
    <w:pPr>
      <w:pStyle w:val="a8"/>
      <w:jc w:val="center"/>
    </w:pPr>
    <w:r>
      <w:rPr>
        <w:color w:val="A6A6A6" w:themeColor="background1" w:themeShade="A6"/>
        <w:sz w:val="18"/>
        <w:szCs w:val="18"/>
      </w:rPr>
      <w:t>Issue Date: November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A57AB" w14:textId="77777777" w:rsidR="007161FD" w:rsidRPr="009F52F1" w:rsidRDefault="007161FD" w:rsidP="0013691B">
      <w:pPr>
        <w:spacing w:after="0" w:line="240" w:lineRule="auto"/>
      </w:pPr>
      <w:r w:rsidRPr="009F52F1">
        <w:separator/>
      </w:r>
    </w:p>
  </w:footnote>
  <w:footnote w:type="continuationSeparator" w:id="0">
    <w:p w14:paraId="03665BD2" w14:textId="77777777" w:rsidR="007161FD" w:rsidRPr="009F52F1" w:rsidRDefault="007161FD" w:rsidP="0013691B">
      <w:pPr>
        <w:spacing w:after="0" w:line="240" w:lineRule="auto"/>
      </w:pPr>
      <w:r w:rsidRPr="009F52F1">
        <w:continuationSeparator/>
      </w:r>
    </w:p>
  </w:footnote>
  <w:footnote w:type="continuationNotice" w:id="1">
    <w:p w14:paraId="2AD39AFD" w14:textId="77777777" w:rsidR="007161FD" w:rsidRDefault="007161FD">
      <w:pPr>
        <w:spacing w:after="0" w:line="240" w:lineRule="auto"/>
      </w:pPr>
    </w:p>
  </w:footnote>
  <w:footnote w:id="2">
    <w:p w14:paraId="10AA0A09" w14:textId="77777777" w:rsidR="001127F4" w:rsidRDefault="001127F4" w:rsidP="00F5709E">
      <w:pPr>
        <w:pStyle w:val="ad"/>
        <w:ind w:right="386"/>
      </w:pPr>
      <w:r>
        <w:rPr>
          <w:rStyle w:val="af"/>
        </w:rPr>
        <w:footnoteRef/>
      </w:r>
      <w:r>
        <w:t xml:space="preserve"> </w:t>
      </w:r>
      <w:r w:rsidRPr="001358AD">
        <w:rPr>
          <w:szCs w:val="16"/>
        </w:rPr>
        <w:t>PAARs</w:t>
      </w:r>
      <w:r>
        <w:rPr>
          <w:szCs w:val="16"/>
        </w:rPr>
        <w:t xml:space="preserve"> </w:t>
      </w:r>
      <w:r w:rsidRPr="001358AD">
        <w:rPr>
          <w:szCs w:val="16"/>
        </w:rPr>
        <w:t>can only be submitted with the Funding Request. To complete a P</w:t>
      </w:r>
      <w:r>
        <w:rPr>
          <w:szCs w:val="16"/>
        </w:rPr>
        <w:t>AAR, fill-in the</w:t>
      </w:r>
      <w:r w:rsidRPr="001358AD">
        <w:rPr>
          <w:szCs w:val="16"/>
        </w:rPr>
        <w:t xml:space="preserve"> Excel template</w:t>
      </w:r>
      <w:r>
        <w:rPr>
          <w:szCs w:val="16"/>
        </w:rPr>
        <w:t xml:space="preserve"> that you will receive from the Global Fund Secretariat.</w:t>
      </w:r>
    </w:p>
  </w:footnote>
  <w:footnote w:id="3">
    <w:p w14:paraId="664FAF6B" w14:textId="36184090" w:rsidR="001127F4" w:rsidRDefault="001127F4" w:rsidP="00F5709E">
      <w:pPr>
        <w:pStyle w:val="ad"/>
        <w:ind w:right="386"/>
      </w:pPr>
      <w:r>
        <w:rPr>
          <w:rStyle w:val="af"/>
        </w:rPr>
        <w:footnoteRef/>
      </w:r>
      <w:r w:rsidRPr="00890D60">
        <w:t>This is only relevant for applicants with designated matching funds as indicated in the allocation letter.</w:t>
      </w:r>
    </w:p>
    <w:p w14:paraId="5B719234" w14:textId="77777777" w:rsidR="001127F4" w:rsidRDefault="001127F4" w:rsidP="00F5709E">
      <w:pPr>
        <w:pStyle w:val="ad"/>
        <w:ind w:right="386"/>
      </w:pPr>
    </w:p>
  </w:footnote>
  <w:footnote w:id="4">
    <w:p w14:paraId="3FCF4B1A" w14:textId="77777777" w:rsidR="001127F4" w:rsidRPr="00DB30F4" w:rsidRDefault="001127F4" w:rsidP="00AC767A">
      <w:pPr>
        <w:pStyle w:val="ad"/>
        <w:rPr>
          <w:szCs w:val="16"/>
        </w:rPr>
      </w:pPr>
      <w:r w:rsidRPr="00DB30F4">
        <w:rPr>
          <w:rStyle w:val="af"/>
          <w:szCs w:val="16"/>
        </w:rPr>
        <w:footnoteRef/>
      </w:r>
      <w:r w:rsidRPr="00DB30F4">
        <w:rPr>
          <w:szCs w:val="16"/>
        </w:rPr>
        <w:t xml:space="preserve"> https://aidsinfo.unaids.org/</w:t>
      </w:r>
    </w:p>
  </w:footnote>
  <w:footnote w:id="5">
    <w:p w14:paraId="0E80F00D" w14:textId="77777777" w:rsidR="001127F4" w:rsidRPr="00DB30F4" w:rsidRDefault="001127F4" w:rsidP="00AC767A">
      <w:pPr>
        <w:pStyle w:val="ad"/>
        <w:rPr>
          <w:szCs w:val="16"/>
        </w:rPr>
      </w:pPr>
      <w:r w:rsidRPr="00DB30F4">
        <w:rPr>
          <w:rStyle w:val="af"/>
          <w:szCs w:val="16"/>
        </w:rPr>
        <w:footnoteRef/>
      </w:r>
      <w:r w:rsidRPr="00DB30F4">
        <w:rPr>
          <w:szCs w:val="16"/>
        </w:rPr>
        <w:t xml:space="preserve"> Republican AIDS center 2019 http://www.aidscenter.kg/ru/situatsiya-po-vich-v-kr/category/10-2020.html</w:t>
      </w:r>
    </w:p>
  </w:footnote>
  <w:footnote w:id="6">
    <w:p w14:paraId="0385E0C4" w14:textId="77777777" w:rsidR="001127F4" w:rsidRPr="00DB30F4" w:rsidRDefault="001127F4" w:rsidP="00AC767A">
      <w:pPr>
        <w:pStyle w:val="ad"/>
        <w:rPr>
          <w:szCs w:val="16"/>
        </w:rPr>
      </w:pPr>
      <w:r w:rsidRPr="00DB30F4">
        <w:rPr>
          <w:rStyle w:val="af"/>
          <w:szCs w:val="16"/>
        </w:rPr>
        <w:footnoteRef/>
      </w:r>
      <w:r w:rsidRPr="00DB30F4">
        <w:rPr>
          <w:szCs w:val="16"/>
        </w:rPr>
        <w:t xml:space="preserve"> Republican AIDS center 2019 http://www.aidscenter.kg/ru/situatsiya-po-vich-v-kr/category/10-2020.html</w:t>
      </w:r>
    </w:p>
  </w:footnote>
  <w:footnote w:id="7">
    <w:p w14:paraId="420C81F7" w14:textId="77777777" w:rsidR="001127F4" w:rsidRPr="00DB30F4" w:rsidRDefault="001127F4" w:rsidP="00AC767A">
      <w:pPr>
        <w:pStyle w:val="ad"/>
        <w:rPr>
          <w:szCs w:val="16"/>
        </w:rPr>
      </w:pPr>
      <w:r w:rsidRPr="00DB30F4">
        <w:rPr>
          <w:rStyle w:val="af"/>
          <w:szCs w:val="16"/>
        </w:rPr>
        <w:footnoteRef/>
      </w:r>
      <w:r w:rsidRPr="00DB30F4">
        <w:rPr>
          <w:szCs w:val="16"/>
        </w:rPr>
        <w:t xml:space="preserve"> Republican AIDS center 2019 http://www.aidscenter.kg/ru/situatsiya-po-vich-v-kr/category/10-2020.html</w:t>
      </w:r>
    </w:p>
  </w:footnote>
  <w:footnote w:id="8">
    <w:p w14:paraId="74E2B47F" w14:textId="77777777" w:rsidR="001127F4" w:rsidRPr="00DB30F4" w:rsidRDefault="001127F4" w:rsidP="00AC767A">
      <w:pPr>
        <w:pStyle w:val="ad"/>
        <w:rPr>
          <w:szCs w:val="16"/>
        </w:rPr>
      </w:pPr>
      <w:r w:rsidRPr="00DB30F4">
        <w:rPr>
          <w:rStyle w:val="af"/>
          <w:szCs w:val="16"/>
        </w:rPr>
        <w:footnoteRef/>
      </w:r>
      <w:r w:rsidRPr="00DB30F4">
        <w:rPr>
          <w:szCs w:val="16"/>
        </w:rPr>
        <w:t xml:space="preserve"> http://aidscenter.kg/ru/</w:t>
      </w:r>
    </w:p>
  </w:footnote>
  <w:footnote w:id="9">
    <w:p w14:paraId="38336F30" w14:textId="77777777" w:rsidR="001127F4" w:rsidRPr="00DB30F4" w:rsidRDefault="001127F4" w:rsidP="00AC767A">
      <w:pPr>
        <w:pStyle w:val="ad"/>
        <w:rPr>
          <w:szCs w:val="16"/>
        </w:rPr>
      </w:pPr>
      <w:r w:rsidRPr="00DB30F4">
        <w:rPr>
          <w:rStyle w:val="af"/>
          <w:szCs w:val="16"/>
        </w:rPr>
        <w:footnoteRef/>
      </w:r>
      <w:r w:rsidRPr="00DB30F4">
        <w:rPr>
          <w:szCs w:val="16"/>
        </w:rPr>
        <w:t xml:space="preserve"> http://www.afew.kg/upload/userfiles/IBBS_report_21_12_2017_final.pdf</w:t>
      </w:r>
    </w:p>
  </w:footnote>
  <w:footnote w:id="10">
    <w:p w14:paraId="283D5271" w14:textId="77777777" w:rsidR="001127F4" w:rsidRPr="00DB30F4" w:rsidRDefault="001127F4" w:rsidP="00AC767A">
      <w:pPr>
        <w:pStyle w:val="ad"/>
        <w:rPr>
          <w:szCs w:val="16"/>
        </w:rPr>
      </w:pPr>
      <w:r w:rsidRPr="00DB30F4">
        <w:rPr>
          <w:rStyle w:val="af"/>
          <w:szCs w:val="16"/>
        </w:rPr>
        <w:footnoteRef/>
      </w:r>
      <w:r w:rsidRPr="00DB30F4">
        <w:rPr>
          <w:szCs w:val="16"/>
        </w:rPr>
        <w:t xml:space="preserve"> Key Population Assessment Report (PWID, SW) 2013, MSM - 2016 based on SS</w:t>
      </w:r>
    </w:p>
  </w:footnote>
  <w:footnote w:id="11">
    <w:p w14:paraId="53906FE6" w14:textId="77777777" w:rsidR="001127F4" w:rsidRPr="00DB30F4" w:rsidRDefault="001127F4" w:rsidP="00AC767A">
      <w:pPr>
        <w:pStyle w:val="ad"/>
        <w:rPr>
          <w:szCs w:val="16"/>
        </w:rPr>
      </w:pPr>
      <w:r w:rsidRPr="00DB30F4">
        <w:rPr>
          <w:rStyle w:val="af"/>
          <w:szCs w:val="16"/>
        </w:rPr>
        <w:footnoteRef/>
      </w:r>
      <w:r w:rsidRPr="00DB30F4">
        <w:rPr>
          <w:szCs w:val="16"/>
        </w:rPr>
        <w:t xml:space="preserve"> http://www.afew.kg/upload/userfiles/IBBS_report_21_12_2017_final.pdf</w:t>
      </w:r>
    </w:p>
  </w:footnote>
  <w:footnote w:id="12">
    <w:p w14:paraId="2CBCF9A0" w14:textId="77777777" w:rsidR="001127F4" w:rsidRPr="00DB30F4" w:rsidRDefault="001127F4" w:rsidP="00AC767A">
      <w:pPr>
        <w:pStyle w:val="ad"/>
        <w:rPr>
          <w:szCs w:val="16"/>
        </w:rPr>
      </w:pPr>
      <w:r w:rsidRPr="00DB30F4">
        <w:rPr>
          <w:rStyle w:val="af"/>
          <w:szCs w:val="16"/>
        </w:rPr>
        <w:footnoteRef/>
      </w:r>
      <w:r w:rsidRPr="00DB30F4">
        <w:rPr>
          <w:szCs w:val="16"/>
        </w:rPr>
        <w:t xml:space="preserve"> The Government of the Kyrgyz Republic Program on Overcoming HIV Infection in the Kyrgyz Republic for 2017-2021</w:t>
      </w:r>
    </w:p>
    <w:p w14:paraId="68C13C26" w14:textId="77777777" w:rsidR="001127F4" w:rsidRPr="00DB30F4" w:rsidRDefault="001127F4" w:rsidP="00AC767A">
      <w:pPr>
        <w:pStyle w:val="ad"/>
        <w:rPr>
          <w:szCs w:val="16"/>
        </w:rPr>
      </w:pPr>
      <w:r w:rsidRPr="00DB30F4">
        <w:rPr>
          <w:szCs w:val="16"/>
        </w:rPr>
        <w:t>http://cbd.minjust.gov.kg/act/view/ru-ru/11589</w:t>
      </w:r>
    </w:p>
  </w:footnote>
  <w:footnote w:id="13">
    <w:p w14:paraId="3C5BE1CE" w14:textId="77777777" w:rsidR="001127F4" w:rsidRPr="00DB30F4" w:rsidRDefault="001127F4" w:rsidP="00C42233">
      <w:pPr>
        <w:pStyle w:val="ad"/>
        <w:rPr>
          <w:szCs w:val="16"/>
        </w:rPr>
      </w:pPr>
      <w:r w:rsidRPr="00DB30F4">
        <w:rPr>
          <w:rStyle w:val="af"/>
          <w:szCs w:val="16"/>
        </w:rPr>
        <w:footnoteRef/>
      </w:r>
      <w:r w:rsidRPr="00DB30F4">
        <w:rPr>
          <w:szCs w:val="16"/>
        </w:rPr>
        <w:t xml:space="preserve"> http://aidscenter.kg/ru/</w:t>
      </w:r>
    </w:p>
  </w:footnote>
  <w:footnote w:id="14">
    <w:p w14:paraId="2BF27899" w14:textId="77777777" w:rsidR="001127F4" w:rsidRPr="00DB30F4" w:rsidRDefault="001127F4" w:rsidP="00C42233">
      <w:pPr>
        <w:pStyle w:val="ad"/>
        <w:rPr>
          <w:szCs w:val="16"/>
        </w:rPr>
      </w:pPr>
      <w:r>
        <w:rPr>
          <w:rStyle w:val="af"/>
        </w:rPr>
        <w:footnoteRef/>
      </w:r>
      <w:r w:rsidRPr="000751AA">
        <w:t xml:space="preserve"> </w:t>
      </w:r>
      <w:r w:rsidRPr="00DB30F4">
        <w:rPr>
          <w:szCs w:val="16"/>
        </w:rPr>
        <w:t>http://aidscenter.kg/ru/</w:t>
      </w:r>
    </w:p>
  </w:footnote>
  <w:footnote w:id="15">
    <w:p w14:paraId="4C1C49D0" w14:textId="39153038" w:rsidR="001127F4" w:rsidRPr="009134CC" w:rsidRDefault="001127F4" w:rsidP="009134CC">
      <w:pPr>
        <w:spacing w:after="0" w:line="240" w:lineRule="auto"/>
        <w:rPr>
          <w:sz w:val="13"/>
          <w:szCs w:val="13"/>
        </w:rPr>
      </w:pPr>
      <w:r w:rsidRPr="00DB30F4">
        <w:rPr>
          <w:rStyle w:val="af"/>
          <w:szCs w:val="16"/>
        </w:rPr>
        <w:footnoteRef/>
      </w:r>
      <w:hyperlink r:id="rId1" w:tgtFrame="_blank" w:history="1">
        <w:r w:rsidRPr="009134CC">
          <w:rPr>
            <w:rStyle w:val="af9"/>
            <w:rFonts w:cs="Arial"/>
            <w:color w:val="1155CC"/>
            <w:sz w:val="13"/>
            <w:szCs w:val="13"/>
            <w:shd w:val="clear" w:color="auto" w:fill="FFFFFF"/>
          </w:rPr>
          <w:t>https://extranet.who.int/sree/Reports?op=Replet&amp;name=%2FWHO_HQ_Reports%2FG2%2FPROD%2FEXT%2FTBCountryProfile&amp;ISO2=KG&amp;LAN=EN&amp;outtype=html</w:t>
        </w:r>
      </w:hyperlink>
    </w:p>
  </w:footnote>
  <w:footnote w:id="16">
    <w:p w14:paraId="74AA8E87" w14:textId="77777777" w:rsidR="001127F4" w:rsidRPr="00DB30F4" w:rsidRDefault="001127F4" w:rsidP="00DB30F4">
      <w:pPr>
        <w:pStyle w:val="ad"/>
        <w:rPr>
          <w:szCs w:val="16"/>
        </w:rPr>
      </w:pPr>
      <w:r w:rsidRPr="00DB30F4">
        <w:rPr>
          <w:rStyle w:val="af"/>
          <w:szCs w:val="16"/>
        </w:rPr>
        <w:footnoteRef/>
      </w:r>
      <w:r w:rsidRPr="00DB30F4">
        <w:rPr>
          <w:szCs w:val="16"/>
        </w:rPr>
        <w:t xml:space="preserve"> http://www.stat.kg/ru/publications/sbornik-zdorove-naseleniya-i-zdravoohranenie-v-kyrgyzskoj-respublike/</w:t>
      </w:r>
    </w:p>
  </w:footnote>
  <w:footnote w:id="17">
    <w:p w14:paraId="0E4C2FB6" w14:textId="77777777" w:rsidR="001127F4" w:rsidRPr="00BD7400" w:rsidRDefault="001127F4" w:rsidP="00BD7400">
      <w:pPr>
        <w:pStyle w:val="ad"/>
        <w:rPr>
          <w:rFonts w:asciiTheme="minorHAnsi" w:hAnsiTheme="minorHAnsi" w:cstheme="minorHAnsi"/>
          <w:szCs w:val="16"/>
        </w:rPr>
      </w:pPr>
      <w:r w:rsidRPr="00BD7400">
        <w:rPr>
          <w:rStyle w:val="af"/>
          <w:rFonts w:asciiTheme="minorHAnsi" w:hAnsiTheme="minorHAnsi" w:cstheme="minorHAnsi"/>
          <w:szCs w:val="16"/>
        </w:rPr>
        <w:footnoteRef/>
      </w:r>
      <w:r w:rsidRPr="00BD7400">
        <w:rPr>
          <w:rFonts w:asciiTheme="minorHAnsi" w:hAnsiTheme="minorHAnsi" w:cstheme="minorHAnsi"/>
          <w:szCs w:val="16"/>
        </w:rPr>
        <w:t xml:space="preserve"> </w:t>
      </w:r>
      <w:hyperlink r:id="rId2" w:history="1">
        <w:r w:rsidRPr="00BD7400">
          <w:rPr>
            <w:rStyle w:val="af9"/>
            <w:rFonts w:asciiTheme="minorHAnsi" w:hAnsiTheme="minorHAnsi" w:cstheme="minorHAnsi"/>
            <w:szCs w:val="16"/>
          </w:rPr>
          <w:t>http://hivtbcc.kg/proekti/37-programma-pravitelstva-kyrgyzskoi-respubliki-po-preodoleniyu-tb-infekcii-v-kyrgyzskoi-respublike.html</w:t>
        </w:r>
      </w:hyperlink>
    </w:p>
  </w:footnote>
  <w:footnote w:id="18">
    <w:p w14:paraId="2AE2FC8D" w14:textId="77777777" w:rsidR="001127F4" w:rsidRPr="00E25BC0" w:rsidRDefault="001127F4" w:rsidP="00E25BC0">
      <w:pPr>
        <w:pStyle w:val="ad"/>
        <w:rPr>
          <w:szCs w:val="16"/>
        </w:rPr>
      </w:pPr>
      <w:r w:rsidRPr="00E25BC0">
        <w:rPr>
          <w:rStyle w:val="af"/>
          <w:szCs w:val="16"/>
        </w:rPr>
        <w:footnoteRef/>
      </w:r>
      <w:r w:rsidRPr="00E25BC0">
        <w:rPr>
          <w:szCs w:val="16"/>
        </w:rPr>
        <w:t xml:space="preserve"> http://cbd.minjust.gov.kg/act/view/ru-ru/215621</w:t>
      </w:r>
    </w:p>
  </w:footnote>
  <w:footnote w:id="19">
    <w:p w14:paraId="7A64F227" w14:textId="77777777" w:rsidR="001127F4" w:rsidRPr="008A1699" w:rsidRDefault="001127F4" w:rsidP="008A1699">
      <w:pPr>
        <w:pStyle w:val="ad"/>
        <w:rPr>
          <w:szCs w:val="16"/>
        </w:rPr>
      </w:pPr>
      <w:r w:rsidRPr="008A1699">
        <w:rPr>
          <w:rStyle w:val="af"/>
          <w:szCs w:val="16"/>
        </w:rPr>
        <w:footnoteRef/>
      </w:r>
      <w:r w:rsidRPr="008A1699">
        <w:rPr>
          <w:szCs w:val="16"/>
        </w:rPr>
        <w:t xml:space="preserve"> </w:t>
      </w:r>
      <w:hyperlink r:id="rId3" w:history="1">
        <w:r w:rsidRPr="008A1699">
          <w:rPr>
            <w:szCs w:val="16"/>
          </w:rPr>
          <w:t>http://kenesh.kg/ru/draftlaw/122027/show</w:t>
        </w:r>
      </w:hyperlink>
    </w:p>
  </w:footnote>
  <w:footnote w:id="20">
    <w:p w14:paraId="0DAAAFA4" w14:textId="77777777" w:rsidR="001127F4" w:rsidRPr="008A1699" w:rsidRDefault="001127F4" w:rsidP="008A1699">
      <w:pPr>
        <w:pStyle w:val="ad"/>
        <w:rPr>
          <w:szCs w:val="16"/>
        </w:rPr>
      </w:pPr>
      <w:r w:rsidRPr="008A1699">
        <w:rPr>
          <w:rStyle w:val="af"/>
          <w:szCs w:val="16"/>
        </w:rPr>
        <w:footnoteRef/>
      </w:r>
      <w:r w:rsidRPr="008A1699">
        <w:rPr>
          <w:szCs w:val="16"/>
        </w:rPr>
        <w:t xml:space="preserve"> </w:t>
      </w:r>
      <w:hyperlink r:id="rId4" w:tgtFrame="_blank" w:history="1">
        <w:r w:rsidRPr="008A1699">
          <w:rPr>
            <w:szCs w:val="16"/>
          </w:rPr>
          <w:t>http://www.kenesh.kg/ru/draftlaw/579931/show</w:t>
        </w:r>
      </w:hyperlink>
    </w:p>
  </w:footnote>
  <w:footnote w:id="21">
    <w:p w14:paraId="76944844" w14:textId="77777777" w:rsidR="001127F4" w:rsidRPr="00F6103C" w:rsidRDefault="001127F4" w:rsidP="00F6103C">
      <w:pPr>
        <w:pStyle w:val="ad"/>
        <w:jc w:val="both"/>
        <w:rPr>
          <w:szCs w:val="16"/>
        </w:rPr>
      </w:pPr>
      <w:r w:rsidRPr="00F6103C">
        <w:rPr>
          <w:rStyle w:val="af"/>
          <w:szCs w:val="16"/>
        </w:rPr>
        <w:footnoteRef/>
      </w:r>
      <w:r w:rsidRPr="00F6103C">
        <w:rPr>
          <w:szCs w:val="16"/>
        </w:rPr>
        <w:t xml:space="preserve"> http://cbd.minjust.gov.kg/act/view/ru-ru/11590</w:t>
      </w:r>
    </w:p>
  </w:footnote>
  <w:footnote w:id="22">
    <w:p w14:paraId="2FE8D761" w14:textId="77777777" w:rsidR="001127F4" w:rsidRPr="00F6103C" w:rsidRDefault="001127F4" w:rsidP="00F6103C">
      <w:pPr>
        <w:pStyle w:val="ad"/>
        <w:jc w:val="both"/>
        <w:rPr>
          <w:szCs w:val="16"/>
        </w:rPr>
      </w:pPr>
      <w:r w:rsidRPr="00F6103C">
        <w:rPr>
          <w:rStyle w:val="af"/>
          <w:szCs w:val="16"/>
        </w:rPr>
        <w:footnoteRef/>
      </w:r>
      <w:r w:rsidRPr="00F6103C">
        <w:rPr>
          <w:szCs w:val="16"/>
        </w:rPr>
        <w:t xml:space="preserve"> </w:t>
      </w:r>
      <w:hyperlink r:id="rId5" w:anchor="p3" w:history="1">
        <w:r w:rsidRPr="00F6103C">
          <w:rPr>
            <w:szCs w:val="16"/>
            <w:u w:val="single"/>
          </w:rPr>
          <w:t>http://cbd.minjust.gov.kg/act/view/ru-ru/11589?cl=ru-ru#p3</w:t>
        </w:r>
      </w:hyperlink>
    </w:p>
  </w:footnote>
  <w:footnote w:id="23">
    <w:p w14:paraId="129B6AF9" w14:textId="77777777" w:rsidR="001127F4" w:rsidRPr="00F6103C" w:rsidRDefault="001127F4" w:rsidP="00F6103C">
      <w:pPr>
        <w:pStyle w:val="ad"/>
        <w:jc w:val="both"/>
        <w:rPr>
          <w:szCs w:val="16"/>
        </w:rPr>
      </w:pPr>
      <w:r w:rsidRPr="00F6103C">
        <w:rPr>
          <w:rStyle w:val="af"/>
          <w:szCs w:val="16"/>
        </w:rPr>
        <w:footnoteRef/>
      </w:r>
      <w:r w:rsidRPr="00F6103C">
        <w:rPr>
          <w:szCs w:val="16"/>
        </w:rPr>
        <w:t xml:space="preserve"> </w:t>
      </w:r>
      <w:hyperlink r:id="rId6" w:history="1">
        <w:r w:rsidRPr="00F6103C">
          <w:rPr>
            <w:szCs w:val="16"/>
            <w:u w:val="single"/>
          </w:rPr>
          <w:t>http://cbd.minjust.gov.kg/act/view/ru-ru/216902?cl=ru-ru</w:t>
        </w:r>
      </w:hyperlink>
    </w:p>
  </w:footnote>
  <w:footnote w:id="24">
    <w:p w14:paraId="6F6397EA" w14:textId="26DA633F" w:rsidR="001127F4" w:rsidRPr="00F6103C" w:rsidRDefault="001127F4" w:rsidP="00F6103C">
      <w:pPr>
        <w:pStyle w:val="ad"/>
        <w:jc w:val="both"/>
        <w:rPr>
          <w:szCs w:val="16"/>
        </w:rPr>
      </w:pPr>
      <w:r w:rsidRPr="00F6103C">
        <w:rPr>
          <w:rStyle w:val="af"/>
          <w:szCs w:val="16"/>
        </w:rPr>
        <w:footnoteRef/>
      </w:r>
      <w:r w:rsidRPr="00F6103C">
        <w:rPr>
          <w:szCs w:val="16"/>
        </w:rPr>
        <w:t xml:space="preserve"> </w:t>
      </w:r>
      <w:r w:rsidRPr="009B6784">
        <w:t>The People Living with HIV Stigma Index, 2015, Analytical Report</w:t>
      </w:r>
    </w:p>
  </w:footnote>
  <w:footnote w:id="25">
    <w:p w14:paraId="13593D77" w14:textId="7F31A855" w:rsidR="001127F4" w:rsidRPr="00F6103C" w:rsidRDefault="001127F4" w:rsidP="00F6103C">
      <w:pPr>
        <w:pStyle w:val="ad"/>
        <w:jc w:val="both"/>
        <w:rPr>
          <w:szCs w:val="16"/>
        </w:rPr>
      </w:pPr>
      <w:r w:rsidRPr="00F6103C">
        <w:rPr>
          <w:szCs w:val="16"/>
        </w:rPr>
        <w:footnoteRef/>
      </w:r>
      <w:r w:rsidRPr="00F6103C">
        <w:rPr>
          <w:szCs w:val="16"/>
        </w:rPr>
        <w:t xml:space="preserve"> </w:t>
      </w:r>
      <w:hyperlink r:id="rId7" w:history="1">
        <w:r w:rsidRPr="007F68ED">
          <w:rPr>
            <w:rStyle w:val="af9"/>
            <w:szCs w:val="16"/>
          </w:rPr>
          <w:t>https</w:t>
        </w:r>
        <w:r w:rsidRPr="00F6103C">
          <w:rPr>
            <w:rStyle w:val="af9"/>
            <w:szCs w:val="16"/>
          </w:rPr>
          <w:t>://</w:t>
        </w:r>
        <w:r w:rsidRPr="007F68ED">
          <w:rPr>
            <w:rStyle w:val="af9"/>
            <w:szCs w:val="16"/>
          </w:rPr>
          <w:t>www</w:t>
        </w:r>
        <w:r w:rsidRPr="00F6103C">
          <w:rPr>
            <w:rStyle w:val="af9"/>
            <w:szCs w:val="16"/>
          </w:rPr>
          <w:t>.</w:t>
        </w:r>
        <w:r w:rsidRPr="007F68ED">
          <w:rPr>
            <w:rStyle w:val="af9"/>
            <w:szCs w:val="16"/>
          </w:rPr>
          <w:t>colta</w:t>
        </w:r>
        <w:r w:rsidRPr="00F6103C">
          <w:rPr>
            <w:rStyle w:val="af9"/>
            <w:szCs w:val="16"/>
          </w:rPr>
          <w:t>.</w:t>
        </w:r>
        <w:r w:rsidRPr="007F68ED">
          <w:rPr>
            <w:rStyle w:val="af9"/>
            <w:szCs w:val="16"/>
          </w:rPr>
          <w:t>ru</w:t>
        </w:r>
        <w:r w:rsidRPr="00F6103C">
          <w:rPr>
            <w:rStyle w:val="af9"/>
            <w:szCs w:val="16"/>
          </w:rPr>
          <w:t>/</w:t>
        </w:r>
        <w:r w:rsidRPr="007F68ED">
          <w:rPr>
            <w:rStyle w:val="af9"/>
            <w:szCs w:val="16"/>
          </w:rPr>
          <w:t>articles</w:t>
        </w:r>
        <w:r w:rsidRPr="00F6103C">
          <w:rPr>
            <w:rStyle w:val="af9"/>
            <w:szCs w:val="16"/>
          </w:rPr>
          <w:t>/</w:t>
        </w:r>
        <w:r w:rsidRPr="007F68ED">
          <w:rPr>
            <w:rStyle w:val="af9"/>
            <w:szCs w:val="16"/>
          </w:rPr>
          <w:t>art</w:t>
        </w:r>
        <w:r w:rsidRPr="00F6103C">
          <w:rPr>
            <w:rStyle w:val="af9"/>
            <w:szCs w:val="16"/>
          </w:rPr>
          <w:t>/23366-</w:t>
        </w:r>
        <w:r w:rsidRPr="007F68ED">
          <w:rPr>
            <w:rStyle w:val="af9"/>
            <w:szCs w:val="16"/>
          </w:rPr>
          <w:t>feminnale</w:t>
        </w:r>
        <w:r w:rsidRPr="00F6103C">
          <w:rPr>
            <w:rStyle w:val="af9"/>
            <w:szCs w:val="16"/>
          </w:rPr>
          <w:t>-</w:t>
        </w:r>
        <w:r w:rsidRPr="007F68ED">
          <w:rPr>
            <w:rStyle w:val="af9"/>
            <w:szCs w:val="16"/>
          </w:rPr>
          <w:t>v</w:t>
        </w:r>
        <w:r w:rsidRPr="00F6103C">
          <w:rPr>
            <w:rStyle w:val="af9"/>
            <w:szCs w:val="16"/>
          </w:rPr>
          <w:t>-</w:t>
        </w:r>
        <w:r w:rsidRPr="007F68ED">
          <w:rPr>
            <w:rStyle w:val="af9"/>
            <w:szCs w:val="16"/>
          </w:rPr>
          <w:t>bishkeke</w:t>
        </w:r>
        <w:r w:rsidRPr="00F6103C">
          <w:rPr>
            <w:rStyle w:val="af9"/>
            <w:szCs w:val="16"/>
          </w:rPr>
          <w:t>-</w:t>
        </w:r>
        <w:r w:rsidRPr="007F68ED">
          <w:rPr>
            <w:rStyle w:val="af9"/>
            <w:szCs w:val="16"/>
          </w:rPr>
          <w:t>itogi</w:t>
        </w:r>
      </w:hyperlink>
      <w:r w:rsidRPr="00F6103C">
        <w:rPr>
          <w:szCs w:val="16"/>
        </w:rPr>
        <w:t>;</w:t>
      </w:r>
    </w:p>
    <w:p w14:paraId="5EA9D11B" w14:textId="0642848F" w:rsidR="001127F4" w:rsidRDefault="007161FD" w:rsidP="00F6103C">
      <w:pPr>
        <w:pStyle w:val="ad"/>
        <w:jc w:val="both"/>
        <w:rPr>
          <w:szCs w:val="16"/>
        </w:rPr>
      </w:pPr>
      <w:hyperlink r:id="rId8" w:history="1">
        <w:r w:rsidR="001127F4" w:rsidRPr="007F68ED">
          <w:rPr>
            <w:rStyle w:val="af9"/>
            <w:szCs w:val="16"/>
          </w:rPr>
          <w:t>https://14thissue.russianartfocus.com/kyrgyzstans-scandal-struck-first-feminnale/</w:t>
        </w:r>
      </w:hyperlink>
      <w:r w:rsidR="001127F4" w:rsidRPr="00F6103C">
        <w:rPr>
          <w:szCs w:val="16"/>
        </w:rPr>
        <w:t>;</w:t>
      </w:r>
    </w:p>
    <w:p w14:paraId="5837E0A6" w14:textId="51C6000B" w:rsidR="001127F4" w:rsidRDefault="007161FD" w:rsidP="00F6103C">
      <w:pPr>
        <w:pStyle w:val="ad"/>
        <w:jc w:val="both"/>
        <w:rPr>
          <w:szCs w:val="16"/>
        </w:rPr>
      </w:pPr>
      <w:hyperlink r:id="rId9" w:history="1">
        <w:r w:rsidR="001127F4" w:rsidRPr="007F68ED">
          <w:rPr>
            <w:rStyle w:val="af9"/>
            <w:szCs w:val="16"/>
          </w:rPr>
          <w:t>https://24.kg/obschestvo/137552_bolot_djunusov_oskandale_sfeminale_sila_natsii_nevpletkah_pered_jenschinoy/</w:t>
        </w:r>
      </w:hyperlink>
      <w:r w:rsidR="001127F4" w:rsidRPr="00F6103C">
        <w:rPr>
          <w:szCs w:val="16"/>
        </w:rPr>
        <w:t>;</w:t>
      </w:r>
    </w:p>
    <w:p w14:paraId="66A8EB03" w14:textId="45862800" w:rsidR="001127F4" w:rsidRDefault="007161FD" w:rsidP="00F6103C">
      <w:pPr>
        <w:pStyle w:val="ad"/>
        <w:jc w:val="both"/>
        <w:rPr>
          <w:szCs w:val="16"/>
        </w:rPr>
      </w:pPr>
      <w:hyperlink r:id="rId10" w:history="1">
        <w:r w:rsidR="001127F4" w:rsidRPr="007F68ED">
          <w:rPr>
            <w:rStyle w:val="af9"/>
            <w:szCs w:val="16"/>
          </w:rPr>
          <w:t>https://vesti.kg/obshchestvo/item/59278-flag-lgbt-v-tsentre-bishkeka-foto.html</w:t>
        </w:r>
      </w:hyperlink>
      <w:r w:rsidR="001127F4" w:rsidRPr="00F6103C">
        <w:rPr>
          <w:szCs w:val="16"/>
        </w:rPr>
        <w:t>;</w:t>
      </w:r>
    </w:p>
    <w:p w14:paraId="4381E9F4" w14:textId="225E89F7" w:rsidR="001127F4" w:rsidRDefault="007161FD" w:rsidP="00F6103C">
      <w:pPr>
        <w:pStyle w:val="ad"/>
        <w:jc w:val="both"/>
        <w:rPr>
          <w:szCs w:val="16"/>
        </w:rPr>
      </w:pPr>
      <w:hyperlink r:id="rId11" w:history="1">
        <w:r w:rsidR="001127F4" w:rsidRPr="007F68ED">
          <w:rPr>
            <w:rStyle w:val="af9"/>
            <w:szCs w:val="16"/>
          </w:rPr>
          <w:t>https://www.vb.kg/doc/377159_lgbt_na_mirnom_marshe_8_go_marta:_mera_bishkeka_podstavili.html</w:t>
        </w:r>
      </w:hyperlink>
      <w:r w:rsidR="001127F4" w:rsidRPr="00F6103C">
        <w:rPr>
          <w:szCs w:val="16"/>
        </w:rPr>
        <w:t>;</w:t>
      </w:r>
    </w:p>
    <w:p w14:paraId="5C25897E" w14:textId="43371992" w:rsidR="001127F4" w:rsidRPr="00F6103C" w:rsidRDefault="007161FD" w:rsidP="00F6103C">
      <w:pPr>
        <w:pStyle w:val="ad"/>
        <w:jc w:val="both"/>
        <w:rPr>
          <w:szCs w:val="16"/>
        </w:rPr>
      </w:pPr>
      <w:hyperlink r:id="rId12" w:history="1">
        <w:r w:rsidR="001127F4" w:rsidRPr="007F68ED">
          <w:rPr>
            <w:rStyle w:val="af9"/>
            <w:szCs w:val="16"/>
          </w:rPr>
          <w:t>https://24.kg/obschestvo/145875_razgon_marsha_zaprava_jenschin_kak_reagirovali_gorojane_ivlasti/</w:t>
        </w:r>
      </w:hyperlink>
    </w:p>
  </w:footnote>
  <w:footnote w:id="26">
    <w:p w14:paraId="53042B34" w14:textId="77777777" w:rsidR="001127F4" w:rsidRPr="00F6103C" w:rsidRDefault="001127F4" w:rsidP="00F6103C">
      <w:pPr>
        <w:pStyle w:val="ad"/>
        <w:jc w:val="both"/>
        <w:rPr>
          <w:szCs w:val="16"/>
        </w:rPr>
      </w:pPr>
      <w:r w:rsidRPr="00F6103C">
        <w:rPr>
          <w:szCs w:val="16"/>
        </w:rPr>
        <w:footnoteRef/>
      </w:r>
      <w:r w:rsidRPr="00F6103C">
        <w:rPr>
          <w:szCs w:val="16"/>
        </w:rPr>
        <w:t xml:space="preserve"> Dashboard-TB_HIV (</w:t>
      </w:r>
      <w:proofErr w:type="spellStart"/>
      <w:r w:rsidRPr="00F6103C">
        <w:rPr>
          <w:szCs w:val="16"/>
        </w:rPr>
        <w:t>Jan_June</w:t>
      </w:r>
      <w:proofErr w:type="spellEnd"/>
      <w:r w:rsidRPr="00F6103C">
        <w:rPr>
          <w:szCs w:val="16"/>
        </w:rPr>
        <w:t xml:space="preserve"> 2019) KR.</w:t>
      </w:r>
    </w:p>
  </w:footnote>
  <w:footnote w:id="27">
    <w:p w14:paraId="61FA48C0" w14:textId="728B7E58" w:rsidR="001127F4" w:rsidRPr="008D3515" w:rsidRDefault="001127F4" w:rsidP="00F6103C">
      <w:pPr>
        <w:pStyle w:val="ad"/>
        <w:jc w:val="both"/>
        <w:rPr>
          <w:szCs w:val="16"/>
        </w:rPr>
      </w:pPr>
      <w:r w:rsidRPr="008D3515">
        <w:rPr>
          <w:rStyle w:val="af"/>
          <w:szCs w:val="16"/>
        </w:rPr>
        <w:footnoteRef/>
      </w:r>
      <w:r w:rsidRPr="008D3515">
        <w:rPr>
          <w:szCs w:val="16"/>
        </w:rPr>
        <w:t xml:space="preserve"> Inter-sectoral Plan on Breaking of Legal Barriers related to HIV and TB in Kyrgyz Republic for 2020-2025 (Draft)</w:t>
      </w:r>
    </w:p>
  </w:footnote>
  <w:footnote w:id="28">
    <w:p w14:paraId="1C71C52B" w14:textId="77777777" w:rsidR="001127F4" w:rsidRPr="008D3515" w:rsidRDefault="001127F4" w:rsidP="009E2546">
      <w:pPr>
        <w:pStyle w:val="ad"/>
        <w:rPr>
          <w:szCs w:val="16"/>
        </w:rPr>
      </w:pPr>
      <w:r w:rsidRPr="008D3515">
        <w:rPr>
          <w:rStyle w:val="af"/>
          <w:szCs w:val="16"/>
        </w:rPr>
        <w:footnoteRef/>
      </w:r>
      <w:r w:rsidRPr="008D3515">
        <w:rPr>
          <w:szCs w:val="16"/>
        </w:rPr>
        <w:t xml:space="preserve"> Evaluation of socio-economic factors, including gender-specific factors affecting receipt of medical services by TB patients in the Kyrgyz Republic. For USAID’s TB Defeat Project. Bishkek. 2018.</w:t>
      </w:r>
    </w:p>
  </w:footnote>
  <w:footnote w:id="29">
    <w:p w14:paraId="696063F7" w14:textId="77777777" w:rsidR="001127F4" w:rsidRPr="00A951B1" w:rsidRDefault="001127F4" w:rsidP="00374486">
      <w:pPr>
        <w:pStyle w:val="ad"/>
        <w:rPr>
          <w:szCs w:val="16"/>
        </w:rPr>
      </w:pPr>
      <w:r w:rsidRPr="00A951B1">
        <w:rPr>
          <w:rStyle w:val="af"/>
          <w:szCs w:val="16"/>
        </w:rPr>
        <w:footnoteRef/>
      </w:r>
      <w:r w:rsidRPr="00A951B1">
        <w:rPr>
          <w:szCs w:val="16"/>
        </w:rPr>
        <w:t xml:space="preserve"> </w:t>
      </w:r>
      <w:hyperlink r:id="rId13" w:history="1">
        <w:r w:rsidRPr="00A951B1">
          <w:rPr>
            <w:szCs w:val="16"/>
            <w:u w:val="single"/>
          </w:rPr>
          <w:t>http://cbd.minjust.gov.kg/act/view/ru-ru/111570</w:t>
        </w:r>
      </w:hyperlink>
    </w:p>
  </w:footnote>
  <w:footnote w:id="30">
    <w:p w14:paraId="31E7E282" w14:textId="7C87D196" w:rsidR="001127F4" w:rsidRPr="00A951B1" w:rsidRDefault="001127F4" w:rsidP="00374486">
      <w:pPr>
        <w:pStyle w:val="ad"/>
        <w:rPr>
          <w:szCs w:val="16"/>
        </w:rPr>
      </w:pPr>
      <w:r w:rsidRPr="00A951B1">
        <w:rPr>
          <w:rStyle w:val="af"/>
          <w:szCs w:val="16"/>
        </w:rPr>
        <w:footnoteRef/>
      </w:r>
      <w:r w:rsidRPr="00A951B1">
        <w:rPr>
          <w:szCs w:val="16"/>
        </w:rPr>
        <w:t xml:space="preserve"> </w:t>
      </w:r>
      <w:r w:rsidR="00A951B1" w:rsidRPr="00A951B1">
        <w:rPr>
          <w:szCs w:val="16"/>
        </w:rPr>
        <w:t xml:space="preserve">A study on violence against women living with HIV in Eastern Europe and Central Asia. </w:t>
      </w:r>
      <w:r w:rsidR="00A951B1" w:rsidRPr="00EF218A">
        <w:rPr>
          <w:szCs w:val="16"/>
        </w:rPr>
        <w:t>Analytical Report 2019, p. 4.</w:t>
      </w:r>
    </w:p>
  </w:footnote>
  <w:footnote w:id="31">
    <w:p w14:paraId="27E95EA8" w14:textId="31905429" w:rsidR="001127F4" w:rsidRPr="00A951B1" w:rsidRDefault="001127F4" w:rsidP="00374486">
      <w:pPr>
        <w:pStyle w:val="ad"/>
        <w:rPr>
          <w:szCs w:val="16"/>
        </w:rPr>
      </w:pPr>
      <w:r w:rsidRPr="00A951B1">
        <w:rPr>
          <w:rStyle w:val="af"/>
          <w:szCs w:val="16"/>
        </w:rPr>
        <w:footnoteRef/>
      </w:r>
      <w:r w:rsidRPr="00A951B1">
        <w:rPr>
          <w:szCs w:val="16"/>
        </w:rPr>
        <w:t xml:space="preserve"> “WINGS of Hope: From Research to Practice and Effective Policy”, Global Research Institute (GLORI) Foundation, 2017.</w:t>
      </w:r>
    </w:p>
  </w:footnote>
  <w:footnote w:id="32">
    <w:p w14:paraId="08B9C940" w14:textId="77777777" w:rsidR="001127F4" w:rsidRPr="00A951B1" w:rsidRDefault="001127F4" w:rsidP="0092718A">
      <w:pPr>
        <w:pStyle w:val="ad"/>
        <w:rPr>
          <w:szCs w:val="16"/>
        </w:rPr>
      </w:pPr>
      <w:r w:rsidRPr="00A951B1">
        <w:rPr>
          <w:rStyle w:val="af"/>
          <w:szCs w:val="16"/>
        </w:rPr>
        <w:footnoteRef/>
      </w:r>
      <w:r w:rsidRPr="00A951B1">
        <w:rPr>
          <w:szCs w:val="16"/>
        </w:rPr>
        <w:t xml:space="preserve"> Draft Concept on TB Community and NGOs involvement, 2015</w:t>
      </w:r>
    </w:p>
  </w:footnote>
  <w:footnote w:id="33">
    <w:p w14:paraId="1FC75355" w14:textId="77777777" w:rsidR="001127F4" w:rsidRPr="00A951B1" w:rsidRDefault="001127F4" w:rsidP="006551AE">
      <w:pPr>
        <w:pStyle w:val="ad"/>
        <w:rPr>
          <w:szCs w:val="16"/>
        </w:rPr>
      </w:pPr>
      <w:r w:rsidRPr="00A951B1">
        <w:rPr>
          <w:rStyle w:val="af"/>
          <w:szCs w:val="16"/>
        </w:rPr>
        <w:footnoteRef/>
      </w:r>
      <w:r w:rsidRPr="00A951B1">
        <w:rPr>
          <w:szCs w:val="16"/>
        </w:rPr>
        <w:t xml:space="preserve"> Resource optimization to maximize the HIV response in Kyrgyzstan. 2019</w:t>
      </w:r>
    </w:p>
  </w:footnote>
  <w:footnote w:id="34">
    <w:p w14:paraId="3CD493FC" w14:textId="77777777" w:rsidR="001127F4" w:rsidRPr="00A951B1" w:rsidRDefault="001127F4" w:rsidP="006551AE">
      <w:pPr>
        <w:pStyle w:val="ad"/>
        <w:rPr>
          <w:szCs w:val="16"/>
          <w:lang w:val="en-GB"/>
        </w:rPr>
      </w:pPr>
      <w:r w:rsidRPr="00A951B1">
        <w:rPr>
          <w:rStyle w:val="af"/>
          <w:szCs w:val="16"/>
        </w:rPr>
        <w:footnoteRef/>
      </w:r>
      <w:r w:rsidRPr="00A951B1">
        <w:rPr>
          <w:szCs w:val="16"/>
          <w:lang w:val="en-GB"/>
        </w:rPr>
        <w:t xml:space="preserve"> pursuant to the order of the Ministry of Health of the Kyrgyz Republic No. 542 as of 22 April 2019</w:t>
      </w:r>
    </w:p>
  </w:footnote>
  <w:footnote w:id="35">
    <w:p w14:paraId="62A97985" w14:textId="77777777" w:rsidR="001127F4" w:rsidRPr="00D339A0" w:rsidRDefault="001127F4" w:rsidP="00CB41DB">
      <w:pPr>
        <w:pStyle w:val="ad"/>
      </w:pPr>
      <w:r>
        <w:rPr>
          <w:rStyle w:val="af"/>
        </w:rPr>
        <w:footnoteRef/>
      </w:r>
      <w:r w:rsidRPr="00D339A0">
        <w:t xml:space="preserve"> </w:t>
      </w:r>
      <w:r w:rsidRPr="00A378CA">
        <w:rPr>
          <w:szCs w:val="16"/>
        </w:rPr>
        <w:t>http://www.aidscenter.kg/images/Library/903_10.10.2017.pdf</w:t>
      </w:r>
    </w:p>
  </w:footnote>
  <w:footnote w:id="36">
    <w:p w14:paraId="5F4E6E7A" w14:textId="77777777" w:rsidR="001127F4" w:rsidRPr="00D339A0" w:rsidRDefault="001127F4" w:rsidP="00FB6172">
      <w:pPr>
        <w:pStyle w:val="ad"/>
      </w:pPr>
      <w:r>
        <w:rPr>
          <w:rStyle w:val="af"/>
        </w:rPr>
        <w:footnoteRef/>
      </w:r>
      <w:r w:rsidRPr="00D339A0">
        <w:t xml:space="preserve"> </w:t>
      </w:r>
      <w:r w:rsidRPr="00A6340D">
        <w:rPr>
          <w:szCs w:val="16"/>
        </w:rPr>
        <w:t>Tuberculosis epidemiological impact analysis and assessment of TB surveillance system standards and benchmarks of Kyrgyzstan, 2019</w:t>
      </w:r>
    </w:p>
  </w:footnote>
  <w:footnote w:id="37">
    <w:p w14:paraId="45CD3758" w14:textId="0F4CEEE1" w:rsidR="001127F4" w:rsidRPr="00070F0F" w:rsidRDefault="001127F4" w:rsidP="00AB1AA2">
      <w:pPr>
        <w:pStyle w:val="ad"/>
        <w:jc w:val="both"/>
        <w:rPr>
          <w:rFonts w:asciiTheme="minorHAnsi" w:hAnsiTheme="minorHAnsi" w:cstheme="minorHAnsi"/>
          <w:szCs w:val="16"/>
        </w:rPr>
      </w:pPr>
      <w:r w:rsidRPr="00070F0F">
        <w:rPr>
          <w:rStyle w:val="af"/>
          <w:rFonts w:asciiTheme="minorHAnsi" w:hAnsiTheme="minorHAnsi" w:cstheme="minorHAnsi"/>
          <w:szCs w:val="16"/>
        </w:rPr>
        <w:footnoteRef/>
      </w:r>
      <w:r w:rsidRPr="00070F0F">
        <w:rPr>
          <w:rFonts w:asciiTheme="minorHAnsi" w:hAnsiTheme="minorHAnsi" w:cstheme="minorHAnsi"/>
          <w:szCs w:val="16"/>
          <w:lang w:val="en-GB"/>
        </w:rPr>
        <w:t xml:space="preserve"> </w:t>
      </w:r>
      <w:r w:rsidR="00AB1AA2">
        <w:rPr>
          <w:rFonts w:asciiTheme="minorHAnsi" w:eastAsia="Times New Roman" w:hAnsiTheme="minorHAnsi" w:cstheme="minorHAnsi"/>
          <w:szCs w:val="16"/>
          <w:lang w:val="en-GB" w:eastAsia="ru-RU"/>
        </w:rPr>
        <w:t>T</w:t>
      </w:r>
      <w:r w:rsidRPr="00070F0F">
        <w:rPr>
          <w:rFonts w:asciiTheme="minorHAnsi" w:eastAsia="Times New Roman" w:hAnsiTheme="minorHAnsi" w:cstheme="minorHAnsi"/>
          <w:szCs w:val="16"/>
          <w:lang w:eastAsia="ru-RU"/>
        </w:rPr>
        <w:t xml:space="preserve">he project </w:t>
      </w:r>
      <w:proofErr w:type="gramStart"/>
      <w:r w:rsidRPr="00070F0F">
        <w:rPr>
          <w:rFonts w:asciiTheme="minorHAnsi" w:eastAsia="Times New Roman" w:hAnsiTheme="minorHAnsi" w:cstheme="minorHAnsi"/>
          <w:szCs w:val="16"/>
          <w:lang w:eastAsia="ru-RU"/>
        </w:rPr>
        <w:t>is implemented</w:t>
      </w:r>
      <w:proofErr w:type="gramEnd"/>
      <w:r w:rsidRPr="00070F0F">
        <w:rPr>
          <w:rFonts w:asciiTheme="minorHAnsi" w:eastAsia="Times New Roman" w:hAnsiTheme="minorHAnsi" w:cstheme="minorHAnsi"/>
          <w:szCs w:val="16"/>
          <w:lang w:eastAsia="ru-RU"/>
        </w:rPr>
        <w:t xml:space="preserve"> by AFEW Kyrgyzstan within the framework of GF QMZ-T-PAS Grant for 2019 - 2021 "Improvement of people-centered, quality TB care - from novel model of care to improving the outcomes of early detection and treatment of DR-TB", which is implemented by PAS Center, Moldova</w:t>
      </w:r>
    </w:p>
  </w:footnote>
  <w:footnote w:id="38">
    <w:p w14:paraId="5A17F325" w14:textId="77777777" w:rsidR="001127F4" w:rsidRPr="00070F0F" w:rsidRDefault="001127F4" w:rsidP="00AB1AA2">
      <w:pPr>
        <w:pStyle w:val="ad"/>
        <w:jc w:val="both"/>
        <w:rPr>
          <w:rFonts w:asciiTheme="minorHAnsi" w:hAnsiTheme="minorHAnsi" w:cstheme="minorHAnsi"/>
        </w:rPr>
      </w:pPr>
      <w:r w:rsidRPr="00070F0F">
        <w:rPr>
          <w:rStyle w:val="af"/>
          <w:rFonts w:asciiTheme="minorHAnsi" w:hAnsiTheme="minorHAnsi" w:cstheme="minorHAnsi"/>
          <w:szCs w:val="16"/>
        </w:rPr>
        <w:footnoteRef/>
      </w:r>
      <w:r w:rsidRPr="00070F0F">
        <w:rPr>
          <w:rFonts w:asciiTheme="minorHAnsi" w:hAnsiTheme="minorHAnsi" w:cstheme="minorHAnsi"/>
          <w:szCs w:val="16"/>
          <w:lang w:val="en-GB"/>
        </w:rPr>
        <w:t xml:space="preserve"> </w:t>
      </w:r>
      <w:r w:rsidRPr="00070F0F">
        <w:rPr>
          <w:rFonts w:asciiTheme="minorHAnsi" w:hAnsiTheme="minorHAnsi" w:cstheme="minorHAnsi"/>
          <w:szCs w:val="16"/>
        </w:rPr>
        <w:t>“On implementation of measures to improve the quality of services for people living with human immunodeficiency virus” and No.542 dated April 22, 2019 “On approval of decentralization mechanisms for medical services for people living with human immunodeficiency virus in the Kyrgyz Republic”</w:t>
      </w:r>
    </w:p>
  </w:footnote>
  <w:footnote w:id="39">
    <w:p w14:paraId="21882A92" w14:textId="77777777" w:rsidR="001127F4" w:rsidRPr="00205337" w:rsidRDefault="001127F4" w:rsidP="00193E2B">
      <w:pPr>
        <w:pStyle w:val="ad"/>
      </w:pPr>
      <w:r>
        <w:rPr>
          <w:rStyle w:val="af"/>
        </w:rPr>
        <w:footnoteRef/>
      </w:r>
      <w:r w:rsidRPr="00205337">
        <w:t xml:space="preserve"> </w:t>
      </w:r>
      <w:r w:rsidRPr="00722C10">
        <w:rPr>
          <w:sz w:val="14"/>
          <w:szCs w:val="14"/>
        </w:rPr>
        <w:t>http</w:t>
      </w:r>
      <w:r w:rsidRPr="005E0BF0">
        <w:rPr>
          <w:sz w:val="14"/>
          <w:szCs w:val="14"/>
        </w:rPr>
        <w:t>://</w:t>
      </w:r>
      <w:r w:rsidRPr="00722C10">
        <w:rPr>
          <w:sz w:val="14"/>
          <w:szCs w:val="14"/>
        </w:rPr>
        <w:t>aidscenter</w:t>
      </w:r>
      <w:r w:rsidRPr="005E0BF0">
        <w:rPr>
          <w:sz w:val="14"/>
          <w:szCs w:val="14"/>
        </w:rPr>
        <w:t>.</w:t>
      </w:r>
      <w:r w:rsidRPr="00722C10">
        <w:rPr>
          <w:sz w:val="14"/>
          <w:szCs w:val="14"/>
        </w:rPr>
        <w:t>kg</w:t>
      </w:r>
      <w:r w:rsidRPr="005E0BF0">
        <w:rPr>
          <w:sz w:val="14"/>
          <w:szCs w:val="14"/>
        </w:rPr>
        <w:t>/</w:t>
      </w:r>
      <w:r w:rsidRPr="00722C10">
        <w:rPr>
          <w:sz w:val="14"/>
          <w:szCs w:val="14"/>
        </w:rPr>
        <w:t>ru</w:t>
      </w:r>
      <w:r w:rsidRPr="005E0BF0">
        <w:rPr>
          <w:sz w:val="14"/>
          <w:szCs w:val="14"/>
        </w:rPr>
        <w:t>/</w:t>
      </w:r>
    </w:p>
  </w:footnote>
  <w:footnote w:id="40">
    <w:p w14:paraId="18579788" w14:textId="48BD3819" w:rsidR="00EF218A" w:rsidRPr="009346C7" w:rsidRDefault="00EF218A" w:rsidP="00EF218A">
      <w:pPr>
        <w:autoSpaceDE w:val="0"/>
        <w:autoSpaceDN w:val="0"/>
        <w:adjustRightInd w:val="0"/>
        <w:spacing w:after="0" w:line="240" w:lineRule="auto"/>
        <w:jc w:val="both"/>
        <w:rPr>
          <w:rFonts w:asciiTheme="minorHAnsi" w:hAnsiTheme="minorHAnsi" w:cstheme="minorHAnsi"/>
          <w:sz w:val="16"/>
          <w:szCs w:val="16"/>
        </w:rPr>
      </w:pPr>
      <w:r>
        <w:rPr>
          <w:rStyle w:val="af"/>
        </w:rPr>
        <w:footnoteRef/>
      </w:r>
      <w:r>
        <w:t xml:space="preserve"> </w:t>
      </w:r>
      <w:r w:rsidRPr="00EF218A">
        <w:rPr>
          <w:rFonts w:asciiTheme="minorHAnsi" w:hAnsiTheme="minorHAnsi" w:cstheme="minorHAnsi"/>
          <w:color w:val="26282A"/>
          <w:sz w:val="16"/>
          <w:szCs w:val="16"/>
        </w:rPr>
        <w:t xml:space="preserve">The USAID-funded Cure Tuberculosis project has recently completed a large qualitative formative research study entitled “Evaluation of factors affecting the behavior of target groups in health care-seeking and tuberculosis treatment.” The study included TB patients, all high-risk groups, the general population and health care workers in </w:t>
      </w:r>
      <w:proofErr w:type="spellStart"/>
      <w:r w:rsidRPr="00EF218A">
        <w:rPr>
          <w:rFonts w:asciiTheme="minorHAnsi" w:hAnsiTheme="minorHAnsi" w:cstheme="minorHAnsi"/>
          <w:color w:val="26282A"/>
          <w:sz w:val="16"/>
          <w:szCs w:val="16"/>
        </w:rPr>
        <w:t>Naryn</w:t>
      </w:r>
      <w:proofErr w:type="spellEnd"/>
      <w:r w:rsidRPr="00EF218A">
        <w:rPr>
          <w:rFonts w:asciiTheme="minorHAnsi" w:hAnsiTheme="minorHAnsi" w:cstheme="minorHAnsi"/>
          <w:color w:val="26282A"/>
          <w:sz w:val="16"/>
          <w:szCs w:val="16"/>
        </w:rPr>
        <w:t xml:space="preserve">, Jalal-Abad and </w:t>
      </w:r>
      <w:proofErr w:type="spellStart"/>
      <w:r w:rsidRPr="00EF218A">
        <w:rPr>
          <w:rFonts w:asciiTheme="minorHAnsi" w:hAnsiTheme="minorHAnsi" w:cstheme="minorHAnsi"/>
          <w:color w:val="26282A"/>
          <w:sz w:val="16"/>
          <w:szCs w:val="16"/>
        </w:rPr>
        <w:t>Chuy</w:t>
      </w:r>
      <w:proofErr w:type="spellEnd"/>
      <w:r w:rsidRPr="00EF218A">
        <w:rPr>
          <w:rFonts w:asciiTheme="minorHAnsi" w:hAnsiTheme="minorHAnsi" w:cstheme="minorHAnsi"/>
          <w:color w:val="26282A"/>
          <w:sz w:val="16"/>
          <w:szCs w:val="16"/>
        </w:rPr>
        <w:t xml:space="preserve"> Oblasts. While analysis is on-going and the report will not be available for several months, preliminary findings indicate that patients on treatment experience significant barriers in terms of time and cost needed to travel to health facilities to obtain their medicines, as well as significant drug side effects, which hinder their ability to complete treatment. This indicates that patients would benefit from more convenient patient</w:t>
      </w:r>
      <w:r>
        <w:rPr>
          <w:rFonts w:asciiTheme="minorHAnsi" w:hAnsiTheme="minorHAnsi" w:cstheme="minorHAnsi"/>
          <w:color w:val="26282A"/>
          <w:sz w:val="16"/>
          <w:szCs w:val="16"/>
        </w:rPr>
        <w:t>-</w:t>
      </w:r>
      <w:r w:rsidRPr="00EF218A">
        <w:rPr>
          <w:rFonts w:asciiTheme="minorHAnsi" w:hAnsiTheme="minorHAnsi" w:cstheme="minorHAnsi"/>
          <w:color w:val="26282A"/>
          <w:sz w:val="16"/>
          <w:szCs w:val="16"/>
        </w:rPr>
        <w:t>centered or home-based treatment and more easily tolerated treatment regimens, especially for DR-TB. Additional findings will be used to help the NTP create a robust social and behavior change strategy.</w:t>
      </w:r>
    </w:p>
  </w:footnote>
  <w:footnote w:id="41">
    <w:p w14:paraId="40211CD2" w14:textId="77777777" w:rsidR="001127F4" w:rsidRPr="00D339A0" w:rsidRDefault="001127F4" w:rsidP="00F00FAC">
      <w:pPr>
        <w:pStyle w:val="ad"/>
      </w:pPr>
      <w:r>
        <w:rPr>
          <w:rStyle w:val="af"/>
        </w:rPr>
        <w:footnoteRef/>
      </w:r>
      <w:r w:rsidRPr="00D339A0">
        <w:t xml:space="preserve"> </w:t>
      </w:r>
      <w:r w:rsidRPr="00A6340D">
        <w:rPr>
          <w:szCs w:val="16"/>
        </w:rPr>
        <w:t>http://cbd.minjust.gov.kg/act/view/ru-ru/12975?cl=ru-ru</w:t>
      </w:r>
    </w:p>
  </w:footnote>
  <w:footnote w:id="42">
    <w:p w14:paraId="269A5140" w14:textId="0C239BF3" w:rsidR="001127F4" w:rsidRDefault="001127F4">
      <w:pPr>
        <w:pStyle w:val="ad"/>
      </w:pPr>
      <w:r>
        <w:rPr>
          <w:rStyle w:val="af"/>
        </w:rPr>
        <w:footnoteRef/>
      </w:r>
      <w:r>
        <w:t xml:space="preserve"> </w:t>
      </w:r>
      <w:r w:rsidRPr="004407F0">
        <w:t>An updated implementation arrangement map is mandatory if the program is continuing with the same PR(s). In cases where the PR is changing, the implementation arrangement map may be submitted at the grant-making stage.</w:t>
      </w:r>
    </w:p>
  </w:footnote>
  <w:footnote w:id="43">
    <w:p w14:paraId="6E662F01" w14:textId="33AC9C5D" w:rsidR="001127F4" w:rsidRDefault="001127F4">
      <w:pPr>
        <w:pStyle w:val="ad"/>
      </w:pPr>
      <w:r>
        <w:rPr>
          <w:rStyle w:val="af"/>
        </w:rPr>
        <w:footnoteRef/>
      </w:r>
      <w:r>
        <w:t xml:space="preserve"> </w:t>
      </w:r>
      <w:r>
        <w:rPr>
          <w:rFonts w:asciiTheme="minorHAnsi" w:hAnsiTheme="minorHAnsi" w:cstheme="minorHAnsi"/>
          <w:iCs/>
        </w:rPr>
        <w:t>N</w:t>
      </w:r>
      <w:r w:rsidRPr="005C32A6">
        <w:rPr>
          <w:rFonts w:asciiTheme="minorHAnsi" w:hAnsiTheme="minorHAnsi" w:cstheme="minorHAnsi"/>
          <w:iCs/>
        </w:rPr>
        <w:t>ote that information derived from the supporting documentation provided in response to the questions below, including information on funding landscape or domestic commitments, may be made publicly available by the Global Fund</w:t>
      </w:r>
      <w:r w:rsidRPr="005C32A6">
        <w:rPr>
          <w:rFonts w:asciiTheme="minorHAnsi" w:hAnsiTheme="minorHAnsi" w:cstheme="minorHAnsi"/>
        </w:rPr>
        <w:t>.</w:t>
      </w:r>
    </w:p>
  </w:footnote>
  <w:footnote w:id="44">
    <w:p w14:paraId="798B0F71" w14:textId="77777777" w:rsidR="001127F4" w:rsidRDefault="001127F4" w:rsidP="008A7F7E">
      <w:pPr>
        <w:pStyle w:val="ad"/>
      </w:pPr>
      <w:r>
        <w:rPr>
          <w:rStyle w:val="af"/>
        </w:rPr>
        <w:footnoteRef/>
      </w:r>
      <w:r>
        <w:t xml:space="preserve"> </w:t>
      </w:r>
      <w:r w:rsidRPr="00B74DAA">
        <w:t>An updated implementation arrangement map is mandatory if the program is continuing with the same PR(s). In cases where the PR is changing, the implementation arrangement map may be submitted at the grant-making stage.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FFCA4" w14:textId="77777777" w:rsidR="001127F4" w:rsidRDefault="001127F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03CA" w14:textId="77777777" w:rsidR="001127F4" w:rsidRDefault="001127F4">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E249F" w14:textId="77777777" w:rsidR="001127F4" w:rsidRDefault="001127F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6A59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B22611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D3E66B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90E7E80"/>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5A04B29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C4147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0E5A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D252B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88E76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F19CAAF6"/>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3951BB2"/>
    <w:multiLevelType w:val="multilevel"/>
    <w:tmpl w:val="8F7AD060"/>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1" w15:restartNumberingAfterBreak="0">
    <w:nsid w:val="14344584"/>
    <w:multiLevelType w:val="hybridMultilevel"/>
    <w:tmpl w:val="A15AA8C6"/>
    <w:lvl w:ilvl="0" w:tplc="CAEAFEDA">
      <w:start w:val="1"/>
      <w:numFmt w:val="lowerLetter"/>
      <w:lvlText w:val="%1)"/>
      <w:lvlJc w:val="left"/>
      <w:pPr>
        <w:ind w:left="1080" w:hanging="360"/>
      </w:pPr>
      <w:rPr>
        <w:rFonts w:eastAsia="Times New Roman"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576D6B"/>
    <w:multiLevelType w:val="multilevel"/>
    <w:tmpl w:val="08090023"/>
    <w:styleLink w:val="a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B9F4FFA"/>
    <w:multiLevelType w:val="hybridMultilevel"/>
    <w:tmpl w:val="0D06F58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3C5A3D"/>
    <w:multiLevelType w:val="multilevel"/>
    <w:tmpl w:val="7200E4CE"/>
    <w:styleLink w:val="NumHeadingsLst"/>
    <w:lvl w:ilvl="0">
      <w:start w:val="1"/>
      <w:numFmt w:val="decimal"/>
      <w:pStyle w:val="1"/>
      <w:lvlText w:val="%1."/>
      <w:lvlJc w:val="left"/>
      <w:pPr>
        <w:ind w:left="567" w:hanging="567"/>
      </w:pPr>
      <w:rPr>
        <w:rFonts w:hint="default"/>
      </w:rPr>
    </w:lvl>
    <w:lvl w:ilvl="1">
      <w:start w:val="1"/>
      <w:numFmt w:val="decimal"/>
      <w:pStyle w:val="21"/>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5"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01355B"/>
    <w:multiLevelType w:val="hybridMultilevel"/>
    <w:tmpl w:val="FFC61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18" w15:restartNumberingAfterBreak="0">
    <w:nsid w:val="4D3B0D13"/>
    <w:multiLevelType w:val="hybridMultilevel"/>
    <w:tmpl w:val="62A4AD24"/>
    <w:lvl w:ilvl="0" w:tplc="04070001">
      <w:start w:val="1"/>
      <w:numFmt w:val="bullet"/>
      <w:lvlText w:val=""/>
      <w:lvlJc w:val="left"/>
      <w:pPr>
        <w:ind w:left="720" w:hanging="360"/>
      </w:pPr>
      <w:rPr>
        <w:rFonts w:ascii="Symbol" w:hAnsi="Symbol" w:hint="default"/>
      </w:rPr>
    </w:lvl>
    <w:lvl w:ilvl="1" w:tplc="24262532">
      <w:start w:val="2"/>
      <w:numFmt w:val="bullet"/>
      <w:lvlText w:val=""/>
      <w:lvlJc w:val="left"/>
      <w:pPr>
        <w:ind w:left="1440" w:hanging="360"/>
      </w:pPr>
      <w:rPr>
        <w:rFonts w:ascii="Symbol" w:eastAsiaTheme="minorHAnsi" w:hAnsi="Symbol" w:cstheme="maj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ECF31C0"/>
    <w:multiLevelType w:val="multilevel"/>
    <w:tmpl w:val="17A0D06E"/>
    <w:numStyleLink w:val="NumbListAlpha"/>
  </w:abstractNum>
  <w:abstractNum w:abstractNumId="20" w15:restartNumberingAfterBreak="0">
    <w:nsid w:val="50952110"/>
    <w:multiLevelType w:val="hybridMultilevel"/>
    <w:tmpl w:val="098236E4"/>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B30548"/>
    <w:multiLevelType w:val="hybridMultilevel"/>
    <w:tmpl w:val="8872F3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28A4EC6"/>
    <w:multiLevelType w:val="hybridMultilevel"/>
    <w:tmpl w:val="B21A406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881F4F"/>
    <w:multiLevelType w:val="hybridMultilevel"/>
    <w:tmpl w:val="4A54F538"/>
    <w:lvl w:ilvl="0" w:tplc="C0E80D58">
      <w:start w:val="1"/>
      <w:numFmt w:val="lowerLetter"/>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DBE7B31"/>
    <w:multiLevelType w:val="hybridMultilevel"/>
    <w:tmpl w:val="A73E7B06"/>
    <w:lvl w:ilvl="0" w:tplc="43C4298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19F540F"/>
    <w:multiLevelType w:val="hybridMultilevel"/>
    <w:tmpl w:val="1E32C9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3D0A28"/>
    <w:multiLevelType w:val="hybridMultilevel"/>
    <w:tmpl w:val="C8F04E7A"/>
    <w:lvl w:ilvl="0" w:tplc="C096E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3460AD6"/>
    <w:multiLevelType w:val="hybridMultilevel"/>
    <w:tmpl w:val="2D987EEA"/>
    <w:lvl w:ilvl="0" w:tplc="04090017">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F216686"/>
    <w:multiLevelType w:val="hybridMultilevel"/>
    <w:tmpl w:val="43C2E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7"/>
  </w:num>
  <w:num w:numId="13">
    <w:abstractNumId w:val="14"/>
  </w:num>
  <w:num w:numId="14">
    <w:abstractNumId w:val="19"/>
  </w:num>
  <w:num w:numId="15">
    <w:abstractNumId w:val="15"/>
  </w:num>
  <w:num w:numId="16">
    <w:abstractNumId w:val="24"/>
  </w:num>
  <w:num w:numId="17">
    <w:abstractNumId w:val="12"/>
  </w:num>
  <w:num w:numId="18">
    <w:abstractNumId w:val="14"/>
    <w:lvlOverride w:ilvl="0">
      <w:lvl w:ilvl="0">
        <w:start w:val="1"/>
        <w:numFmt w:val="decimal"/>
        <w:pStyle w:val="1"/>
        <w:lvlText w:val="%1."/>
        <w:lvlJc w:val="left"/>
        <w:pPr>
          <w:ind w:left="567" w:hanging="567"/>
        </w:pPr>
        <w:rPr>
          <w:rFonts w:hint="default"/>
        </w:rPr>
      </w:lvl>
    </w:lvlOverride>
    <w:lvlOverride w:ilvl="1">
      <w:lvl w:ilvl="1">
        <w:start w:val="1"/>
        <w:numFmt w:val="decimal"/>
        <w:pStyle w:val="21"/>
        <w:lvlText w:val="%1.%2"/>
        <w:lvlJc w:val="left"/>
        <w:pPr>
          <w:ind w:left="567" w:hanging="567"/>
        </w:pPr>
        <w:rPr>
          <w:rFonts w:hint="default"/>
          <w:b/>
          <w:color w:val="auto"/>
        </w:rPr>
      </w:lvl>
    </w:lvlOverride>
    <w:lvlOverride w:ilvl="2">
      <w:lvl w:ilvl="2">
        <w:start w:val="1"/>
        <w:numFmt w:val="none"/>
        <w:lvlText w:val=""/>
        <w:lvlJc w:val="left"/>
        <w:pPr>
          <w:ind w:left="567" w:firstLine="0"/>
        </w:pPr>
        <w:rPr>
          <w:rFonts w:hint="default"/>
        </w:rPr>
      </w:lvl>
    </w:lvlOverride>
    <w:lvlOverride w:ilvl="3">
      <w:lvl w:ilvl="3">
        <w:start w:val="1"/>
        <w:numFmt w:val="none"/>
        <w:lvlText w:val=""/>
        <w:lvlJc w:val="left"/>
        <w:pPr>
          <w:ind w:left="567" w:firstLine="0"/>
        </w:pPr>
        <w:rPr>
          <w:rFonts w:hint="default"/>
        </w:rPr>
      </w:lvl>
    </w:lvlOverride>
    <w:lvlOverride w:ilvl="4">
      <w:lvl w:ilvl="4">
        <w:start w:val="1"/>
        <w:numFmt w:val="none"/>
        <w:lvlText w:val=""/>
        <w:lvlJc w:val="left"/>
        <w:pPr>
          <w:ind w:left="567" w:firstLine="0"/>
        </w:pPr>
        <w:rPr>
          <w:rFonts w:hint="default"/>
        </w:rPr>
      </w:lvl>
    </w:lvlOverride>
    <w:lvlOverride w:ilvl="5">
      <w:lvl w:ilvl="5">
        <w:start w:val="1"/>
        <w:numFmt w:val="none"/>
        <w:lvlText w:val=""/>
        <w:lvlJc w:val="left"/>
        <w:pPr>
          <w:ind w:left="567" w:firstLine="0"/>
        </w:pPr>
        <w:rPr>
          <w:rFonts w:hint="default"/>
        </w:rPr>
      </w:lvl>
    </w:lvlOverride>
    <w:lvlOverride w:ilvl="6">
      <w:lvl w:ilvl="6">
        <w:start w:val="1"/>
        <w:numFmt w:val="none"/>
        <w:lvlText w:val=""/>
        <w:lvlJc w:val="left"/>
        <w:pPr>
          <w:ind w:left="567" w:firstLine="0"/>
        </w:pPr>
        <w:rPr>
          <w:rFonts w:hint="default"/>
        </w:rPr>
      </w:lvl>
    </w:lvlOverride>
    <w:lvlOverride w:ilvl="7">
      <w:lvl w:ilvl="7">
        <w:start w:val="1"/>
        <w:numFmt w:val="none"/>
        <w:lvlText w:val=""/>
        <w:lvlJc w:val="left"/>
        <w:pPr>
          <w:ind w:left="567" w:firstLine="0"/>
        </w:pPr>
        <w:rPr>
          <w:rFonts w:hint="default"/>
        </w:rPr>
      </w:lvl>
    </w:lvlOverride>
    <w:lvlOverride w:ilvl="8">
      <w:lvl w:ilvl="8">
        <w:start w:val="1"/>
        <w:numFmt w:val="none"/>
        <w:lvlText w:val=""/>
        <w:lvlJc w:val="left"/>
        <w:pPr>
          <w:ind w:left="567" w:firstLine="0"/>
        </w:pPr>
        <w:rPr>
          <w:rFonts w:hint="default"/>
        </w:rPr>
      </w:lvl>
    </w:lvlOverride>
  </w:num>
  <w:num w:numId="19">
    <w:abstractNumId w:val="11"/>
  </w:num>
  <w:num w:numId="20">
    <w:abstractNumId w:val="13"/>
  </w:num>
  <w:num w:numId="21">
    <w:abstractNumId w:val="28"/>
  </w:num>
  <w:num w:numId="22">
    <w:abstractNumId w:val="23"/>
  </w:num>
  <w:num w:numId="23">
    <w:abstractNumId w:val="20"/>
  </w:num>
  <w:num w:numId="24">
    <w:abstractNumId w:val="26"/>
  </w:num>
  <w:num w:numId="25">
    <w:abstractNumId w:val="18"/>
  </w:num>
  <w:num w:numId="26">
    <w:abstractNumId w:val="16"/>
  </w:num>
  <w:num w:numId="27">
    <w:abstractNumId w:val="27"/>
  </w:num>
  <w:num w:numId="28">
    <w:abstractNumId w:val="25"/>
  </w:num>
  <w:num w:numId="29">
    <w:abstractNumId w:val="22"/>
  </w:num>
  <w:num w:numId="30">
    <w:abstractNumId w:val="29"/>
  </w:num>
  <w:num w:numId="31">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D8465B"/>
    <w:rsid w:val="000010E9"/>
    <w:rsid w:val="00001706"/>
    <w:rsid w:val="000028BC"/>
    <w:rsid w:val="000067A2"/>
    <w:rsid w:val="000067AC"/>
    <w:rsid w:val="00007DD6"/>
    <w:rsid w:val="00010133"/>
    <w:rsid w:val="00011D89"/>
    <w:rsid w:val="00015D01"/>
    <w:rsid w:val="00017D73"/>
    <w:rsid w:val="00021A9D"/>
    <w:rsid w:val="000226A7"/>
    <w:rsid w:val="000242DD"/>
    <w:rsid w:val="00024539"/>
    <w:rsid w:val="00024DFE"/>
    <w:rsid w:val="00026B43"/>
    <w:rsid w:val="00027195"/>
    <w:rsid w:val="00027D89"/>
    <w:rsid w:val="00031C81"/>
    <w:rsid w:val="00034548"/>
    <w:rsid w:val="00034984"/>
    <w:rsid w:val="00034B94"/>
    <w:rsid w:val="00036281"/>
    <w:rsid w:val="00037366"/>
    <w:rsid w:val="00040646"/>
    <w:rsid w:val="0004343B"/>
    <w:rsid w:val="000451C3"/>
    <w:rsid w:val="00045954"/>
    <w:rsid w:val="0004628A"/>
    <w:rsid w:val="00047C4F"/>
    <w:rsid w:val="00050B7A"/>
    <w:rsid w:val="00054E5F"/>
    <w:rsid w:val="00057F5E"/>
    <w:rsid w:val="00061E43"/>
    <w:rsid w:val="000646CB"/>
    <w:rsid w:val="000646CF"/>
    <w:rsid w:val="00067799"/>
    <w:rsid w:val="00070F0F"/>
    <w:rsid w:val="00071C82"/>
    <w:rsid w:val="00074D0F"/>
    <w:rsid w:val="00075919"/>
    <w:rsid w:val="0008377E"/>
    <w:rsid w:val="00084682"/>
    <w:rsid w:val="00084740"/>
    <w:rsid w:val="00084B50"/>
    <w:rsid w:val="000875D3"/>
    <w:rsid w:val="0009143A"/>
    <w:rsid w:val="0009163D"/>
    <w:rsid w:val="00096E14"/>
    <w:rsid w:val="000A1C57"/>
    <w:rsid w:val="000B0A5E"/>
    <w:rsid w:val="000B13A7"/>
    <w:rsid w:val="000B7775"/>
    <w:rsid w:val="000C1578"/>
    <w:rsid w:val="000C377B"/>
    <w:rsid w:val="000C647F"/>
    <w:rsid w:val="000C67B1"/>
    <w:rsid w:val="000E0899"/>
    <w:rsid w:val="000E0ACF"/>
    <w:rsid w:val="000E523B"/>
    <w:rsid w:val="000E5BFC"/>
    <w:rsid w:val="000E7A1F"/>
    <w:rsid w:val="000F5BD5"/>
    <w:rsid w:val="000F7531"/>
    <w:rsid w:val="001036AD"/>
    <w:rsid w:val="00107610"/>
    <w:rsid w:val="0010764D"/>
    <w:rsid w:val="00110820"/>
    <w:rsid w:val="00112420"/>
    <w:rsid w:val="001127F4"/>
    <w:rsid w:val="001139B3"/>
    <w:rsid w:val="001169B8"/>
    <w:rsid w:val="0012123D"/>
    <w:rsid w:val="00125656"/>
    <w:rsid w:val="00133325"/>
    <w:rsid w:val="0013691B"/>
    <w:rsid w:val="00137E99"/>
    <w:rsid w:val="001433CF"/>
    <w:rsid w:val="00146C73"/>
    <w:rsid w:val="00153CB0"/>
    <w:rsid w:val="001540E2"/>
    <w:rsid w:val="00154171"/>
    <w:rsid w:val="00161D5F"/>
    <w:rsid w:val="00162F22"/>
    <w:rsid w:val="0016617F"/>
    <w:rsid w:val="00171C99"/>
    <w:rsid w:val="00172EDE"/>
    <w:rsid w:val="00173817"/>
    <w:rsid w:val="0018162A"/>
    <w:rsid w:val="00185264"/>
    <w:rsid w:val="00193E2B"/>
    <w:rsid w:val="001972CF"/>
    <w:rsid w:val="00197AE7"/>
    <w:rsid w:val="001B3039"/>
    <w:rsid w:val="001B7717"/>
    <w:rsid w:val="001C0D71"/>
    <w:rsid w:val="001C0EA4"/>
    <w:rsid w:val="001C2071"/>
    <w:rsid w:val="001C2E6F"/>
    <w:rsid w:val="001C3DD1"/>
    <w:rsid w:val="001C60E7"/>
    <w:rsid w:val="001D32A9"/>
    <w:rsid w:val="001D3A6E"/>
    <w:rsid w:val="001D4608"/>
    <w:rsid w:val="001D57CE"/>
    <w:rsid w:val="001D5CEF"/>
    <w:rsid w:val="001E1ADF"/>
    <w:rsid w:val="001E4991"/>
    <w:rsid w:val="001F37FE"/>
    <w:rsid w:val="001F7F10"/>
    <w:rsid w:val="00204941"/>
    <w:rsid w:val="0020615A"/>
    <w:rsid w:val="00214AFE"/>
    <w:rsid w:val="00216E9D"/>
    <w:rsid w:val="002213C8"/>
    <w:rsid w:val="00222640"/>
    <w:rsid w:val="00227187"/>
    <w:rsid w:val="00235CA2"/>
    <w:rsid w:val="002367FB"/>
    <w:rsid w:val="00236822"/>
    <w:rsid w:val="0024020E"/>
    <w:rsid w:val="002410CE"/>
    <w:rsid w:val="00244EDC"/>
    <w:rsid w:val="00245DCD"/>
    <w:rsid w:val="00246A77"/>
    <w:rsid w:val="002505ED"/>
    <w:rsid w:val="0025351E"/>
    <w:rsid w:val="00253763"/>
    <w:rsid w:val="00254D2F"/>
    <w:rsid w:val="00260CDF"/>
    <w:rsid w:val="002624AD"/>
    <w:rsid w:val="00263E19"/>
    <w:rsid w:val="00266AEC"/>
    <w:rsid w:val="0027163F"/>
    <w:rsid w:val="00276608"/>
    <w:rsid w:val="002823C4"/>
    <w:rsid w:val="00282E1F"/>
    <w:rsid w:val="002831B7"/>
    <w:rsid w:val="00284808"/>
    <w:rsid w:val="00291BF7"/>
    <w:rsid w:val="00292879"/>
    <w:rsid w:val="002938CB"/>
    <w:rsid w:val="00294A62"/>
    <w:rsid w:val="0029796C"/>
    <w:rsid w:val="002A4684"/>
    <w:rsid w:val="002A534F"/>
    <w:rsid w:val="002A57E1"/>
    <w:rsid w:val="002A5B3B"/>
    <w:rsid w:val="002A5B89"/>
    <w:rsid w:val="002A632F"/>
    <w:rsid w:val="002A72DB"/>
    <w:rsid w:val="002A7635"/>
    <w:rsid w:val="002B07E9"/>
    <w:rsid w:val="002B0F35"/>
    <w:rsid w:val="002B6A8E"/>
    <w:rsid w:val="002C35FE"/>
    <w:rsid w:val="002C3CEB"/>
    <w:rsid w:val="002D5537"/>
    <w:rsid w:val="002D5A90"/>
    <w:rsid w:val="002E1987"/>
    <w:rsid w:val="002E2B51"/>
    <w:rsid w:val="002E4929"/>
    <w:rsid w:val="002E6104"/>
    <w:rsid w:val="002F23B7"/>
    <w:rsid w:val="002F2F7C"/>
    <w:rsid w:val="002F5A38"/>
    <w:rsid w:val="003022B3"/>
    <w:rsid w:val="00303F18"/>
    <w:rsid w:val="00304EE8"/>
    <w:rsid w:val="00311FEB"/>
    <w:rsid w:val="003126D0"/>
    <w:rsid w:val="00314800"/>
    <w:rsid w:val="00315BCF"/>
    <w:rsid w:val="0031628B"/>
    <w:rsid w:val="00320FCB"/>
    <w:rsid w:val="0032424D"/>
    <w:rsid w:val="00325D20"/>
    <w:rsid w:val="00326A25"/>
    <w:rsid w:val="00326B65"/>
    <w:rsid w:val="003436A3"/>
    <w:rsid w:val="00344AF1"/>
    <w:rsid w:val="00347335"/>
    <w:rsid w:val="00361089"/>
    <w:rsid w:val="00364326"/>
    <w:rsid w:val="003669CF"/>
    <w:rsid w:val="0037258B"/>
    <w:rsid w:val="00374486"/>
    <w:rsid w:val="00376598"/>
    <w:rsid w:val="00377AA9"/>
    <w:rsid w:val="0038000C"/>
    <w:rsid w:val="0038152A"/>
    <w:rsid w:val="003844E1"/>
    <w:rsid w:val="0038486D"/>
    <w:rsid w:val="00385E67"/>
    <w:rsid w:val="003860E7"/>
    <w:rsid w:val="003869A6"/>
    <w:rsid w:val="00390E9F"/>
    <w:rsid w:val="00395135"/>
    <w:rsid w:val="00396D74"/>
    <w:rsid w:val="00397B91"/>
    <w:rsid w:val="003A0F8A"/>
    <w:rsid w:val="003A13B6"/>
    <w:rsid w:val="003A1F32"/>
    <w:rsid w:val="003A4972"/>
    <w:rsid w:val="003A5EB1"/>
    <w:rsid w:val="003A7A93"/>
    <w:rsid w:val="003B09C8"/>
    <w:rsid w:val="003C412D"/>
    <w:rsid w:val="003C4B9E"/>
    <w:rsid w:val="003C7B23"/>
    <w:rsid w:val="003C7F2F"/>
    <w:rsid w:val="003D286E"/>
    <w:rsid w:val="003D4795"/>
    <w:rsid w:val="003D59BD"/>
    <w:rsid w:val="003D5D6D"/>
    <w:rsid w:val="003D70F4"/>
    <w:rsid w:val="003F167F"/>
    <w:rsid w:val="003F2658"/>
    <w:rsid w:val="003F4F26"/>
    <w:rsid w:val="00404876"/>
    <w:rsid w:val="00411A6F"/>
    <w:rsid w:val="00411CF4"/>
    <w:rsid w:val="00413649"/>
    <w:rsid w:val="00414164"/>
    <w:rsid w:val="00414929"/>
    <w:rsid w:val="00416B90"/>
    <w:rsid w:val="0042079A"/>
    <w:rsid w:val="00421004"/>
    <w:rsid w:val="00424998"/>
    <w:rsid w:val="00424BFA"/>
    <w:rsid w:val="00427041"/>
    <w:rsid w:val="004320B3"/>
    <w:rsid w:val="004345DC"/>
    <w:rsid w:val="00434657"/>
    <w:rsid w:val="00437DC3"/>
    <w:rsid w:val="004407F0"/>
    <w:rsid w:val="004431F4"/>
    <w:rsid w:val="00443C2F"/>
    <w:rsid w:val="004456B9"/>
    <w:rsid w:val="004473B4"/>
    <w:rsid w:val="00451CBE"/>
    <w:rsid w:val="00454E8A"/>
    <w:rsid w:val="004551D2"/>
    <w:rsid w:val="00457496"/>
    <w:rsid w:val="004619FD"/>
    <w:rsid w:val="00463442"/>
    <w:rsid w:val="00464F55"/>
    <w:rsid w:val="0047497A"/>
    <w:rsid w:val="00475BE9"/>
    <w:rsid w:val="004766DD"/>
    <w:rsid w:val="00477290"/>
    <w:rsid w:val="00477473"/>
    <w:rsid w:val="004802D4"/>
    <w:rsid w:val="004807FB"/>
    <w:rsid w:val="00485066"/>
    <w:rsid w:val="00490205"/>
    <w:rsid w:val="004A18A6"/>
    <w:rsid w:val="004A210F"/>
    <w:rsid w:val="004A7E3B"/>
    <w:rsid w:val="004B3CB6"/>
    <w:rsid w:val="004B4E06"/>
    <w:rsid w:val="004B50E0"/>
    <w:rsid w:val="004B567E"/>
    <w:rsid w:val="004C41DA"/>
    <w:rsid w:val="004D4827"/>
    <w:rsid w:val="004D5D39"/>
    <w:rsid w:val="004E0779"/>
    <w:rsid w:val="004F034A"/>
    <w:rsid w:val="004F1C17"/>
    <w:rsid w:val="004F3DBF"/>
    <w:rsid w:val="004F6EC0"/>
    <w:rsid w:val="004F750D"/>
    <w:rsid w:val="005028D9"/>
    <w:rsid w:val="00505383"/>
    <w:rsid w:val="00516717"/>
    <w:rsid w:val="00521B97"/>
    <w:rsid w:val="005232AC"/>
    <w:rsid w:val="0052762D"/>
    <w:rsid w:val="005279BC"/>
    <w:rsid w:val="00527ED3"/>
    <w:rsid w:val="005327C3"/>
    <w:rsid w:val="0053784E"/>
    <w:rsid w:val="005422B6"/>
    <w:rsid w:val="0054635E"/>
    <w:rsid w:val="0055174C"/>
    <w:rsid w:val="0055523F"/>
    <w:rsid w:val="005578E8"/>
    <w:rsid w:val="00557A8A"/>
    <w:rsid w:val="00560074"/>
    <w:rsid w:val="00560096"/>
    <w:rsid w:val="00560302"/>
    <w:rsid w:val="00561767"/>
    <w:rsid w:val="00562B3D"/>
    <w:rsid w:val="005659E0"/>
    <w:rsid w:val="0057138C"/>
    <w:rsid w:val="00572198"/>
    <w:rsid w:val="005735F0"/>
    <w:rsid w:val="00573A39"/>
    <w:rsid w:val="00575754"/>
    <w:rsid w:val="00576254"/>
    <w:rsid w:val="00576E18"/>
    <w:rsid w:val="00582570"/>
    <w:rsid w:val="00582BFD"/>
    <w:rsid w:val="0058415B"/>
    <w:rsid w:val="00595CA8"/>
    <w:rsid w:val="0059661D"/>
    <w:rsid w:val="005A1EDA"/>
    <w:rsid w:val="005A7DE2"/>
    <w:rsid w:val="005A7F49"/>
    <w:rsid w:val="005B03D1"/>
    <w:rsid w:val="005B21F7"/>
    <w:rsid w:val="005D02D2"/>
    <w:rsid w:val="005D384C"/>
    <w:rsid w:val="005D4524"/>
    <w:rsid w:val="005D63AE"/>
    <w:rsid w:val="005E0753"/>
    <w:rsid w:val="005E0AB3"/>
    <w:rsid w:val="005E2D19"/>
    <w:rsid w:val="005E5287"/>
    <w:rsid w:val="005E5FAA"/>
    <w:rsid w:val="005E6229"/>
    <w:rsid w:val="005E78AE"/>
    <w:rsid w:val="005F6D34"/>
    <w:rsid w:val="00600BA8"/>
    <w:rsid w:val="00604CBD"/>
    <w:rsid w:val="00606C49"/>
    <w:rsid w:val="00611DCB"/>
    <w:rsid w:val="00611DD1"/>
    <w:rsid w:val="00613892"/>
    <w:rsid w:val="00615FF6"/>
    <w:rsid w:val="00616566"/>
    <w:rsid w:val="0062460F"/>
    <w:rsid w:val="006253D6"/>
    <w:rsid w:val="00626D7A"/>
    <w:rsid w:val="00631023"/>
    <w:rsid w:val="006326F8"/>
    <w:rsid w:val="00633BBC"/>
    <w:rsid w:val="00633D5C"/>
    <w:rsid w:val="0063467F"/>
    <w:rsid w:val="006364FF"/>
    <w:rsid w:val="00637448"/>
    <w:rsid w:val="00644ADF"/>
    <w:rsid w:val="0064521E"/>
    <w:rsid w:val="0064597B"/>
    <w:rsid w:val="0065052A"/>
    <w:rsid w:val="00651751"/>
    <w:rsid w:val="006533BD"/>
    <w:rsid w:val="006551AE"/>
    <w:rsid w:val="0066207C"/>
    <w:rsid w:val="00663D90"/>
    <w:rsid w:val="00664D00"/>
    <w:rsid w:val="00667DF0"/>
    <w:rsid w:val="00671956"/>
    <w:rsid w:val="00673318"/>
    <w:rsid w:val="00673D5D"/>
    <w:rsid w:val="0067503A"/>
    <w:rsid w:val="00675C66"/>
    <w:rsid w:val="006807B4"/>
    <w:rsid w:val="006810B2"/>
    <w:rsid w:val="00681ABF"/>
    <w:rsid w:val="00681D31"/>
    <w:rsid w:val="00682891"/>
    <w:rsid w:val="006831F2"/>
    <w:rsid w:val="00687B1C"/>
    <w:rsid w:val="00690D28"/>
    <w:rsid w:val="0069127F"/>
    <w:rsid w:val="006915AE"/>
    <w:rsid w:val="00691D78"/>
    <w:rsid w:val="006928DF"/>
    <w:rsid w:val="006931FE"/>
    <w:rsid w:val="00693ED1"/>
    <w:rsid w:val="006A22EC"/>
    <w:rsid w:val="006A5816"/>
    <w:rsid w:val="006B27FA"/>
    <w:rsid w:val="006B5836"/>
    <w:rsid w:val="006B7844"/>
    <w:rsid w:val="006B7D63"/>
    <w:rsid w:val="006C0196"/>
    <w:rsid w:val="006C10E7"/>
    <w:rsid w:val="006C1655"/>
    <w:rsid w:val="006C7912"/>
    <w:rsid w:val="006D1A08"/>
    <w:rsid w:val="006D65C9"/>
    <w:rsid w:val="006D7841"/>
    <w:rsid w:val="006D7C30"/>
    <w:rsid w:val="006D7EAB"/>
    <w:rsid w:val="006E0942"/>
    <w:rsid w:val="006E3D54"/>
    <w:rsid w:val="006E6875"/>
    <w:rsid w:val="006F2316"/>
    <w:rsid w:val="006F2EBD"/>
    <w:rsid w:val="006F4286"/>
    <w:rsid w:val="006F6F93"/>
    <w:rsid w:val="00700E91"/>
    <w:rsid w:val="00701406"/>
    <w:rsid w:val="0070200C"/>
    <w:rsid w:val="007043C7"/>
    <w:rsid w:val="007047B3"/>
    <w:rsid w:val="0070650E"/>
    <w:rsid w:val="00710A12"/>
    <w:rsid w:val="00711EC6"/>
    <w:rsid w:val="0071454E"/>
    <w:rsid w:val="00714829"/>
    <w:rsid w:val="007161FD"/>
    <w:rsid w:val="00720B79"/>
    <w:rsid w:val="00723D34"/>
    <w:rsid w:val="00731A0B"/>
    <w:rsid w:val="007321CC"/>
    <w:rsid w:val="007364E8"/>
    <w:rsid w:val="007410E8"/>
    <w:rsid w:val="0074146F"/>
    <w:rsid w:val="007418FD"/>
    <w:rsid w:val="00741B1B"/>
    <w:rsid w:val="00756002"/>
    <w:rsid w:val="00756BA1"/>
    <w:rsid w:val="00756D32"/>
    <w:rsid w:val="0075707F"/>
    <w:rsid w:val="00757FA6"/>
    <w:rsid w:val="007609CE"/>
    <w:rsid w:val="00760AF4"/>
    <w:rsid w:val="00761F4E"/>
    <w:rsid w:val="007629F9"/>
    <w:rsid w:val="00766593"/>
    <w:rsid w:val="007744DC"/>
    <w:rsid w:val="00777F70"/>
    <w:rsid w:val="00786ABD"/>
    <w:rsid w:val="0078718D"/>
    <w:rsid w:val="00792674"/>
    <w:rsid w:val="00794CE6"/>
    <w:rsid w:val="00795EB5"/>
    <w:rsid w:val="007A2B25"/>
    <w:rsid w:val="007A59CE"/>
    <w:rsid w:val="007A5D57"/>
    <w:rsid w:val="007C0508"/>
    <w:rsid w:val="007C1690"/>
    <w:rsid w:val="007C72C8"/>
    <w:rsid w:val="007C7857"/>
    <w:rsid w:val="007E2786"/>
    <w:rsid w:val="007F1274"/>
    <w:rsid w:val="007F25F3"/>
    <w:rsid w:val="007F6CC2"/>
    <w:rsid w:val="00803993"/>
    <w:rsid w:val="00804414"/>
    <w:rsid w:val="0080478C"/>
    <w:rsid w:val="00805279"/>
    <w:rsid w:val="00810CCB"/>
    <w:rsid w:val="008129C4"/>
    <w:rsid w:val="008140B4"/>
    <w:rsid w:val="008164C3"/>
    <w:rsid w:val="00822D0E"/>
    <w:rsid w:val="00823A34"/>
    <w:rsid w:val="00824D66"/>
    <w:rsid w:val="00844368"/>
    <w:rsid w:val="00850A36"/>
    <w:rsid w:val="00850E4E"/>
    <w:rsid w:val="00850EF3"/>
    <w:rsid w:val="008514B0"/>
    <w:rsid w:val="00851B7F"/>
    <w:rsid w:val="00851B9B"/>
    <w:rsid w:val="00854A89"/>
    <w:rsid w:val="008550EE"/>
    <w:rsid w:val="00861A97"/>
    <w:rsid w:val="00862145"/>
    <w:rsid w:val="0086619D"/>
    <w:rsid w:val="008664A6"/>
    <w:rsid w:val="00866542"/>
    <w:rsid w:val="0087373E"/>
    <w:rsid w:val="0087616F"/>
    <w:rsid w:val="00882DC3"/>
    <w:rsid w:val="00883367"/>
    <w:rsid w:val="00890D60"/>
    <w:rsid w:val="0089117B"/>
    <w:rsid w:val="008A1699"/>
    <w:rsid w:val="008A2F57"/>
    <w:rsid w:val="008A3F1D"/>
    <w:rsid w:val="008A6551"/>
    <w:rsid w:val="008A6AEA"/>
    <w:rsid w:val="008A7F7E"/>
    <w:rsid w:val="008B2146"/>
    <w:rsid w:val="008B3BF5"/>
    <w:rsid w:val="008B4877"/>
    <w:rsid w:val="008B4CC6"/>
    <w:rsid w:val="008B5FE3"/>
    <w:rsid w:val="008B73A7"/>
    <w:rsid w:val="008B741B"/>
    <w:rsid w:val="008C0962"/>
    <w:rsid w:val="008C21CF"/>
    <w:rsid w:val="008C36D5"/>
    <w:rsid w:val="008D0B88"/>
    <w:rsid w:val="008D3515"/>
    <w:rsid w:val="008D3585"/>
    <w:rsid w:val="008D5732"/>
    <w:rsid w:val="008E1B1A"/>
    <w:rsid w:val="008F6B82"/>
    <w:rsid w:val="009026A1"/>
    <w:rsid w:val="00904DE4"/>
    <w:rsid w:val="0090611F"/>
    <w:rsid w:val="00906417"/>
    <w:rsid w:val="00906555"/>
    <w:rsid w:val="00907B20"/>
    <w:rsid w:val="00907DE9"/>
    <w:rsid w:val="00910134"/>
    <w:rsid w:val="009102CC"/>
    <w:rsid w:val="00910C10"/>
    <w:rsid w:val="009111BE"/>
    <w:rsid w:val="009134CC"/>
    <w:rsid w:val="00914387"/>
    <w:rsid w:val="009203E3"/>
    <w:rsid w:val="0092718A"/>
    <w:rsid w:val="00930929"/>
    <w:rsid w:val="00931AFF"/>
    <w:rsid w:val="00933977"/>
    <w:rsid w:val="00934262"/>
    <w:rsid w:val="009346C7"/>
    <w:rsid w:val="0093555B"/>
    <w:rsid w:val="00935B0E"/>
    <w:rsid w:val="00935E35"/>
    <w:rsid w:val="00940386"/>
    <w:rsid w:val="0094167C"/>
    <w:rsid w:val="0094486C"/>
    <w:rsid w:val="00945196"/>
    <w:rsid w:val="00950025"/>
    <w:rsid w:val="00952FFF"/>
    <w:rsid w:val="00953F18"/>
    <w:rsid w:val="00957A4D"/>
    <w:rsid w:val="0096146C"/>
    <w:rsid w:val="0096410B"/>
    <w:rsid w:val="009679A8"/>
    <w:rsid w:val="00971DBD"/>
    <w:rsid w:val="00975618"/>
    <w:rsid w:val="00975D66"/>
    <w:rsid w:val="0097669A"/>
    <w:rsid w:val="00980BCA"/>
    <w:rsid w:val="009811D3"/>
    <w:rsid w:val="0098143C"/>
    <w:rsid w:val="009835CB"/>
    <w:rsid w:val="00985446"/>
    <w:rsid w:val="00985BF5"/>
    <w:rsid w:val="0098682A"/>
    <w:rsid w:val="00992B2A"/>
    <w:rsid w:val="009A1DC8"/>
    <w:rsid w:val="009A28E5"/>
    <w:rsid w:val="009A3C69"/>
    <w:rsid w:val="009A63DB"/>
    <w:rsid w:val="009A697F"/>
    <w:rsid w:val="009A6DE4"/>
    <w:rsid w:val="009B192C"/>
    <w:rsid w:val="009B1BDA"/>
    <w:rsid w:val="009B4D07"/>
    <w:rsid w:val="009C1A68"/>
    <w:rsid w:val="009C3511"/>
    <w:rsid w:val="009C5BD1"/>
    <w:rsid w:val="009C63A7"/>
    <w:rsid w:val="009D32FF"/>
    <w:rsid w:val="009E2546"/>
    <w:rsid w:val="009E2A4F"/>
    <w:rsid w:val="009F0C9D"/>
    <w:rsid w:val="009F1A4B"/>
    <w:rsid w:val="009F1F7D"/>
    <w:rsid w:val="009F3110"/>
    <w:rsid w:val="009F52F1"/>
    <w:rsid w:val="00A024B5"/>
    <w:rsid w:val="00A05C82"/>
    <w:rsid w:val="00A06BA5"/>
    <w:rsid w:val="00A10DAE"/>
    <w:rsid w:val="00A13A2F"/>
    <w:rsid w:val="00A13C52"/>
    <w:rsid w:val="00A14C13"/>
    <w:rsid w:val="00A1688D"/>
    <w:rsid w:val="00A200CE"/>
    <w:rsid w:val="00A205F8"/>
    <w:rsid w:val="00A24EE3"/>
    <w:rsid w:val="00A33760"/>
    <w:rsid w:val="00A3464D"/>
    <w:rsid w:val="00A372CB"/>
    <w:rsid w:val="00A375A9"/>
    <w:rsid w:val="00A40C93"/>
    <w:rsid w:val="00A425D8"/>
    <w:rsid w:val="00A42939"/>
    <w:rsid w:val="00A430BB"/>
    <w:rsid w:val="00A4492A"/>
    <w:rsid w:val="00A44B9A"/>
    <w:rsid w:val="00A522BA"/>
    <w:rsid w:val="00A55015"/>
    <w:rsid w:val="00A55D45"/>
    <w:rsid w:val="00A57DC5"/>
    <w:rsid w:val="00A603C6"/>
    <w:rsid w:val="00A6327A"/>
    <w:rsid w:val="00A6407D"/>
    <w:rsid w:val="00A653F7"/>
    <w:rsid w:val="00A66606"/>
    <w:rsid w:val="00A70C41"/>
    <w:rsid w:val="00A74F4C"/>
    <w:rsid w:val="00A757CB"/>
    <w:rsid w:val="00A76BD8"/>
    <w:rsid w:val="00A77418"/>
    <w:rsid w:val="00A77789"/>
    <w:rsid w:val="00A77CCB"/>
    <w:rsid w:val="00A80BD5"/>
    <w:rsid w:val="00A87B4A"/>
    <w:rsid w:val="00A905E1"/>
    <w:rsid w:val="00A9213B"/>
    <w:rsid w:val="00A94F93"/>
    <w:rsid w:val="00A95164"/>
    <w:rsid w:val="00A951B1"/>
    <w:rsid w:val="00AA1140"/>
    <w:rsid w:val="00AA1E00"/>
    <w:rsid w:val="00AA27D0"/>
    <w:rsid w:val="00AA45C3"/>
    <w:rsid w:val="00AA5CBD"/>
    <w:rsid w:val="00AA6133"/>
    <w:rsid w:val="00AA64EC"/>
    <w:rsid w:val="00AB0657"/>
    <w:rsid w:val="00AB1AA2"/>
    <w:rsid w:val="00AB6271"/>
    <w:rsid w:val="00AC3035"/>
    <w:rsid w:val="00AC5EC3"/>
    <w:rsid w:val="00AC767A"/>
    <w:rsid w:val="00AD08BB"/>
    <w:rsid w:val="00AD0F05"/>
    <w:rsid w:val="00AD0F9F"/>
    <w:rsid w:val="00AD11AC"/>
    <w:rsid w:val="00AD161C"/>
    <w:rsid w:val="00AD189E"/>
    <w:rsid w:val="00AD2EFA"/>
    <w:rsid w:val="00AD32ED"/>
    <w:rsid w:val="00AD462A"/>
    <w:rsid w:val="00AD7466"/>
    <w:rsid w:val="00AD7D8D"/>
    <w:rsid w:val="00AE7A47"/>
    <w:rsid w:val="00AF0843"/>
    <w:rsid w:val="00AF191E"/>
    <w:rsid w:val="00AF19B0"/>
    <w:rsid w:val="00AF2473"/>
    <w:rsid w:val="00AF708F"/>
    <w:rsid w:val="00B05D67"/>
    <w:rsid w:val="00B072B0"/>
    <w:rsid w:val="00B14C14"/>
    <w:rsid w:val="00B175AC"/>
    <w:rsid w:val="00B20664"/>
    <w:rsid w:val="00B20D45"/>
    <w:rsid w:val="00B22260"/>
    <w:rsid w:val="00B24FBC"/>
    <w:rsid w:val="00B25E0F"/>
    <w:rsid w:val="00B266D3"/>
    <w:rsid w:val="00B27189"/>
    <w:rsid w:val="00B271DB"/>
    <w:rsid w:val="00B2724B"/>
    <w:rsid w:val="00B305C8"/>
    <w:rsid w:val="00B33A61"/>
    <w:rsid w:val="00B4096F"/>
    <w:rsid w:val="00B45357"/>
    <w:rsid w:val="00B501E9"/>
    <w:rsid w:val="00B51D27"/>
    <w:rsid w:val="00B52F3C"/>
    <w:rsid w:val="00B57683"/>
    <w:rsid w:val="00B60A27"/>
    <w:rsid w:val="00B60E99"/>
    <w:rsid w:val="00B63C35"/>
    <w:rsid w:val="00B6467A"/>
    <w:rsid w:val="00B64FBE"/>
    <w:rsid w:val="00B654E1"/>
    <w:rsid w:val="00B6651D"/>
    <w:rsid w:val="00B677ED"/>
    <w:rsid w:val="00B72A56"/>
    <w:rsid w:val="00B7419A"/>
    <w:rsid w:val="00B74DAA"/>
    <w:rsid w:val="00B846B4"/>
    <w:rsid w:val="00B8511E"/>
    <w:rsid w:val="00B87E2A"/>
    <w:rsid w:val="00B957DD"/>
    <w:rsid w:val="00B958CE"/>
    <w:rsid w:val="00BA0F29"/>
    <w:rsid w:val="00BA263C"/>
    <w:rsid w:val="00BA2C95"/>
    <w:rsid w:val="00BA4B58"/>
    <w:rsid w:val="00BB476D"/>
    <w:rsid w:val="00BB6500"/>
    <w:rsid w:val="00BB7474"/>
    <w:rsid w:val="00BB77C6"/>
    <w:rsid w:val="00BB782B"/>
    <w:rsid w:val="00BC19AC"/>
    <w:rsid w:val="00BC6637"/>
    <w:rsid w:val="00BC7B0F"/>
    <w:rsid w:val="00BD1700"/>
    <w:rsid w:val="00BD19BF"/>
    <w:rsid w:val="00BD50B8"/>
    <w:rsid w:val="00BD6B50"/>
    <w:rsid w:val="00BD7400"/>
    <w:rsid w:val="00BE0F0C"/>
    <w:rsid w:val="00BE6DED"/>
    <w:rsid w:val="00BF1A33"/>
    <w:rsid w:val="00BF2372"/>
    <w:rsid w:val="00BF4BEE"/>
    <w:rsid w:val="00C011D1"/>
    <w:rsid w:val="00C07F83"/>
    <w:rsid w:val="00C11349"/>
    <w:rsid w:val="00C150AA"/>
    <w:rsid w:val="00C164E6"/>
    <w:rsid w:val="00C16F89"/>
    <w:rsid w:val="00C24753"/>
    <w:rsid w:val="00C24EAA"/>
    <w:rsid w:val="00C25475"/>
    <w:rsid w:val="00C26026"/>
    <w:rsid w:val="00C26862"/>
    <w:rsid w:val="00C30BD7"/>
    <w:rsid w:val="00C325A5"/>
    <w:rsid w:val="00C40A24"/>
    <w:rsid w:val="00C41214"/>
    <w:rsid w:val="00C42233"/>
    <w:rsid w:val="00C47397"/>
    <w:rsid w:val="00C53A40"/>
    <w:rsid w:val="00C551FC"/>
    <w:rsid w:val="00C6157F"/>
    <w:rsid w:val="00C66310"/>
    <w:rsid w:val="00C66623"/>
    <w:rsid w:val="00C75ACA"/>
    <w:rsid w:val="00C7748C"/>
    <w:rsid w:val="00C856AE"/>
    <w:rsid w:val="00C90AD1"/>
    <w:rsid w:val="00C921BC"/>
    <w:rsid w:val="00C93976"/>
    <w:rsid w:val="00C96EAB"/>
    <w:rsid w:val="00C96ED5"/>
    <w:rsid w:val="00CA1283"/>
    <w:rsid w:val="00CA1714"/>
    <w:rsid w:val="00CA47ED"/>
    <w:rsid w:val="00CA5409"/>
    <w:rsid w:val="00CA5885"/>
    <w:rsid w:val="00CA5FC1"/>
    <w:rsid w:val="00CA637C"/>
    <w:rsid w:val="00CA674F"/>
    <w:rsid w:val="00CA7D8E"/>
    <w:rsid w:val="00CB23AA"/>
    <w:rsid w:val="00CB3645"/>
    <w:rsid w:val="00CB41DB"/>
    <w:rsid w:val="00CB5F7B"/>
    <w:rsid w:val="00CB63FE"/>
    <w:rsid w:val="00CC14C5"/>
    <w:rsid w:val="00CC5931"/>
    <w:rsid w:val="00CD0532"/>
    <w:rsid w:val="00CD0C20"/>
    <w:rsid w:val="00CD50F1"/>
    <w:rsid w:val="00CD7EE9"/>
    <w:rsid w:val="00CE65F1"/>
    <w:rsid w:val="00CE665B"/>
    <w:rsid w:val="00CE6936"/>
    <w:rsid w:val="00CF198D"/>
    <w:rsid w:val="00D02C53"/>
    <w:rsid w:val="00D0576D"/>
    <w:rsid w:val="00D06ADA"/>
    <w:rsid w:val="00D110DD"/>
    <w:rsid w:val="00D115BA"/>
    <w:rsid w:val="00D16FEC"/>
    <w:rsid w:val="00D17D61"/>
    <w:rsid w:val="00D20451"/>
    <w:rsid w:val="00D2069F"/>
    <w:rsid w:val="00D21468"/>
    <w:rsid w:val="00D2174E"/>
    <w:rsid w:val="00D26046"/>
    <w:rsid w:val="00D276B4"/>
    <w:rsid w:val="00D30BFB"/>
    <w:rsid w:val="00D32057"/>
    <w:rsid w:val="00D33288"/>
    <w:rsid w:val="00D36FDA"/>
    <w:rsid w:val="00D42C6A"/>
    <w:rsid w:val="00D44D0D"/>
    <w:rsid w:val="00D47C59"/>
    <w:rsid w:val="00D55974"/>
    <w:rsid w:val="00D63B62"/>
    <w:rsid w:val="00D642CC"/>
    <w:rsid w:val="00D66BDA"/>
    <w:rsid w:val="00D74BD8"/>
    <w:rsid w:val="00D75120"/>
    <w:rsid w:val="00D80307"/>
    <w:rsid w:val="00D840CF"/>
    <w:rsid w:val="00D8465B"/>
    <w:rsid w:val="00D87F02"/>
    <w:rsid w:val="00D91ED7"/>
    <w:rsid w:val="00D96E24"/>
    <w:rsid w:val="00DA0EEE"/>
    <w:rsid w:val="00DA2DF7"/>
    <w:rsid w:val="00DA34C7"/>
    <w:rsid w:val="00DA7F4C"/>
    <w:rsid w:val="00DB0A9B"/>
    <w:rsid w:val="00DB30F4"/>
    <w:rsid w:val="00DB4BE6"/>
    <w:rsid w:val="00DB6F89"/>
    <w:rsid w:val="00DC16E3"/>
    <w:rsid w:val="00DC7BE1"/>
    <w:rsid w:val="00DD0920"/>
    <w:rsid w:val="00DD1D6F"/>
    <w:rsid w:val="00DD342D"/>
    <w:rsid w:val="00DD7DAE"/>
    <w:rsid w:val="00DE02C6"/>
    <w:rsid w:val="00DE0B02"/>
    <w:rsid w:val="00DE5E60"/>
    <w:rsid w:val="00DE759A"/>
    <w:rsid w:val="00DE7A48"/>
    <w:rsid w:val="00DF075F"/>
    <w:rsid w:val="00DF3ABE"/>
    <w:rsid w:val="00DF447D"/>
    <w:rsid w:val="00E01403"/>
    <w:rsid w:val="00E05205"/>
    <w:rsid w:val="00E07DC9"/>
    <w:rsid w:val="00E10689"/>
    <w:rsid w:val="00E10E17"/>
    <w:rsid w:val="00E15857"/>
    <w:rsid w:val="00E17D58"/>
    <w:rsid w:val="00E244B4"/>
    <w:rsid w:val="00E25BC0"/>
    <w:rsid w:val="00E2715B"/>
    <w:rsid w:val="00E35386"/>
    <w:rsid w:val="00E362B7"/>
    <w:rsid w:val="00E42F93"/>
    <w:rsid w:val="00E442A2"/>
    <w:rsid w:val="00E46296"/>
    <w:rsid w:val="00E46CA3"/>
    <w:rsid w:val="00E64139"/>
    <w:rsid w:val="00E65784"/>
    <w:rsid w:val="00E74B67"/>
    <w:rsid w:val="00E772CA"/>
    <w:rsid w:val="00E80D1B"/>
    <w:rsid w:val="00E83509"/>
    <w:rsid w:val="00E85706"/>
    <w:rsid w:val="00E860FD"/>
    <w:rsid w:val="00E92BDA"/>
    <w:rsid w:val="00E95AF6"/>
    <w:rsid w:val="00E9767B"/>
    <w:rsid w:val="00EA1162"/>
    <w:rsid w:val="00EA1625"/>
    <w:rsid w:val="00EA2920"/>
    <w:rsid w:val="00EA59D0"/>
    <w:rsid w:val="00EA6E13"/>
    <w:rsid w:val="00EA75F4"/>
    <w:rsid w:val="00EB1E65"/>
    <w:rsid w:val="00EB2405"/>
    <w:rsid w:val="00EB4CBE"/>
    <w:rsid w:val="00EB51A7"/>
    <w:rsid w:val="00EC2673"/>
    <w:rsid w:val="00EC4152"/>
    <w:rsid w:val="00ED6136"/>
    <w:rsid w:val="00EE23FB"/>
    <w:rsid w:val="00EE2E56"/>
    <w:rsid w:val="00EF18B9"/>
    <w:rsid w:val="00EF18CE"/>
    <w:rsid w:val="00EF218A"/>
    <w:rsid w:val="00EF524C"/>
    <w:rsid w:val="00F002F4"/>
    <w:rsid w:val="00F00FAC"/>
    <w:rsid w:val="00F02373"/>
    <w:rsid w:val="00F02D8D"/>
    <w:rsid w:val="00F04AB2"/>
    <w:rsid w:val="00F1127F"/>
    <w:rsid w:val="00F112AD"/>
    <w:rsid w:val="00F14779"/>
    <w:rsid w:val="00F14D52"/>
    <w:rsid w:val="00F21DC8"/>
    <w:rsid w:val="00F227E9"/>
    <w:rsid w:val="00F22A1A"/>
    <w:rsid w:val="00F25018"/>
    <w:rsid w:val="00F253A4"/>
    <w:rsid w:val="00F268A0"/>
    <w:rsid w:val="00F34650"/>
    <w:rsid w:val="00F34F88"/>
    <w:rsid w:val="00F35FFF"/>
    <w:rsid w:val="00F401B6"/>
    <w:rsid w:val="00F43401"/>
    <w:rsid w:val="00F46906"/>
    <w:rsid w:val="00F47114"/>
    <w:rsid w:val="00F527CC"/>
    <w:rsid w:val="00F52D0D"/>
    <w:rsid w:val="00F5709E"/>
    <w:rsid w:val="00F5771E"/>
    <w:rsid w:val="00F602AE"/>
    <w:rsid w:val="00F60782"/>
    <w:rsid w:val="00F6103C"/>
    <w:rsid w:val="00F61CC0"/>
    <w:rsid w:val="00F62A97"/>
    <w:rsid w:val="00F63C52"/>
    <w:rsid w:val="00F6429D"/>
    <w:rsid w:val="00F710AC"/>
    <w:rsid w:val="00F737FD"/>
    <w:rsid w:val="00F73F07"/>
    <w:rsid w:val="00F835B9"/>
    <w:rsid w:val="00F84E3B"/>
    <w:rsid w:val="00F85686"/>
    <w:rsid w:val="00F90F48"/>
    <w:rsid w:val="00F92959"/>
    <w:rsid w:val="00F94AE3"/>
    <w:rsid w:val="00F95473"/>
    <w:rsid w:val="00FA3C03"/>
    <w:rsid w:val="00FA3D5E"/>
    <w:rsid w:val="00FA4331"/>
    <w:rsid w:val="00FA6A3F"/>
    <w:rsid w:val="00FA73DE"/>
    <w:rsid w:val="00FB1373"/>
    <w:rsid w:val="00FB2A12"/>
    <w:rsid w:val="00FB3BE6"/>
    <w:rsid w:val="00FB4D40"/>
    <w:rsid w:val="00FB6172"/>
    <w:rsid w:val="00FB7C99"/>
    <w:rsid w:val="00FD1D2C"/>
    <w:rsid w:val="00FD4536"/>
    <w:rsid w:val="00FE5CDB"/>
    <w:rsid w:val="00FE60B8"/>
    <w:rsid w:val="00FE7521"/>
    <w:rsid w:val="00FF01F7"/>
    <w:rsid w:val="00FF02DB"/>
    <w:rsid w:val="00FF57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9E2BB"/>
  <w15:chartTrackingRefBased/>
  <w15:docId w15:val="{4E5820E0-2240-43EE-9233-026F0378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after="160" w:line="0" w:lineRule="auto"/>
      </w:pPr>
    </w:pPrDefault>
  </w:docDefaults>
  <w:latentStyles w:defLockedState="0" w:defUIPriority="99" w:defSemiHidden="0" w:defUnhideWhenUsed="0" w:defQFormat="0" w:count="375">
    <w:lsdException w:name="Normal" w:uiPriority="5"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34"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34"/>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uiPriority w:val="5"/>
    <w:qFormat/>
    <w:rsid w:val="00F527CC"/>
    <w:pPr>
      <w:spacing w:after="120" w:line="240" w:lineRule="atLeast"/>
    </w:pPr>
    <w:rPr>
      <w:lang w:val="en-US"/>
    </w:rPr>
  </w:style>
  <w:style w:type="paragraph" w:styleId="1">
    <w:name w:val="heading 1"/>
    <w:basedOn w:val="a2"/>
    <w:next w:val="a2"/>
    <w:link w:val="10"/>
    <w:uiPriority w:val="9"/>
    <w:qFormat/>
    <w:rsid w:val="00F527CC"/>
    <w:pPr>
      <w:keepNext/>
      <w:keepLines/>
      <w:numPr>
        <w:numId w:val="13"/>
      </w:numPr>
      <w:spacing w:before="260" w:after="1000" w:line="420" w:lineRule="atLeast"/>
      <w:outlineLvl w:val="0"/>
    </w:pPr>
    <w:rPr>
      <w:rFonts w:eastAsiaTheme="majorEastAsia" w:cs="Arial"/>
      <w:bCs/>
      <w:noProof/>
      <w:sz w:val="36"/>
      <w:szCs w:val="30"/>
    </w:rPr>
  </w:style>
  <w:style w:type="paragraph" w:styleId="21">
    <w:name w:val="heading 2"/>
    <w:basedOn w:val="a2"/>
    <w:next w:val="a2"/>
    <w:link w:val="22"/>
    <w:uiPriority w:val="9"/>
    <w:qFormat/>
    <w:rsid w:val="00F527CC"/>
    <w:pPr>
      <w:keepNext/>
      <w:keepLines/>
      <w:numPr>
        <w:ilvl w:val="1"/>
        <w:numId w:val="13"/>
      </w:numPr>
      <w:spacing w:before="260" w:after="220"/>
      <w:outlineLvl w:val="1"/>
    </w:pPr>
    <w:rPr>
      <w:rFonts w:eastAsiaTheme="majorEastAsia" w:cs="Arial"/>
      <w:b/>
      <w:bCs/>
      <w:noProof/>
    </w:rPr>
  </w:style>
  <w:style w:type="paragraph" w:styleId="31">
    <w:name w:val="heading 3"/>
    <w:basedOn w:val="a2"/>
    <w:next w:val="a2"/>
    <w:link w:val="32"/>
    <w:uiPriority w:val="9"/>
    <w:semiHidden/>
    <w:qFormat/>
    <w:rsid w:val="00F527CC"/>
    <w:pPr>
      <w:keepNext/>
      <w:keepLines/>
      <w:spacing w:before="260" w:after="220"/>
      <w:ind w:left="567" w:hanging="567"/>
      <w:outlineLvl w:val="2"/>
    </w:pPr>
    <w:rPr>
      <w:rFonts w:eastAsiaTheme="majorEastAsia" w:cs="Arial"/>
      <w:b/>
      <w:szCs w:val="24"/>
    </w:rPr>
  </w:style>
  <w:style w:type="paragraph" w:styleId="41">
    <w:name w:val="heading 4"/>
    <w:basedOn w:val="a2"/>
    <w:next w:val="a2"/>
    <w:link w:val="42"/>
    <w:uiPriority w:val="9"/>
    <w:semiHidden/>
    <w:unhideWhenUsed/>
    <w:qFormat/>
    <w:rsid w:val="00F527CC"/>
    <w:pPr>
      <w:keepNext/>
      <w:keepLines/>
      <w:spacing w:before="40" w:after="0"/>
      <w:outlineLvl w:val="3"/>
    </w:pPr>
    <w:rPr>
      <w:rFonts w:eastAsiaTheme="majorEastAsia" w:cs="Arial"/>
      <w:i/>
      <w:iCs/>
      <w:color w:val="939599" w:themeColor="accent1" w:themeShade="BF"/>
    </w:rPr>
  </w:style>
  <w:style w:type="paragraph" w:styleId="51">
    <w:name w:val="heading 5"/>
    <w:basedOn w:val="a2"/>
    <w:next w:val="a2"/>
    <w:link w:val="52"/>
    <w:uiPriority w:val="9"/>
    <w:semiHidden/>
    <w:unhideWhenUsed/>
    <w:qFormat/>
    <w:rsid w:val="00F527CC"/>
    <w:pPr>
      <w:keepNext/>
      <w:keepLines/>
      <w:spacing w:before="40" w:after="0"/>
      <w:outlineLvl w:val="4"/>
    </w:pPr>
    <w:rPr>
      <w:rFonts w:eastAsiaTheme="majorEastAsia" w:cs="Arial"/>
      <w:color w:val="939599" w:themeColor="accent1" w:themeShade="BF"/>
    </w:rPr>
  </w:style>
  <w:style w:type="paragraph" w:styleId="6">
    <w:name w:val="heading 6"/>
    <w:basedOn w:val="a2"/>
    <w:next w:val="a2"/>
    <w:link w:val="60"/>
    <w:uiPriority w:val="9"/>
    <w:semiHidden/>
    <w:unhideWhenUsed/>
    <w:qFormat/>
    <w:rsid w:val="00F527CC"/>
    <w:pPr>
      <w:keepNext/>
      <w:keepLines/>
      <w:spacing w:before="40" w:after="0"/>
      <w:outlineLvl w:val="5"/>
    </w:pPr>
    <w:rPr>
      <w:rFonts w:eastAsiaTheme="majorEastAsia" w:cs="Arial"/>
      <w:color w:val="616266" w:themeColor="accent1" w:themeShade="7F"/>
    </w:rPr>
  </w:style>
  <w:style w:type="paragraph" w:styleId="7">
    <w:name w:val="heading 7"/>
    <w:basedOn w:val="a2"/>
    <w:next w:val="a2"/>
    <w:link w:val="70"/>
    <w:uiPriority w:val="9"/>
    <w:semiHidden/>
    <w:unhideWhenUsed/>
    <w:qFormat/>
    <w:rsid w:val="00F527CC"/>
    <w:pPr>
      <w:keepNext/>
      <w:keepLines/>
      <w:spacing w:before="40" w:after="0"/>
      <w:outlineLvl w:val="6"/>
    </w:pPr>
    <w:rPr>
      <w:rFonts w:eastAsiaTheme="majorEastAsia" w:cs="Arial"/>
      <w:i/>
      <w:iCs/>
      <w:color w:val="616266" w:themeColor="accent1" w:themeShade="7F"/>
    </w:rPr>
  </w:style>
  <w:style w:type="paragraph" w:styleId="8">
    <w:name w:val="heading 8"/>
    <w:basedOn w:val="a2"/>
    <w:next w:val="a2"/>
    <w:link w:val="80"/>
    <w:uiPriority w:val="9"/>
    <w:semiHidden/>
    <w:unhideWhenUsed/>
    <w:qFormat/>
    <w:rsid w:val="00F527CC"/>
    <w:pPr>
      <w:keepNext/>
      <w:keepLines/>
      <w:spacing w:before="40" w:after="0"/>
      <w:outlineLvl w:val="7"/>
    </w:pPr>
    <w:rPr>
      <w:rFonts w:eastAsiaTheme="majorEastAsia" w:cs="Arial"/>
      <w:color w:val="5D5D5D" w:themeColor="text1" w:themeTint="D8"/>
      <w:sz w:val="21"/>
      <w:szCs w:val="21"/>
    </w:rPr>
  </w:style>
  <w:style w:type="paragraph" w:styleId="9">
    <w:name w:val="heading 9"/>
    <w:basedOn w:val="a2"/>
    <w:next w:val="a2"/>
    <w:link w:val="90"/>
    <w:uiPriority w:val="9"/>
    <w:semiHidden/>
    <w:unhideWhenUsed/>
    <w:qFormat/>
    <w:rsid w:val="00F527CC"/>
    <w:pPr>
      <w:keepNext/>
      <w:keepLines/>
      <w:spacing w:before="40" w:after="0"/>
      <w:outlineLvl w:val="8"/>
    </w:pPr>
    <w:rPr>
      <w:rFonts w:eastAsiaTheme="majorEastAsia" w:cs="Arial"/>
      <w:i/>
      <w:iCs/>
      <w:color w:val="5D5D5D"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rsid w:val="00F527CC"/>
    <w:pPr>
      <w:tabs>
        <w:tab w:val="center" w:pos="4513"/>
        <w:tab w:val="right" w:pos="9026"/>
      </w:tabs>
      <w:spacing w:after="220" w:line="240" w:lineRule="auto"/>
    </w:pPr>
  </w:style>
  <w:style w:type="character" w:customStyle="1" w:styleId="a7">
    <w:name w:val="Верхний колонтитул Знак"/>
    <w:basedOn w:val="a3"/>
    <w:link w:val="a6"/>
    <w:uiPriority w:val="99"/>
    <w:rsid w:val="00F527CC"/>
    <w:rPr>
      <w:lang w:val="en-US"/>
    </w:rPr>
  </w:style>
  <w:style w:type="paragraph" w:styleId="a8">
    <w:name w:val="footer"/>
    <w:basedOn w:val="a2"/>
    <w:link w:val="a9"/>
    <w:uiPriority w:val="99"/>
    <w:rsid w:val="00F527CC"/>
    <w:pPr>
      <w:tabs>
        <w:tab w:val="right" w:pos="9638"/>
      </w:tabs>
      <w:spacing w:after="0" w:line="240" w:lineRule="auto"/>
    </w:pPr>
    <w:rPr>
      <w:sz w:val="16"/>
      <w:szCs w:val="16"/>
    </w:rPr>
  </w:style>
  <w:style w:type="character" w:customStyle="1" w:styleId="a9">
    <w:name w:val="Нижний колонтитул Знак"/>
    <w:basedOn w:val="a3"/>
    <w:link w:val="a8"/>
    <w:uiPriority w:val="99"/>
    <w:rsid w:val="00F527CC"/>
    <w:rPr>
      <w:sz w:val="16"/>
      <w:szCs w:val="16"/>
      <w:lang w:val="en-US"/>
    </w:rPr>
  </w:style>
  <w:style w:type="table" w:styleId="aa">
    <w:name w:val="Table Grid"/>
    <w:basedOn w:val="a4"/>
    <w:uiPriority w:val="39"/>
    <w:rsid w:val="00F52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a2"/>
    <w:semiHidden/>
    <w:qFormat/>
    <w:rsid w:val="00F527CC"/>
    <w:pPr>
      <w:spacing w:after="0" w:line="180" w:lineRule="atLeast"/>
    </w:pPr>
    <w:rPr>
      <w:noProof/>
      <w:sz w:val="15"/>
    </w:rPr>
  </w:style>
  <w:style w:type="paragraph" w:customStyle="1" w:styleId="Ourref">
    <w:name w:val="Our ref"/>
    <w:basedOn w:val="a2"/>
    <w:uiPriority w:val="1"/>
    <w:semiHidden/>
    <w:rsid w:val="00F527CC"/>
    <w:pPr>
      <w:spacing w:after="520"/>
    </w:pPr>
  </w:style>
  <w:style w:type="paragraph" w:styleId="ab">
    <w:name w:val="Date"/>
    <w:basedOn w:val="a2"/>
    <w:next w:val="a2"/>
    <w:link w:val="ac"/>
    <w:uiPriority w:val="2"/>
    <w:semiHidden/>
    <w:rsid w:val="00F527CC"/>
    <w:pPr>
      <w:spacing w:before="520" w:after="520"/>
    </w:pPr>
  </w:style>
  <w:style w:type="character" w:customStyle="1" w:styleId="ac">
    <w:name w:val="Дата Знак"/>
    <w:basedOn w:val="a3"/>
    <w:link w:val="ab"/>
    <w:uiPriority w:val="2"/>
    <w:semiHidden/>
    <w:rsid w:val="00F527CC"/>
    <w:rPr>
      <w:lang w:val="en-US"/>
    </w:rPr>
  </w:style>
  <w:style w:type="paragraph" w:customStyle="1" w:styleId="RecipientAddress">
    <w:name w:val="Recipient Address"/>
    <w:basedOn w:val="a2"/>
    <w:semiHidden/>
    <w:qFormat/>
    <w:rsid w:val="00F527CC"/>
    <w:pPr>
      <w:spacing w:after="0"/>
    </w:pPr>
  </w:style>
  <w:style w:type="paragraph" w:customStyle="1" w:styleId="Yours">
    <w:name w:val="Yours"/>
    <w:basedOn w:val="a2"/>
    <w:next w:val="Author"/>
    <w:uiPriority w:val="6"/>
    <w:semiHidden/>
    <w:qFormat/>
    <w:rsid w:val="00F527CC"/>
    <w:pPr>
      <w:keepNext/>
      <w:keepLines/>
      <w:spacing w:before="520" w:after="1000" w:line="276" w:lineRule="auto"/>
    </w:pPr>
    <w:rPr>
      <w:szCs w:val="20"/>
    </w:rPr>
  </w:style>
  <w:style w:type="paragraph" w:customStyle="1" w:styleId="Author">
    <w:name w:val="Author"/>
    <w:basedOn w:val="a2"/>
    <w:next w:val="JobTitle"/>
    <w:uiPriority w:val="7"/>
    <w:semiHidden/>
    <w:qFormat/>
    <w:rsid w:val="00F527CC"/>
    <w:pPr>
      <w:keepNext/>
      <w:keepLines/>
      <w:spacing w:after="0" w:line="276" w:lineRule="auto"/>
    </w:pPr>
    <w:rPr>
      <w:szCs w:val="20"/>
    </w:rPr>
  </w:style>
  <w:style w:type="paragraph" w:customStyle="1" w:styleId="JobTitle">
    <w:name w:val="JobTitle"/>
    <w:basedOn w:val="a2"/>
    <w:uiPriority w:val="8"/>
    <w:semiHidden/>
    <w:qFormat/>
    <w:rsid w:val="00F527CC"/>
    <w:pPr>
      <w:keepNext/>
      <w:keepLines/>
      <w:spacing w:after="240" w:line="276" w:lineRule="auto"/>
      <w:contextualSpacing/>
    </w:pPr>
    <w:rPr>
      <w:szCs w:val="20"/>
    </w:rPr>
  </w:style>
  <w:style w:type="paragraph" w:customStyle="1" w:styleId="Dear">
    <w:name w:val="Dear"/>
    <w:basedOn w:val="a2"/>
    <w:next w:val="a2"/>
    <w:uiPriority w:val="4"/>
    <w:semiHidden/>
    <w:rsid w:val="00F527CC"/>
    <w:pPr>
      <w:spacing w:before="520" w:after="260"/>
    </w:pPr>
  </w:style>
  <w:style w:type="character" w:customStyle="1" w:styleId="Subject">
    <w:name w:val="Subject"/>
    <w:basedOn w:val="a3"/>
    <w:uiPriority w:val="1"/>
    <w:semiHidden/>
    <w:rsid w:val="00F527CC"/>
    <w:rPr>
      <w:b/>
      <w:caps/>
      <w:smallCaps w:val="0"/>
      <w:lang w:val="en-US"/>
    </w:rPr>
  </w:style>
  <w:style w:type="table" w:customStyle="1" w:styleId="GlobalFund">
    <w:name w:val="Global Fund"/>
    <w:basedOn w:val="a4"/>
    <w:uiPriority w:val="99"/>
    <w:rsid w:val="00F527CC"/>
    <w:pPr>
      <w:spacing w:after="0" w:line="240" w:lineRule="auto"/>
    </w:pPr>
    <w:rPr>
      <w:color w:val="828282"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5C5C5C" w:themeColor="text1" w:themeTint="D9"/>
          <w:left w:val="nil"/>
          <w:bottom w:val="single" w:sz="6" w:space="0" w:color="5C5C5C" w:themeColor="text1" w:themeTint="D9"/>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828282"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10">
    <w:name w:val="Заголовок 1 Знак"/>
    <w:basedOn w:val="a3"/>
    <w:link w:val="1"/>
    <w:uiPriority w:val="9"/>
    <w:rsid w:val="00F527CC"/>
    <w:rPr>
      <w:rFonts w:eastAsiaTheme="majorEastAsia" w:cs="Arial"/>
      <w:bCs/>
      <w:noProof/>
      <w:sz w:val="36"/>
      <w:szCs w:val="30"/>
      <w:lang w:val="en-US"/>
    </w:rPr>
  </w:style>
  <w:style w:type="character" w:customStyle="1" w:styleId="22">
    <w:name w:val="Заголовок 2 Знак"/>
    <w:basedOn w:val="a3"/>
    <w:link w:val="21"/>
    <w:uiPriority w:val="9"/>
    <w:rsid w:val="00F527CC"/>
    <w:rPr>
      <w:rFonts w:eastAsiaTheme="majorEastAsia" w:cs="Arial"/>
      <w:b/>
      <w:bCs/>
      <w:noProof/>
      <w:lang w:val="en-US"/>
    </w:rPr>
  </w:style>
  <w:style w:type="paragraph" w:customStyle="1" w:styleId="NormalNoSpace">
    <w:name w:val="NormalNoSpace"/>
    <w:basedOn w:val="a2"/>
    <w:next w:val="a2"/>
    <w:uiPriority w:val="5"/>
    <w:qFormat/>
    <w:rsid w:val="00F527CC"/>
    <w:pPr>
      <w:spacing w:after="0"/>
    </w:pPr>
  </w:style>
  <w:style w:type="paragraph" w:customStyle="1" w:styleId="Note">
    <w:name w:val="Note"/>
    <w:basedOn w:val="a2"/>
    <w:next w:val="a2"/>
    <w:uiPriority w:val="29"/>
    <w:qFormat/>
    <w:rsid w:val="00F527CC"/>
    <w:pPr>
      <w:spacing w:line="220" w:lineRule="atLeast"/>
    </w:pPr>
    <w:rPr>
      <w:sz w:val="16"/>
      <w:szCs w:val="16"/>
    </w:rPr>
  </w:style>
  <w:style w:type="paragraph" w:styleId="ad">
    <w:name w:val="footnote text"/>
    <w:aliases w:val="fn,Footnote ak,footnote text,fn Char,footnote text Char,Footnotes Char,Footnote ak Char,ft,fn cafc,Footnotes Char Char,Footnote Text Char Char,fn Char Char,footnote text Char Char Char Ch,Footnote Text English"/>
    <w:basedOn w:val="a2"/>
    <w:link w:val="ae"/>
    <w:uiPriority w:val="99"/>
    <w:unhideWhenUsed/>
    <w:rsid w:val="00F527CC"/>
    <w:pPr>
      <w:spacing w:after="0" w:line="240" w:lineRule="auto"/>
    </w:pPr>
    <w:rPr>
      <w:sz w:val="16"/>
      <w:szCs w:val="20"/>
    </w:rPr>
  </w:style>
  <w:style w:type="character" w:customStyle="1" w:styleId="ae">
    <w:name w:val="Текст сноски Знак"/>
    <w:aliases w:val="fn Знак,Footnote ak Знак,footnote text Знак,fn Char Знак,footnote text Char Знак,Footnotes Char Знак,Footnote ak Char Знак,ft Знак,fn cafc Знак,Footnotes Char Char Знак,Footnote Text Char Char Знак,fn Char Char Знак"/>
    <w:basedOn w:val="a3"/>
    <w:link w:val="ad"/>
    <w:uiPriority w:val="99"/>
    <w:rsid w:val="00F527CC"/>
    <w:rPr>
      <w:sz w:val="16"/>
      <w:szCs w:val="20"/>
      <w:lang w:val="en-US"/>
    </w:rPr>
  </w:style>
  <w:style w:type="character" w:styleId="af">
    <w:name w:val="footnote reference"/>
    <w:aliases w:val="ftref"/>
    <w:basedOn w:val="a3"/>
    <w:uiPriority w:val="99"/>
    <w:unhideWhenUsed/>
    <w:rsid w:val="00F527CC"/>
    <w:rPr>
      <w:vertAlign w:val="superscript"/>
      <w:lang w:val="en-US"/>
    </w:rPr>
  </w:style>
  <w:style w:type="paragraph" w:styleId="af0">
    <w:name w:val="No Spacing"/>
    <w:uiPriority w:val="1"/>
    <w:qFormat/>
    <w:rsid w:val="00F527CC"/>
    <w:pPr>
      <w:spacing w:after="0" w:line="240" w:lineRule="auto"/>
    </w:pPr>
    <w:rPr>
      <w:lang w:val="en-US"/>
    </w:rPr>
  </w:style>
  <w:style w:type="paragraph" w:styleId="af1">
    <w:name w:val="endnote text"/>
    <w:basedOn w:val="a2"/>
    <w:link w:val="af2"/>
    <w:uiPriority w:val="99"/>
    <w:semiHidden/>
    <w:unhideWhenUsed/>
    <w:rsid w:val="00F527CC"/>
    <w:pPr>
      <w:spacing w:after="0" w:line="240" w:lineRule="auto"/>
    </w:pPr>
    <w:rPr>
      <w:sz w:val="16"/>
      <w:szCs w:val="16"/>
    </w:rPr>
  </w:style>
  <w:style w:type="character" w:customStyle="1" w:styleId="af2">
    <w:name w:val="Текст концевой сноски Знак"/>
    <w:basedOn w:val="a3"/>
    <w:link w:val="af1"/>
    <w:uiPriority w:val="99"/>
    <w:semiHidden/>
    <w:rsid w:val="00F527CC"/>
    <w:rPr>
      <w:sz w:val="16"/>
      <w:szCs w:val="16"/>
      <w:lang w:val="en-US"/>
    </w:rPr>
  </w:style>
  <w:style w:type="character" w:styleId="af3">
    <w:name w:val="endnote reference"/>
    <w:basedOn w:val="a3"/>
    <w:uiPriority w:val="99"/>
    <w:semiHidden/>
    <w:unhideWhenUsed/>
    <w:rsid w:val="00F527CC"/>
    <w:rPr>
      <w:vertAlign w:val="superscript"/>
      <w:lang w:val="en-US"/>
    </w:rPr>
  </w:style>
  <w:style w:type="table" w:customStyle="1" w:styleId="GlobalFund1">
    <w:name w:val="Global Fund 1"/>
    <w:basedOn w:val="GlobalFund"/>
    <w:uiPriority w:val="99"/>
    <w:rsid w:val="00F527CC"/>
    <w:rPr>
      <w:color w:val="6F6F6F" w:themeColor="text1" w:themeTint="BF"/>
    </w:rPr>
    <w:tblPr>
      <w:tblCellMar>
        <w:top w:w="108" w:type="dxa"/>
        <w:bottom w:w="108" w:type="dxa"/>
      </w:tblCellMar>
    </w:tbl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404040" w:themeColor="text1"/>
          <w:left w:val="nil"/>
          <w:bottom w:val="single" w:sz="6" w:space="0" w:color="404040" w:themeColor="text1"/>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a2"/>
    <w:next w:val="a2"/>
    <w:uiPriority w:val="15"/>
    <w:semiHidden/>
    <w:rsid w:val="00F527CC"/>
    <w:pPr>
      <w:spacing w:after="0" w:line="240" w:lineRule="auto"/>
    </w:pPr>
    <w:rPr>
      <w:noProof/>
      <w:sz w:val="2"/>
    </w:rPr>
  </w:style>
  <w:style w:type="character" w:styleId="af4">
    <w:name w:val="Placeholder Text"/>
    <w:basedOn w:val="a3"/>
    <w:uiPriority w:val="99"/>
    <w:semiHidden/>
    <w:rsid w:val="00F527CC"/>
    <w:rPr>
      <w:color w:val="808080"/>
      <w:lang w:val="en-US"/>
    </w:rPr>
  </w:style>
  <w:style w:type="paragraph" w:customStyle="1" w:styleId="AddressTopLine">
    <w:name w:val="AddressTopLine"/>
    <w:basedOn w:val="Address"/>
    <w:semiHidden/>
    <w:qFormat/>
    <w:rsid w:val="00F527CC"/>
    <w:pPr>
      <w:spacing w:after="180"/>
      <w:contextualSpacing/>
    </w:pPr>
  </w:style>
  <w:style w:type="paragraph" w:customStyle="1" w:styleId="AddressTopLineSmall">
    <w:name w:val="AddressTopLineSmall"/>
    <w:basedOn w:val="AddressTopLine"/>
    <w:semiHidden/>
    <w:qFormat/>
    <w:rsid w:val="00F527CC"/>
    <w:pPr>
      <w:spacing w:line="140" w:lineRule="atLeast"/>
    </w:pPr>
    <w:rPr>
      <w:sz w:val="12"/>
    </w:rPr>
  </w:style>
  <w:style w:type="paragraph" w:customStyle="1" w:styleId="AddressSmall">
    <w:name w:val="AddressSmall"/>
    <w:basedOn w:val="Address"/>
    <w:semiHidden/>
    <w:qFormat/>
    <w:rsid w:val="00F527CC"/>
    <w:pPr>
      <w:spacing w:line="140" w:lineRule="atLeast"/>
    </w:pPr>
    <w:rPr>
      <w:sz w:val="12"/>
    </w:rPr>
  </w:style>
  <w:style w:type="paragraph" w:customStyle="1" w:styleId="Tiny">
    <w:name w:val="Tiny"/>
    <w:basedOn w:val="a2"/>
    <w:uiPriority w:val="15"/>
    <w:semiHidden/>
    <w:qFormat/>
    <w:rsid w:val="00F527CC"/>
    <w:pPr>
      <w:spacing w:after="0" w:line="240" w:lineRule="auto"/>
    </w:pPr>
    <w:rPr>
      <w:sz w:val="2"/>
    </w:rPr>
  </w:style>
  <w:style w:type="paragraph" w:styleId="af5">
    <w:name w:val="Title"/>
    <w:basedOn w:val="a2"/>
    <w:next w:val="af6"/>
    <w:link w:val="af7"/>
    <w:uiPriority w:val="10"/>
    <w:qFormat/>
    <w:rsid w:val="00F527CC"/>
    <w:pPr>
      <w:spacing w:after="567" w:line="240" w:lineRule="auto"/>
      <w:contextualSpacing/>
    </w:pPr>
    <w:rPr>
      <w:rFonts w:eastAsiaTheme="majorEastAsia" w:cstheme="majorBidi"/>
      <w:kern w:val="28"/>
      <w:sz w:val="48"/>
      <w:szCs w:val="48"/>
    </w:rPr>
  </w:style>
  <w:style w:type="character" w:customStyle="1" w:styleId="af7">
    <w:name w:val="Заголовок Знак"/>
    <w:basedOn w:val="a3"/>
    <w:link w:val="af5"/>
    <w:uiPriority w:val="10"/>
    <w:rsid w:val="00F527CC"/>
    <w:rPr>
      <w:rFonts w:eastAsiaTheme="majorEastAsia" w:cstheme="majorBidi"/>
      <w:kern w:val="28"/>
      <w:sz w:val="48"/>
      <w:szCs w:val="48"/>
      <w:lang w:val="en-US"/>
    </w:rPr>
  </w:style>
  <w:style w:type="paragraph" w:styleId="af6">
    <w:name w:val="Subtitle"/>
    <w:basedOn w:val="a2"/>
    <w:next w:val="a2"/>
    <w:link w:val="af8"/>
    <w:uiPriority w:val="11"/>
    <w:qFormat/>
    <w:rsid w:val="00F527CC"/>
    <w:pPr>
      <w:numPr>
        <w:ilvl w:val="1"/>
      </w:numPr>
      <w:spacing w:line="440" w:lineRule="atLeast"/>
    </w:pPr>
    <w:rPr>
      <w:rFonts w:eastAsiaTheme="minorEastAsia"/>
      <w:spacing w:val="15"/>
      <w:sz w:val="36"/>
      <w:szCs w:val="36"/>
    </w:rPr>
  </w:style>
  <w:style w:type="character" w:customStyle="1" w:styleId="af8">
    <w:name w:val="Подзаголовок Знак"/>
    <w:basedOn w:val="a3"/>
    <w:link w:val="af6"/>
    <w:uiPriority w:val="11"/>
    <w:rsid w:val="00F527CC"/>
    <w:rPr>
      <w:rFonts w:eastAsiaTheme="minorEastAsia"/>
      <w:spacing w:val="15"/>
      <w:sz w:val="36"/>
      <w:szCs w:val="36"/>
      <w:lang w:val="en-US"/>
    </w:rPr>
  </w:style>
  <w:style w:type="paragraph" w:customStyle="1" w:styleId="Bullet1">
    <w:name w:val="Bullet 1"/>
    <w:basedOn w:val="a2"/>
    <w:uiPriority w:val="32"/>
    <w:qFormat/>
    <w:rsid w:val="00F527CC"/>
    <w:pPr>
      <w:numPr>
        <w:numId w:val="11"/>
      </w:numPr>
      <w:spacing w:after="160" w:line="260" w:lineRule="atLeast"/>
    </w:pPr>
    <w:rPr>
      <w:szCs w:val="20"/>
    </w:rPr>
  </w:style>
  <w:style w:type="paragraph" w:customStyle="1" w:styleId="Bullet2">
    <w:name w:val="Bullet 2"/>
    <w:basedOn w:val="a2"/>
    <w:uiPriority w:val="32"/>
    <w:qFormat/>
    <w:rsid w:val="00F527CC"/>
    <w:pPr>
      <w:numPr>
        <w:ilvl w:val="1"/>
        <w:numId w:val="11"/>
      </w:numPr>
      <w:spacing w:after="160" w:line="260" w:lineRule="atLeast"/>
    </w:pPr>
    <w:rPr>
      <w:szCs w:val="20"/>
    </w:rPr>
  </w:style>
  <w:style w:type="numbering" w:customStyle="1" w:styleId="NumbLstBullet">
    <w:name w:val="NumbLstBullet"/>
    <w:uiPriority w:val="99"/>
    <w:rsid w:val="00F527CC"/>
    <w:pPr>
      <w:numPr>
        <w:numId w:val="11"/>
      </w:numPr>
    </w:pPr>
  </w:style>
  <w:style w:type="paragraph" w:customStyle="1" w:styleId="AlphaList1">
    <w:name w:val="AlphaList 1"/>
    <w:basedOn w:val="a2"/>
    <w:uiPriority w:val="31"/>
    <w:qFormat/>
    <w:rsid w:val="00F527CC"/>
    <w:pPr>
      <w:numPr>
        <w:numId w:val="14"/>
      </w:numPr>
      <w:spacing w:after="160" w:line="260" w:lineRule="atLeast"/>
    </w:pPr>
    <w:rPr>
      <w:szCs w:val="20"/>
    </w:rPr>
  </w:style>
  <w:style w:type="paragraph" w:customStyle="1" w:styleId="AlphaList2">
    <w:name w:val="AlphaList 2"/>
    <w:basedOn w:val="a2"/>
    <w:uiPriority w:val="31"/>
    <w:qFormat/>
    <w:rsid w:val="00F527CC"/>
    <w:pPr>
      <w:numPr>
        <w:ilvl w:val="1"/>
        <w:numId w:val="14"/>
      </w:numPr>
      <w:spacing w:after="160" w:line="260" w:lineRule="atLeast"/>
    </w:pPr>
    <w:rPr>
      <w:szCs w:val="20"/>
    </w:rPr>
  </w:style>
  <w:style w:type="numbering" w:customStyle="1" w:styleId="NumbListAlpha">
    <w:name w:val="NumbListAlpha"/>
    <w:uiPriority w:val="99"/>
    <w:rsid w:val="00F527CC"/>
    <w:pPr>
      <w:numPr>
        <w:numId w:val="12"/>
      </w:numPr>
    </w:pPr>
  </w:style>
  <w:style w:type="paragraph" w:customStyle="1" w:styleId="Bullet3">
    <w:name w:val="Bullet 3"/>
    <w:basedOn w:val="a2"/>
    <w:uiPriority w:val="32"/>
    <w:rsid w:val="00F527CC"/>
    <w:pPr>
      <w:numPr>
        <w:ilvl w:val="2"/>
        <w:numId w:val="11"/>
      </w:numPr>
      <w:jc w:val="both"/>
    </w:pPr>
    <w:rPr>
      <w:szCs w:val="20"/>
    </w:rPr>
  </w:style>
  <w:style w:type="numbering" w:customStyle="1" w:styleId="NumHeadingsLst">
    <w:name w:val="NumHeadingsLst"/>
    <w:uiPriority w:val="99"/>
    <w:rsid w:val="00F527CC"/>
    <w:pPr>
      <w:numPr>
        <w:numId w:val="13"/>
      </w:numPr>
    </w:pPr>
  </w:style>
  <w:style w:type="paragraph" w:styleId="23">
    <w:name w:val="Quote"/>
    <w:basedOn w:val="a2"/>
    <w:next w:val="a2"/>
    <w:link w:val="24"/>
    <w:uiPriority w:val="39"/>
    <w:unhideWhenUsed/>
    <w:qFormat/>
    <w:rsid w:val="00F527CC"/>
    <w:pPr>
      <w:spacing w:before="200"/>
      <w:ind w:left="794" w:right="794"/>
    </w:pPr>
  </w:style>
  <w:style w:type="character" w:customStyle="1" w:styleId="24">
    <w:name w:val="Цитата 2 Знак"/>
    <w:basedOn w:val="a3"/>
    <w:link w:val="23"/>
    <w:uiPriority w:val="39"/>
    <w:rsid w:val="00F527CC"/>
    <w:rPr>
      <w:lang w:val="en-US"/>
    </w:rPr>
  </w:style>
  <w:style w:type="paragraph" w:styleId="11">
    <w:name w:val="toc 1"/>
    <w:basedOn w:val="a2"/>
    <w:next w:val="a2"/>
    <w:autoRedefine/>
    <w:uiPriority w:val="39"/>
    <w:rsid w:val="00F527CC"/>
    <w:pPr>
      <w:tabs>
        <w:tab w:val="left" w:pos="567"/>
        <w:tab w:val="right" w:pos="9628"/>
      </w:tabs>
      <w:spacing w:before="540" w:after="100" w:line="420" w:lineRule="atLeast"/>
      <w:ind w:left="567" w:right="567" w:hanging="567"/>
    </w:pPr>
    <w:rPr>
      <w:noProof/>
      <w:sz w:val="36"/>
      <w:szCs w:val="36"/>
    </w:rPr>
  </w:style>
  <w:style w:type="paragraph" w:styleId="25">
    <w:name w:val="toc 2"/>
    <w:basedOn w:val="a2"/>
    <w:next w:val="a2"/>
    <w:autoRedefine/>
    <w:uiPriority w:val="39"/>
    <w:rsid w:val="00F527CC"/>
    <w:pPr>
      <w:tabs>
        <w:tab w:val="left" w:pos="567"/>
      </w:tabs>
      <w:spacing w:after="100" w:line="300" w:lineRule="atLeast"/>
      <w:ind w:left="567" w:right="567" w:hanging="567"/>
    </w:pPr>
    <w:rPr>
      <w:szCs w:val="20"/>
    </w:rPr>
  </w:style>
  <w:style w:type="character" w:styleId="af9">
    <w:name w:val="Hyperlink"/>
    <w:basedOn w:val="a3"/>
    <w:uiPriority w:val="99"/>
    <w:rsid w:val="00F527CC"/>
    <w:rPr>
      <w:color w:val="0563C1" w:themeColor="hyperlink"/>
      <w:u w:val="single"/>
      <w:lang w:val="en-US"/>
    </w:rPr>
  </w:style>
  <w:style w:type="paragraph" w:styleId="33">
    <w:name w:val="toc 3"/>
    <w:basedOn w:val="a2"/>
    <w:next w:val="a2"/>
    <w:autoRedefine/>
    <w:uiPriority w:val="39"/>
    <w:semiHidden/>
    <w:unhideWhenUsed/>
    <w:rsid w:val="00F527CC"/>
    <w:pPr>
      <w:spacing w:after="100"/>
      <w:ind w:left="440"/>
    </w:pPr>
  </w:style>
  <w:style w:type="paragraph" w:styleId="43">
    <w:name w:val="toc 4"/>
    <w:basedOn w:val="a2"/>
    <w:next w:val="a2"/>
    <w:autoRedefine/>
    <w:uiPriority w:val="39"/>
    <w:semiHidden/>
    <w:unhideWhenUsed/>
    <w:rsid w:val="00F527CC"/>
    <w:pPr>
      <w:spacing w:after="100"/>
      <w:ind w:left="660"/>
    </w:pPr>
  </w:style>
  <w:style w:type="paragraph" w:customStyle="1" w:styleId="Heading1NonNumbNoTOC">
    <w:name w:val="Heading 1 Non Numb No TOC"/>
    <w:basedOn w:val="a2"/>
    <w:next w:val="a2"/>
    <w:uiPriority w:val="10"/>
    <w:unhideWhenUsed/>
    <w:qFormat/>
    <w:rsid w:val="00F527CC"/>
    <w:pPr>
      <w:keepNext/>
      <w:pageBreakBefore/>
      <w:spacing w:before="260" w:after="1000" w:line="420" w:lineRule="atLeast"/>
    </w:pPr>
    <w:rPr>
      <w:rFonts w:cs="Arial"/>
      <w:sz w:val="36"/>
      <w:szCs w:val="36"/>
    </w:rPr>
  </w:style>
  <w:style w:type="paragraph" w:customStyle="1" w:styleId="CoverPageTitle">
    <w:name w:val="Cover Page Title"/>
    <w:basedOn w:val="a2"/>
    <w:uiPriority w:val="53"/>
    <w:qFormat/>
    <w:rsid w:val="00F527CC"/>
    <w:pPr>
      <w:spacing w:before="200" w:after="200"/>
      <w:contextualSpacing/>
      <w:jc w:val="center"/>
    </w:pPr>
    <w:rPr>
      <w:bCs/>
      <w:color w:val="1E1E1E" w:themeColor="background2"/>
      <w:kern w:val="40"/>
      <w:sz w:val="80"/>
      <w:szCs w:val="80"/>
    </w:rPr>
  </w:style>
  <w:style w:type="paragraph" w:customStyle="1" w:styleId="CoverPageDate">
    <w:name w:val="Cover Page Date"/>
    <w:basedOn w:val="a2"/>
    <w:uiPriority w:val="53"/>
    <w:qFormat/>
    <w:rsid w:val="00F527CC"/>
    <w:pPr>
      <w:jc w:val="center"/>
    </w:pPr>
    <w:rPr>
      <w:b/>
      <w:caps/>
    </w:rPr>
  </w:style>
  <w:style w:type="paragraph" w:styleId="afa">
    <w:name w:val="Balloon Text"/>
    <w:basedOn w:val="a2"/>
    <w:link w:val="afb"/>
    <w:uiPriority w:val="99"/>
    <w:semiHidden/>
    <w:unhideWhenUsed/>
    <w:rsid w:val="00F527CC"/>
    <w:pPr>
      <w:spacing w:after="0" w:line="240" w:lineRule="auto"/>
    </w:pPr>
    <w:rPr>
      <w:rFonts w:ascii="Segoe UI" w:hAnsi="Segoe UI" w:cs="Segoe UI"/>
      <w:sz w:val="18"/>
      <w:szCs w:val="18"/>
    </w:rPr>
  </w:style>
  <w:style w:type="character" w:customStyle="1" w:styleId="afb">
    <w:name w:val="Текст выноски Знак"/>
    <w:basedOn w:val="a3"/>
    <w:link w:val="afa"/>
    <w:uiPriority w:val="99"/>
    <w:semiHidden/>
    <w:rsid w:val="00F527CC"/>
    <w:rPr>
      <w:rFonts w:ascii="Segoe UI" w:hAnsi="Segoe UI" w:cs="Segoe UI"/>
      <w:sz w:val="18"/>
      <w:szCs w:val="18"/>
      <w:lang w:val="en-US"/>
    </w:rPr>
  </w:style>
  <w:style w:type="paragraph" w:styleId="afc">
    <w:name w:val="Body Text Indent"/>
    <w:basedOn w:val="a2"/>
    <w:link w:val="afd"/>
    <w:uiPriority w:val="34"/>
    <w:rsid w:val="00F527CC"/>
    <w:pPr>
      <w:ind w:left="397"/>
    </w:pPr>
    <w:rPr>
      <w:noProof/>
    </w:rPr>
  </w:style>
  <w:style w:type="character" w:customStyle="1" w:styleId="afd">
    <w:name w:val="Основной текст с отступом Знак"/>
    <w:basedOn w:val="a3"/>
    <w:link w:val="afc"/>
    <w:uiPriority w:val="34"/>
    <w:rsid w:val="00F527CC"/>
    <w:rPr>
      <w:noProof/>
      <w:lang w:val="en-US"/>
    </w:rPr>
  </w:style>
  <w:style w:type="paragraph" w:styleId="26">
    <w:name w:val="Body Text Indent 2"/>
    <w:basedOn w:val="afc"/>
    <w:link w:val="27"/>
    <w:uiPriority w:val="34"/>
    <w:rsid w:val="00F527CC"/>
    <w:pPr>
      <w:ind w:left="794"/>
    </w:pPr>
  </w:style>
  <w:style w:type="character" w:customStyle="1" w:styleId="27">
    <w:name w:val="Основной текст с отступом 2 Знак"/>
    <w:basedOn w:val="a3"/>
    <w:link w:val="26"/>
    <w:uiPriority w:val="34"/>
    <w:rsid w:val="00F527CC"/>
    <w:rPr>
      <w:noProof/>
      <w:lang w:val="en-US"/>
    </w:rPr>
  </w:style>
  <w:style w:type="paragraph" w:customStyle="1" w:styleId="HeaderHidden">
    <w:name w:val="HeaderHidden"/>
    <w:basedOn w:val="a6"/>
    <w:uiPriority w:val="5"/>
    <w:qFormat/>
    <w:rsid w:val="00F527CC"/>
    <w:rPr>
      <w:color w:val="FFFFFF" w:themeColor="text2"/>
    </w:rPr>
  </w:style>
  <w:style w:type="character" w:customStyle="1" w:styleId="32">
    <w:name w:val="Заголовок 3 Знак"/>
    <w:basedOn w:val="a3"/>
    <w:link w:val="31"/>
    <w:uiPriority w:val="9"/>
    <w:semiHidden/>
    <w:rsid w:val="00F527CC"/>
    <w:rPr>
      <w:rFonts w:eastAsiaTheme="majorEastAsia" w:cs="Arial"/>
      <w:b/>
      <w:szCs w:val="24"/>
      <w:lang w:val="en-US"/>
    </w:rPr>
  </w:style>
  <w:style w:type="character" w:customStyle="1" w:styleId="42">
    <w:name w:val="Заголовок 4 Знак"/>
    <w:basedOn w:val="a3"/>
    <w:link w:val="41"/>
    <w:uiPriority w:val="9"/>
    <w:semiHidden/>
    <w:rsid w:val="00F527CC"/>
    <w:rPr>
      <w:rFonts w:eastAsiaTheme="majorEastAsia" w:cs="Arial"/>
      <w:i/>
      <w:iCs/>
      <w:color w:val="939599" w:themeColor="accent1" w:themeShade="BF"/>
      <w:lang w:val="en-US"/>
    </w:rPr>
  </w:style>
  <w:style w:type="character" w:customStyle="1" w:styleId="52">
    <w:name w:val="Заголовок 5 Знак"/>
    <w:basedOn w:val="a3"/>
    <w:link w:val="51"/>
    <w:uiPriority w:val="9"/>
    <w:semiHidden/>
    <w:rsid w:val="00F527CC"/>
    <w:rPr>
      <w:rFonts w:eastAsiaTheme="majorEastAsia" w:cs="Arial"/>
      <w:color w:val="939599" w:themeColor="accent1" w:themeShade="BF"/>
      <w:lang w:val="en-US"/>
    </w:rPr>
  </w:style>
  <w:style w:type="character" w:customStyle="1" w:styleId="60">
    <w:name w:val="Заголовок 6 Знак"/>
    <w:basedOn w:val="a3"/>
    <w:link w:val="6"/>
    <w:uiPriority w:val="9"/>
    <w:semiHidden/>
    <w:rsid w:val="00F527CC"/>
    <w:rPr>
      <w:rFonts w:eastAsiaTheme="majorEastAsia" w:cs="Arial"/>
      <w:color w:val="616266" w:themeColor="accent1" w:themeShade="7F"/>
      <w:lang w:val="en-US"/>
    </w:rPr>
  </w:style>
  <w:style w:type="character" w:customStyle="1" w:styleId="70">
    <w:name w:val="Заголовок 7 Знак"/>
    <w:basedOn w:val="a3"/>
    <w:link w:val="7"/>
    <w:uiPriority w:val="9"/>
    <w:semiHidden/>
    <w:rsid w:val="00F527CC"/>
    <w:rPr>
      <w:rFonts w:eastAsiaTheme="majorEastAsia" w:cs="Arial"/>
      <w:i/>
      <w:iCs/>
      <w:color w:val="616266" w:themeColor="accent1" w:themeShade="7F"/>
      <w:lang w:val="en-US"/>
    </w:rPr>
  </w:style>
  <w:style w:type="character" w:customStyle="1" w:styleId="80">
    <w:name w:val="Заголовок 8 Знак"/>
    <w:basedOn w:val="a3"/>
    <w:link w:val="8"/>
    <w:uiPriority w:val="9"/>
    <w:semiHidden/>
    <w:rsid w:val="00F527CC"/>
    <w:rPr>
      <w:rFonts w:eastAsiaTheme="majorEastAsia" w:cs="Arial"/>
      <w:color w:val="5D5D5D" w:themeColor="text1" w:themeTint="D8"/>
      <w:sz w:val="21"/>
      <w:szCs w:val="21"/>
      <w:lang w:val="en-US"/>
    </w:rPr>
  </w:style>
  <w:style w:type="character" w:customStyle="1" w:styleId="90">
    <w:name w:val="Заголовок 9 Знак"/>
    <w:basedOn w:val="a3"/>
    <w:link w:val="9"/>
    <w:uiPriority w:val="9"/>
    <w:semiHidden/>
    <w:rsid w:val="00F527CC"/>
    <w:rPr>
      <w:rFonts w:eastAsiaTheme="majorEastAsia" w:cs="Arial"/>
      <w:i/>
      <w:iCs/>
      <w:color w:val="5D5D5D" w:themeColor="text1" w:themeTint="D8"/>
      <w:sz w:val="21"/>
      <w:szCs w:val="21"/>
      <w:lang w:val="en-US"/>
    </w:rPr>
  </w:style>
  <w:style w:type="numbering" w:styleId="111111">
    <w:name w:val="Outline List 2"/>
    <w:basedOn w:val="a5"/>
    <w:uiPriority w:val="99"/>
    <w:semiHidden/>
    <w:unhideWhenUsed/>
    <w:rsid w:val="00F527CC"/>
    <w:pPr>
      <w:numPr>
        <w:numId w:val="15"/>
      </w:numPr>
    </w:pPr>
  </w:style>
  <w:style w:type="numbering" w:styleId="1ai">
    <w:name w:val="Outline List 1"/>
    <w:basedOn w:val="a5"/>
    <w:uiPriority w:val="99"/>
    <w:semiHidden/>
    <w:unhideWhenUsed/>
    <w:rsid w:val="00F527CC"/>
    <w:pPr>
      <w:numPr>
        <w:numId w:val="16"/>
      </w:numPr>
    </w:pPr>
  </w:style>
  <w:style w:type="numbering" w:styleId="a1">
    <w:name w:val="Outline List 3"/>
    <w:basedOn w:val="a5"/>
    <w:uiPriority w:val="99"/>
    <w:semiHidden/>
    <w:unhideWhenUsed/>
    <w:rsid w:val="00F527CC"/>
    <w:pPr>
      <w:numPr>
        <w:numId w:val="17"/>
      </w:numPr>
    </w:pPr>
  </w:style>
  <w:style w:type="paragraph" w:styleId="afe">
    <w:name w:val="Bibliography"/>
    <w:basedOn w:val="a2"/>
    <w:next w:val="a2"/>
    <w:uiPriority w:val="37"/>
    <w:semiHidden/>
    <w:unhideWhenUsed/>
    <w:rsid w:val="00F527CC"/>
  </w:style>
  <w:style w:type="paragraph" w:styleId="aff">
    <w:name w:val="Block Text"/>
    <w:basedOn w:val="a2"/>
    <w:uiPriority w:val="99"/>
    <w:semiHidden/>
    <w:unhideWhenUsed/>
    <w:rsid w:val="00F527CC"/>
    <w:pPr>
      <w:pBdr>
        <w:top w:val="single" w:sz="2" w:space="10" w:color="C7C8CA" w:themeColor="accent1" w:frame="1"/>
        <w:left w:val="single" w:sz="2" w:space="10" w:color="C7C8CA" w:themeColor="accent1" w:frame="1"/>
        <w:bottom w:val="single" w:sz="2" w:space="10" w:color="C7C8CA" w:themeColor="accent1" w:frame="1"/>
        <w:right w:val="single" w:sz="2" w:space="10" w:color="C7C8CA" w:themeColor="accent1" w:frame="1"/>
      </w:pBdr>
      <w:ind w:left="1152" w:right="1152"/>
    </w:pPr>
    <w:rPr>
      <w:rFonts w:eastAsiaTheme="minorEastAsia" w:cs="Arial"/>
      <w:i/>
      <w:iCs/>
      <w:color w:val="C7C8CA" w:themeColor="accent1"/>
    </w:rPr>
  </w:style>
  <w:style w:type="paragraph" w:styleId="aff0">
    <w:name w:val="Body Text"/>
    <w:basedOn w:val="a2"/>
    <w:link w:val="aff1"/>
    <w:uiPriority w:val="99"/>
    <w:semiHidden/>
    <w:unhideWhenUsed/>
    <w:rsid w:val="00F527CC"/>
  </w:style>
  <w:style w:type="character" w:customStyle="1" w:styleId="aff1">
    <w:name w:val="Основной текст Знак"/>
    <w:basedOn w:val="a3"/>
    <w:link w:val="aff0"/>
    <w:uiPriority w:val="99"/>
    <w:semiHidden/>
    <w:rsid w:val="00F527CC"/>
    <w:rPr>
      <w:lang w:val="en-US"/>
    </w:rPr>
  </w:style>
  <w:style w:type="paragraph" w:styleId="28">
    <w:name w:val="Body Text 2"/>
    <w:basedOn w:val="a2"/>
    <w:link w:val="29"/>
    <w:uiPriority w:val="99"/>
    <w:semiHidden/>
    <w:unhideWhenUsed/>
    <w:rsid w:val="00F527CC"/>
    <w:pPr>
      <w:spacing w:line="480" w:lineRule="auto"/>
    </w:pPr>
  </w:style>
  <w:style w:type="character" w:customStyle="1" w:styleId="29">
    <w:name w:val="Основной текст 2 Знак"/>
    <w:basedOn w:val="a3"/>
    <w:link w:val="28"/>
    <w:uiPriority w:val="99"/>
    <w:semiHidden/>
    <w:rsid w:val="00F527CC"/>
    <w:rPr>
      <w:lang w:val="en-US"/>
    </w:rPr>
  </w:style>
  <w:style w:type="paragraph" w:styleId="34">
    <w:name w:val="Body Text 3"/>
    <w:basedOn w:val="a2"/>
    <w:link w:val="35"/>
    <w:uiPriority w:val="99"/>
    <w:semiHidden/>
    <w:unhideWhenUsed/>
    <w:rsid w:val="00F527CC"/>
    <w:rPr>
      <w:sz w:val="16"/>
      <w:szCs w:val="16"/>
    </w:rPr>
  </w:style>
  <w:style w:type="character" w:customStyle="1" w:styleId="35">
    <w:name w:val="Основной текст 3 Знак"/>
    <w:basedOn w:val="a3"/>
    <w:link w:val="34"/>
    <w:uiPriority w:val="99"/>
    <w:semiHidden/>
    <w:rsid w:val="00F527CC"/>
    <w:rPr>
      <w:sz w:val="16"/>
      <w:szCs w:val="16"/>
      <w:lang w:val="en-US"/>
    </w:rPr>
  </w:style>
  <w:style w:type="paragraph" w:styleId="aff2">
    <w:name w:val="Body Text First Indent"/>
    <w:basedOn w:val="aff0"/>
    <w:link w:val="aff3"/>
    <w:uiPriority w:val="99"/>
    <w:semiHidden/>
    <w:unhideWhenUsed/>
    <w:rsid w:val="00F527CC"/>
    <w:pPr>
      <w:ind w:firstLine="360"/>
    </w:pPr>
  </w:style>
  <w:style w:type="character" w:customStyle="1" w:styleId="aff3">
    <w:name w:val="Красная строка Знак"/>
    <w:basedOn w:val="aff1"/>
    <w:link w:val="aff2"/>
    <w:uiPriority w:val="99"/>
    <w:semiHidden/>
    <w:rsid w:val="00F527CC"/>
    <w:rPr>
      <w:lang w:val="en-US"/>
    </w:rPr>
  </w:style>
  <w:style w:type="paragraph" w:styleId="2a">
    <w:name w:val="Body Text First Indent 2"/>
    <w:basedOn w:val="afc"/>
    <w:link w:val="2b"/>
    <w:uiPriority w:val="99"/>
    <w:semiHidden/>
    <w:unhideWhenUsed/>
    <w:rsid w:val="00F527CC"/>
    <w:pPr>
      <w:ind w:left="360" w:firstLine="360"/>
    </w:pPr>
  </w:style>
  <w:style w:type="character" w:customStyle="1" w:styleId="2b">
    <w:name w:val="Красная строка 2 Знак"/>
    <w:basedOn w:val="afd"/>
    <w:link w:val="2a"/>
    <w:uiPriority w:val="99"/>
    <w:semiHidden/>
    <w:rsid w:val="00F527CC"/>
    <w:rPr>
      <w:noProof/>
      <w:lang w:val="en-US"/>
    </w:rPr>
  </w:style>
  <w:style w:type="paragraph" w:styleId="36">
    <w:name w:val="Body Text Indent 3"/>
    <w:basedOn w:val="a2"/>
    <w:link w:val="37"/>
    <w:uiPriority w:val="99"/>
    <w:semiHidden/>
    <w:unhideWhenUsed/>
    <w:rsid w:val="00F527CC"/>
    <w:pPr>
      <w:ind w:left="283"/>
    </w:pPr>
    <w:rPr>
      <w:sz w:val="16"/>
      <w:szCs w:val="16"/>
    </w:rPr>
  </w:style>
  <w:style w:type="character" w:customStyle="1" w:styleId="37">
    <w:name w:val="Основной текст с отступом 3 Знак"/>
    <w:basedOn w:val="a3"/>
    <w:link w:val="36"/>
    <w:uiPriority w:val="99"/>
    <w:semiHidden/>
    <w:rsid w:val="00F527CC"/>
    <w:rPr>
      <w:sz w:val="16"/>
      <w:szCs w:val="16"/>
      <w:lang w:val="en-US"/>
    </w:rPr>
  </w:style>
  <w:style w:type="character" w:styleId="aff4">
    <w:name w:val="Book Title"/>
    <w:basedOn w:val="a3"/>
    <w:uiPriority w:val="33"/>
    <w:qFormat/>
    <w:rsid w:val="00F527CC"/>
    <w:rPr>
      <w:b/>
      <w:bCs/>
      <w:i/>
      <w:iCs/>
      <w:spacing w:val="5"/>
      <w:lang w:val="en-US"/>
    </w:rPr>
  </w:style>
  <w:style w:type="paragraph" w:styleId="aff5">
    <w:name w:val="caption"/>
    <w:basedOn w:val="a2"/>
    <w:next w:val="a2"/>
    <w:uiPriority w:val="35"/>
    <w:semiHidden/>
    <w:unhideWhenUsed/>
    <w:qFormat/>
    <w:rsid w:val="00F527CC"/>
    <w:pPr>
      <w:spacing w:after="200" w:line="240" w:lineRule="auto"/>
    </w:pPr>
    <w:rPr>
      <w:i/>
      <w:iCs/>
      <w:color w:val="FFFFFF" w:themeColor="text2"/>
      <w:sz w:val="18"/>
      <w:szCs w:val="18"/>
    </w:rPr>
  </w:style>
  <w:style w:type="paragraph" w:styleId="aff6">
    <w:name w:val="Closing"/>
    <w:basedOn w:val="a2"/>
    <w:link w:val="aff7"/>
    <w:uiPriority w:val="99"/>
    <w:semiHidden/>
    <w:unhideWhenUsed/>
    <w:rsid w:val="00F527CC"/>
    <w:pPr>
      <w:spacing w:after="0" w:line="240" w:lineRule="auto"/>
      <w:ind w:left="4252"/>
    </w:pPr>
  </w:style>
  <w:style w:type="character" w:customStyle="1" w:styleId="aff7">
    <w:name w:val="Прощание Знак"/>
    <w:basedOn w:val="a3"/>
    <w:link w:val="aff6"/>
    <w:uiPriority w:val="99"/>
    <w:semiHidden/>
    <w:rsid w:val="00F527CC"/>
    <w:rPr>
      <w:lang w:val="en-US"/>
    </w:rPr>
  </w:style>
  <w:style w:type="table" w:styleId="aff8">
    <w:name w:val="Colorful Grid"/>
    <w:basedOn w:val="a4"/>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8D8D8" w:themeFill="text1" w:themeFillTint="33"/>
    </w:tcPr>
    <w:tblStylePr w:type="firstRow">
      <w:rPr>
        <w:b/>
        <w:bCs/>
      </w:rPr>
      <w:tblPr/>
      <w:tcPr>
        <w:shd w:val="clear" w:color="auto" w:fill="B2B2B2" w:themeFill="text1" w:themeFillTint="66"/>
      </w:tcPr>
    </w:tblStylePr>
    <w:tblStylePr w:type="lastRow">
      <w:rPr>
        <w:b/>
        <w:bCs/>
        <w:color w:val="404040" w:themeColor="text1"/>
      </w:rPr>
      <w:tblPr/>
      <w:tcPr>
        <w:shd w:val="clear" w:color="auto" w:fill="B2B2B2" w:themeFill="text1" w:themeFillTint="66"/>
      </w:tcPr>
    </w:tblStylePr>
    <w:tblStylePr w:type="firstCol">
      <w:rPr>
        <w:color w:val="FFFFFF" w:themeColor="background1"/>
      </w:rPr>
      <w:tblPr/>
      <w:tcPr>
        <w:shd w:val="clear" w:color="auto" w:fill="2F2F2F" w:themeFill="text1" w:themeFillShade="BF"/>
      </w:tcPr>
    </w:tblStylePr>
    <w:tblStylePr w:type="lastCol">
      <w:rPr>
        <w:color w:val="FFFFFF" w:themeColor="background1"/>
      </w:rPr>
      <w:tblPr/>
      <w:tcPr>
        <w:shd w:val="clear" w:color="auto" w:fill="2F2F2F" w:themeFill="text1" w:themeFillShade="BF"/>
      </w:tc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1">
    <w:name w:val="Colorful Grid Accent 1"/>
    <w:basedOn w:val="a4"/>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3F3F4" w:themeFill="accent1" w:themeFillTint="33"/>
    </w:tcPr>
    <w:tblStylePr w:type="firstRow">
      <w:rPr>
        <w:b/>
        <w:bCs/>
      </w:rPr>
      <w:tblPr/>
      <w:tcPr>
        <w:shd w:val="clear" w:color="auto" w:fill="E8E8E9" w:themeFill="accent1" w:themeFillTint="66"/>
      </w:tcPr>
    </w:tblStylePr>
    <w:tblStylePr w:type="lastRow">
      <w:rPr>
        <w:b/>
        <w:bCs/>
        <w:color w:val="404040" w:themeColor="text1"/>
      </w:rPr>
      <w:tblPr/>
      <w:tcPr>
        <w:shd w:val="clear" w:color="auto" w:fill="E8E8E9" w:themeFill="accent1" w:themeFillTint="66"/>
      </w:tcPr>
    </w:tblStylePr>
    <w:tblStylePr w:type="firstCol">
      <w:rPr>
        <w:color w:val="FFFFFF" w:themeColor="background1"/>
      </w:rPr>
      <w:tblPr/>
      <w:tcPr>
        <w:shd w:val="clear" w:color="auto" w:fill="939599" w:themeFill="accent1" w:themeFillShade="BF"/>
      </w:tcPr>
    </w:tblStylePr>
    <w:tblStylePr w:type="lastCol">
      <w:rPr>
        <w:color w:val="FFFFFF" w:themeColor="background1"/>
      </w:rPr>
      <w:tblPr/>
      <w:tcPr>
        <w:shd w:val="clear" w:color="auto" w:fill="939599" w:themeFill="accent1" w:themeFillShade="BF"/>
      </w:tcPr>
    </w:tblStylePr>
    <w:tblStylePr w:type="band1Vert">
      <w:tblPr/>
      <w:tcPr>
        <w:shd w:val="clear" w:color="auto" w:fill="E3E3E4" w:themeFill="accent1" w:themeFillTint="7F"/>
      </w:tcPr>
    </w:tblStylePr>
    <w:tblStylePr w:type="band1Horz">
      <w:tblPr/>
      <w:tcPr>
        <w:shd w:val="clear" w:color="auto" w:fill="E3E3E4" w:themeFill="accent1" w:themeFillTint="7F"/>
      </w:tcPr>
    </w:tblStylePr>
  </w:style>
  <w:style w:type="table" w:styleId="-2">
    <w:name w:val="Colorful Grid Accent 2"/>
    <w:basedOn w:val="a4"/>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9E9EA" w:themeFill="accent2" w:themeFillTint="33"/>
    </w:tcPr>
    <w:tblStylePr w:type="firstRow">
      <w:rPr>
        <w:b/>
        <w:bCs/>
      </w:rPr>
      <w:tblPr/>
      <w:tcPr>
        <w:shd w:val="clear" w:color="auto" w:fill="D3D4D5" w:themeFill="accent2" w:themeFillTint="66"/>
      </w:tcPr>
    </w:tblStylePr>
    <w:tblStylePr w:type="lastRow">
      <w:rPr>
        <w:b/>
        <w:bCs/>
        <w:color w:val="404040" w:themeColor="text1"/>
      </w:rPr>
      <w:tblPr/>
      <w:tcPr>
        <w:shd w:val="clear" w:color="auto" w:fill="D3D4D5" w:themeFill="accent2" w:themeFillTint="66"/>
      </w:tcPr>
    </w:tblStylePr>
    <w:tblStylePr w:type="firstCol">
      <w:rPr>
        <w:color w:val="FFFFFF" w:themeColor="background1"/>
      </w:rPr>
      <w:tblPr/>
      <w:tcPr>
        <w:shd w:val="clear" w:color="auto" w:fill="6D6F72" w:themeFill="accent2" w:themeFillShade="BF"/>
      </w:tcPr>
    </w:tblStylePr>
    <w:tblStylePr w:type="lastCol">
      <w:rPr>
        <w:color w:val="FFFFFF" w:themeColor="background1"/>
      </w:rPr>
      <w:tblPr/>
      <w:tcPr>
        <w:shd w:val="clear" w:color="auto" w:fill="6D6F72" w:themeFill="accent2" w:themeFillShade="BF"/>
      </w:tcPr>
    </w:tblStylePr>
    <w:tblStylePr w:type="band1Vert">
      <w:tblPr/>
      <w:tcPr>
        <w:shd w:val="clear" w:color="auto" w:fill="C9CACB" w:themeFill="accent2" w:themeFillTint="7F"/>
      </w:tcPr>
    </w:tblStylePr>
    <w:tblStylePr w:type="band1Horz">
      <w:tblPr/>
      <w:tcPr>
        <w:shd w:val="clear" w:color="auto" w:fill="C9CACB" w:themeFill="accent2" w:themeFillTint="7F"/>
      </w:tcPr>
    </w:tblStylePr>
  </w:style>
  <w:style w:type="table" w:styleId="-3">
    <w:name w:val="Colorful Grid Accent 3"/>
    <w:basedOn w:val="a4"/>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FDFE0" w:themeFill="accent3" w:themeFillTint="33"/>
    </w:tcPr>
    <w:tblStylePr w:type="firstRow">
      <w:rPr>
        <w:b/>
        <w:bCs/>
      </w:rPr>
      <w:tblPr/>
      <w:tcPr>
        <w:shd w:val="clear" w:color="auto" w:fill="C0C0C2" w:themeFill="accent3" w:themeFillTint="66"/>
      </w:tcPr>
    </w:tblStylePr>
    <w:tblStylePr w:type="lastRow">
      <w:rPr>
        <w:b/>
        <w:bCs/>
        <w:color w:val="404040" w:themeColor="text1"/>
      </w:rPr>
      <w:tblPr/>
      <w:tcPr>
        <w:shd w:val="clear" w:color="auto" w:fill="C0C0C2" w:themeFill="accent3" w:themeFillTint="66"/>
      </w:tcPr>
    </w:tblStylePr>
    <w:tblStylePr w:type="firstCol">
      <w:rPr>
        <w:color w:val="FFFFFF" w:themeColor="background1"/>
      </w:rPr>
      <w:tblPr/>
      <w:tcPr>
        <w:shd w:val="clear" w:color="auto" w:fill="4A4A4C" w:themeFill="accent3" w:themeFillShade="BF"/>
      </w:tcPr>
    </w:tblStylePr>
    <w:tblStylePr w:type="lastCol">
      <w:rPr>
        <w:color w:val="FFFFFF" w:themeColor="background1"/>
      </w:rPr>
      <w:tblPr/>
      <w:tcPr>
        <w:shd w:val="clear" w:color="auto" w:fill="4A4A4C" w:themeFill="accent3" w:themeFillShade="BF"/>
      </w:tcPr>
    </w:tblStylePr>
    <w:tblStylePr w:type="band1Vert">
      <w:tblPr/>
      <w:tcPr>
        <w:shd w:val="clear" w:color="auto" w:fill="B0B1B3" w:themeFill="accent3" w:themeFillTint="7F"/>
      </w:tcPr>
    </w:tblStylePr>
    <w:tblStylePr w:type="band1Horz">
      <w:tblPr/>
      <w:tcPr>
        <w:shd w:val="clear" w:color="auto" w:fill="B0B1B3" w:themeFill="accent3" w:themeFillTint="7F"/>
      </w:tcPr>
    </w:tblStylePr>
  </w:style>
  <w:style w:type="table" w:styleId="-4">
    <w:name w:val="Colorful Grid Accent 4"/>
    <w:basedOn w:val="a4"/>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7CFD2" w:themeFill="accent4" w:themeFillTint="33"/>
    </w:tcPr>
    <w:tblStylePr w:type="firstRow">
      <w:rPr>
        <w:b/>
        <w:bCs/>
      </w:rPr>
      <w:tblPr/>
      <w:tcPr>
        <w:shd w:val="clear" w:color="auto" w:fill="F0A0A5" w:themeFill="accent4" w:themeFillTint="66"/>
      </w:tcPr>
    </w:tblStylePr>
    <w:tblStylePr w:type="lastRow">
      <w:rPr>
        <w:b/>
        <w:bCs/>
        <w:color w:val="404040" w:themeColor="text1"/>
      </w:rPr>
      <w:tblPr/>
      <w:tcPr>
        <w:shd w:val="clear" w:color="auto" w:fill="F0A0A5" w:themeFill="accent4" w:themeFillTint="66"/>
      </w:tcPr>
    </w:tblStylePr>
    <w:tblStylePr w:type="firstCol">
      <w:rPr>
        <w:color w:val="FFFFFF" w:themeColor="background1"/>
      </w:rPr>
      <w:tblPr/>
      <w:tcPr>
        <w:shd w:val="clear" w:color="auto" w:fill="991820" w:themeFill="accent4" w:themeFillShade="BF"/>
      </w:tcPr>
    </w:tblStylePr>
    <w:tblStylePr w:type="lastCol">
      <w:rPr>
        <w:color w:val="FFFFFF" w:themeColor="background1"/>
      </w:rPr>
      <w:tblPr/>
      <w:tcPr>
        <w:shd w:val="clear" w:color="auto" w:fill="991820" w:themeFill="accent4" w:themeFillShade="BF"/>
      </w:tcPr>
    </w:tblStylePr>
    <w:tblStylePr w:type="band1Vert">
      <w:tblPr/>
      <w:tcPr>
        <w:shd w:val="clear" w:color="auto" w:fill="EC898F" w:themeFill="accent4" w:themeFillTint="7F"/>
      </w:tcPr>
    </w:tblStylePr>
    <w:tblStylePr w:type="band1Horz">
      <w:tblPr/>
      <w:tcPr>
        <w:shd w:val="clear" w:color="auto" w:fill="EC898F" w:themeFill="accent4" w:themeFillTint="7F"/>
      </w:tcPr>
    </w:tblStylePr>
  </w:style>
  <w:style w:type="table" w:styleId="-5">
    <w:name w:val="Colorful Grid Accent 5"/>
    <w:basedOn w:val="a4"/>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BBDCFF" w:themeFill="accent5" w:themeFillTint="33"/>
    </w:tcPr>
    <w:tblStylePr w:type="firstRow">
      <w:rPr>
        <w:b/>
        <w:bCs/>
      </w:rPr>
      <w:tblPr/>
      <w:tcPr>
        <w:shd w:val="clear" w:color="auto" w:fill="77BAFF" w:themeFill="accent5" w:themeFillTint="66"/>
      </w:tcPr>
    </w:tblStylePr>
    <w:tblStylePr w:type="lastRow">
      <w:rPr>
        <w:b/>
        <w:bCs/>
        <w:color w:val="404040" w:themeColor="text1"/>
      </w:rPr>
      <w:tblPr/>
      <w:tcPr>
        <w:shd w:val="clear" w:color="auto" w:fill="77BAFF" w:themeFill="accent5" w:themeFillTint="66"/>
      </w:tcPr>
    </w:tblStylePr>
    <w:tblStylePr w:type="firstCol">
      <w:rPr>
        <w:color w:val="FFFFFF" w:themeColor="background1"/>
      </w:rPr>
      <w:tblPr/>
      <w:tcPr>
        <w:shd w:val="clear" w:color="auto" w:fill="003F7F" w:themeFill="accent5" w:themeFillShade="BF"/>
      </w:tcPr>
    </w:tblStylePr>
    <w:tblStylePr w:type="lastCol">
      <w:rPr>
        <w:color w:val="FFFFFF" w:themeColor="background1"/>
      </w:rPr>
      <w:tblPr/>
      <w:tcPr>
        <w:shd w:val="clear" w:color="auto" w:fill="003F7F" w:themeFill="accent5" w:themeFillShade="BF"/>
      </w:tcPr>
    </w:tblStylePr>
    <w:tblStylePr w:type="band1Vert">
      <w:tblPr/>
      <w:tcPr>
        <w:shd w:val="clear" w:color="auto" w:fill="55AAFF" w:themeFill="accent5" w:themeFillTint="7F"/>
      </w:tcPr>
    </w:tblStylePr>
    <w:tblStylePr w:type="band1Horz">
      <w:tblPr/>
      <w:tcPr>
        <w:shd w:val="clear" w:color="auto" w:fill="55AAFF" w:themeFill="accent5" w:themeFillTint="7F"/>
      </w:tcPr>
    </w:tblStylePr>
  </w:style>
  <w:style w:type="table" w:styleId="-6">
    <w:name w:val="Colorful Grid Accent 6"/>
    <w:basedOn w:val="a4"/>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FEDD2" w:themeFill="accent6" w:themeFillTint="33"/>
    </w:tcPr>
    <w:tblStylePr w:type="firstRow">
      <w:rPr>
        <w:b/>
        <w:bCs/>
      </w:rPr>
      <w:tblPr/>
      <w:tcPr>
        <w:shd w:val="clear" w:color="auto" w:fill="FFDCA6" w:themeFill="accent6" w:themeFillTint="66"/>
      </w:tcPr>
    </w:tblStylePr>
    <w:tblStylePr w:type="lastRow">
      <w:rPr>
        <w:b/>
        <w:bCs/>
        <w:color w:val="404040" w:themeColor="text1"/>
      </w:rPr>
      <w:tblPr/>
      <w:tcPr>
        <w:shd w:val="clear" w:color="auto" w:fill="FFDCA6" w:themeFill="accent6" w:themeFillTint="66"/>
      </w:tcPr>
    </w:tblStylePr>
    <w:tblStylePr w:type="firstCol">
      <w:rPr>
        <w:color w:val="FFFFFF" w:themeColor="background1"/>
      </w:rPr>
      <w:tblPr/>
      <w:tcPr>
        <w:shd w:val="clear" w:color="auto" w:fill="D88400" w:themeFill="accent6" w:themeFillShade="BF"/>
      </w:tcPr>
    </w:tblStylePr>
    <w:tblStylePr w:type="lastCol">
      <w:rPr>
        <w:color w:val="FFFFFF" w:themeColor="background1"/>
      </w:rPr>
      <w:tblPr/>
      <w:tcPr>
        <w:shd w:val="clear" w:color="auto" w:fill="D88400" w:themeFill="accent6" w:themeFillShade="BF"/>
      </w:tcPr>
    </w:tblStylePr>
    <w:tblStylePr w:type="band1Vert">
      <w:tblPr/>
      <w:tcPr>
        <w:shd w:val="clear" w:color="auto" w:fill="FFD490" w:themeFill="accent6" w:themeFillTint="7F"/>
      </w:tcPr>
    </w:tblStylePr>
    <w:tblStylePr w:type="band1Horz">
      <w:tblPr/>
      <w:tcPr>
        <w:shd w:val="clear" w:color="auto" w:fill="FFD490" w:themeFill="accent6" w:themeFillTint="7F"/>
      </w:tcPr>
    </w:tblStylePr>
  </w:style>
  <w:style w:type="table" w:styleId="aff9">
    <w:name w:val="Colorful List"/>
    <w:basedOn w:val="a4"/>
    <w:uiPriority w:val="72"/>
    <w:semiHidden/>
    <w:unhideWhenUsed/>
    <w:rsid w:val="00F527CC"/>
    <w:pPr>
      <w:spacing w:after="0" w:line="240" w:lineRule="auto"/>
    </w:pPr>
    <w:rPr>
      <w:color w:val="404040"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74767A" w:themeFill="accent2" w:themeFillShade="CC"/>
      </w:tcPr>
    </w:tblStylePr>
    <w:tblStylePr w:type="lastRow">
      <w:rPr>
        <w:b/>
        <w:bCs/>
        <w:color w:val="74767A"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styleId="-10">
    <w:name w:val="Colorful List Accent 1"/>
    <w:basedOn w:val="a4"/>
    <w:uiPriority w:val="72"/>
    <w:semiHidden/>
    <w:unhideWhenUsed/>
    <w:rsid w:val="00F527CC"/>
    <w:pPr>
      <w:spacing w:after="0" w:line="240" w:lineRule="auto"/>
    </w:pPr>
    <w:rPr>
      <w:color w:val="404040" w:themeColor="text1"/>
    </w:rPr>
    <w:tblPr>
      <w:tblStyleRowBandSize w:val="1"/>
      <w:tblStyleColBandSize w:val="1"/>
    </w:tblPr>
    <w:tcPr>
      <w:shd w:val="clear" w:color="auto" w:fill="F9F9F9" w:themeFill="accent1" w:themeFillTint="19"/>
    </w:tcPr>
    <w:tblStylePr w:type="firstRow">
      <w:rPr>
        <w:b/>
        <w:bCs/>
        <w:color w:val="FFFFFF" w:themeColor="background1"/>
      </w:rPr>
      <w:tblPr/>
      <w:tcPr>
        <w:tcBorders>
          <w:bottom w:val="single" w:sz="12" w:space="0" w:color="FFFFFF" w:themeColor="background1"/>
        </w:tcBorders>
        <w:shd w:val="clear" w:color="auto" w:fill="74767A" w:themeFill="accent2" w:themeFillShade="CC"/>
      </w:tcPr>
    </w:tblStylePr>
    <w:tblStylePr w:type="lastRow">
      <w:rPr>
        <w:b/>
        <w:bCs/>
        <w:color w:val="74767A"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2" w:themeFill="accent1" w:themeFillTint="3F"/>
      </w:tcPr>
    </w:tblStylePr>
    <w:tblStylePr w:type="band1Horz">
      <w:tblPr/>
      <w:tcPr>
        <w:shd w:val="clear" w:color="auto" w:fill="F3F3F4" w:themeFill="accent1" w:themeFillTint="33"/>
      </w:tcPr>
    </w:tblStylePr>
  </w:style>
  <w:style w:type="table" w:styleId="-20">
    <w:name w:val="Colorful List Accent 2"/>
    <w:basedOn w:val="a4"/>
    <w:uiPriority w:val="72"/>
    <w:semiHidden/>
    <w:unhideWhenUsed/>
    <w:rsid w:val="00F527CC"/>
    <w:pPr>
      <w:spacing w:after="0" w:line="240" w:lineRule="auto"/>
    </w:pPr>
    <w:rPr>
      <w:color w:val="404040" w:themeColor="text1"/>
    </w:rPr>
    <w:tblPr>
      <w:tblStyleRowBandSize w:val="1"/>
      <w:tblStyleColBandSize w:val="1"/>
    </w:tblPr>
    <w:tcPr>
      <w:shd w:val="clear" w:color="auto" w:fill="F4F4F4" w:themeFill="accent2" w:themeFillTint="19"/>
    </w:tcPr>
    <w:tblStylePr w:type="firstRow">
      <w:rPr>
        <w:b/>
        <w:bCs/>
        <w:color w:val="FFFFFF" w:themeColor="background1"/>
      </w:rPr>
      <w:tblPr/>
      <w:tcPr>
        <w:tcBorders>
          <w:bottom w:val="single" w:sz="12" w:space="0" w:color="FFFFFF" w:themeColor="background1"/>
        </w:tcBorders>
        <w:shd w:val="clear" w:color="auto" w:fill="74767A" w:themeFill="accent2" w:themeFillShade="CC"/>
      </w:tcPr>
    </w:tblStylePr>
    <w:tblStylePr w:type="lastRow">
      <w:rPr>
        <w:b/>
        <w:bCs/>
        <w:color w:val="74767A"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4E5" w:themeFill="accent2" w:themeFillTint="3F"/>
      </w:tcPr>
    </w:tblStylePr>
    <w:tblStylePr w:type="band1Horz">
      <w:tblPr/>
      <w:tcPr>
        <w:shd w:val="clear" w:color="auto" w:fill="E9E9EA" w:themeFill="accent2" w:themeFillTint="33"/>
      </w:tcPr>
    </w:tblStylePr>
  </w:style>
  <w:style w:type="table" w:styleId="-30">
    <w:name w:val="Colorful List Accent 3"/>
    <w:basedOn w:val="a4"/>
    <w:uiPriority w:val="72"/>
    <w:semiHidden/>
    <w:unhideWhenUsed/>
    <w:rsid w:val="00F527CC"/>
    <w:pPr>
      <w:spacing w:after="0" w:line="240" w:lineRule="auto"/>
    </w:pPr>
    <w:rPr>
      <w:color w:val="404040" w:themeColor="text1"/>
    </w:rPr>
    <w:tblPr>
      <w:tblStyleRowBandSize w:val="1"/>
      <w:tblStyleColBandSize w:val="1"/>
    </w:tblPr>
    <w:tcPr>
      <w:shd w:val="clear" w:color="auto" w:fill="EFEFF0" w:themeFill="accent3" w:themeFillTint="19"/>
    </w:tcPr>
    <w:tblStylePr w:type="firstRow">
      <w:rPr>
        <w:b/>
        <w:bCs/>
        <w:color w:val="FFFFFF" w:themeColor="background1"/>
      </w:rPr>
      <w:tblPr/>
      <w:tcPr>
        <w:tcBorders>
          <w:bottom w:val="single" w:sz="12" w:space="0" w:color="FFFFFF" w:themeColor="background1"/>
        </w:tcBorders>
        <w:shd w:val="clear" w:color="auto" w:fill="A31922" w:themeFill="accent4" w:themeFillShade="CC"/>
      </w:tcPr>
    </w:tblStylePr>
    <w:tblStylePr w:type="lastRow">
      <w:rPr>
        <w:b/>
        <w:bCs/>
        <w:color w:val="A31922" w:themeColor="accent4"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8D9" w:themeFill="accent3" w:themeFillTint="3F"/>
      </w:tcPr>
    </w:tblStylePr>
    <w:tblStylePr w:type="band1Horz">
      <w:tblPr/>
      <w:tcPr>
        <w:shd w:val="clear" w:color="auto" w:fill="DFDFE0" w:themeFill="accent3" w:themeFillTint="33"/>
      </w:tcPr>
    </w:tblStylePr>
  </w:style>
  <w:style w:type="table" w:styleId="-40">
    <w:name w:val="Colorful List Accent 4"/>
    <w:basedOn w:val="a4"/>
    <w:uiPriority w:val="72"/>
    <w:semiHidden/>
    <w:unhideWhenUsed/>
    <w:rsid w:val="00F527CC"/>
    <w:pPr>
      <w:spacing w:after="0" w:line="240" w:lineRule="auto"/>
    </w:pPr>
    <w:rPr>
      <w:color w:val="404040" w:themeColor="text1"/>
    </w:rPr>
    <w:tblPr>
      <w:tblStyleRowBandSize w:val="1"/>
      <w:tblStyleColBandSize w:val="1"/>
    </w:tblPr>
    <w:tcPr>
      <w:shd w:val="clear" w:color="auto" w:fill="FBE7E8" w:themeFill="accent4" w:themeFillTint="19"/>
    </w:tcPr>
    <w:tblStylePr w:type="firstRow">
      <w:rPr>
        <w:b/>
        <w:bCs/>
        <w:color w:val="FFFFFF" w:themeColor="background1"/>
      </w:rPr>
      <w:tblPr/>
      <w:tcPr>
        <w:tcBorders>
          <w:bottom w:val="single" w:sz="12" w:space="0" w:color="FFFFFF" w:themeColor="background1"/>
        </w:tcBorders>
        <w:shd w:val="clear" w:color="auto" w:fill="4F5051" w:themeFill="accent3" w:themeFillShade="CC"/>
      </w:tcPr>
    </w:tblStylePr>
    <w:tblStylePr w:type="lastRow">
      <w:rPr>
        <w:b/>
        <w:bCs/>
        <w:color w:val="4F5051" w:themeColor="accent3"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C4C7" w:themeFill="accent4" w:themeFillTint="3F"/>
      </w:tcPr>
    </w:tblStylePr>
    <w:tblStylePr w:type="band1Horz">
      <w:tblPr/>
      <w:tcPr>
        <w:shd w:val="clear" w:color="auto" w:fill="F7CFD2" w:themeFill="accent4" w:themeFillTint="33"/>
      </w:tcPr>
    </w:tblStylePr>
  </w:style>
  <w:style w:type="table" w:styleId="-50">
    <w:name w:val="Colorful List Accent 5"/>
    <w:basedOn w:val="a4"/>
    <w:uiPriority w:val="72"/>
    <w:semiHidden/>
    <w:unhideWhenUsed/>
    <w:rsid w:val="00F527CC"/>
    <w:pPr>
      <w:spacing w:after="0" w:line="240" w:lineRule="auto"/>
    </w:pPr>
    <w:rPr>
      <w:color w:val="404040" w:themeColor="text1"/>
    </w:rPr>
    <w:tblPr>
      <w:tblStyleRowBandSize w:val="1"/>
      <w:tblStyleColBandSize w:val="1"/>
    </w:tblPr>
    <w:tcPr>
      <w:shd w:val="clear" w:color="auto" w:fill="DDEEFF" w:themeFill="accent5" w:themeFillTint="19"/>
    </w:tcPr>
    <w:tblStylePr w:type="firstRow">
      <w:rPr>
        <w:b/>
        <w:bCs/>
        <w:color w:val="FFFFFF" w:themeColor="background1"/>
      </w:rPr>
      <w:tblPr/>
      <w:tcPr>
        <w:tcBorders>
          <w:bottom w:val="single" w:sz="12" w:space="0" w:color="FFFFFF" w:themeColor="background1"/>
        </w:tcBorders>
        <w:shd w:val="clear" w:color="auto" w:fill="E78D00" w:themeFill="accent6" w:themeFillShade="CC"/>
      </w:tcPr>
    </w:tblStylePr>
    <w:tblStylePr w:type="lastRow">
      <w:rPr>
        <w:b/>
        <w:bCs/>
        <w:color w:val="E78D00" w:themeColor="accent6"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D4FF" w:themeFill="accent5" w:themeFillTint="3F"/>
      </w:tcPr>
    </w:tblStylePr>
    <w:tblStylePr w:type="band1Horz">
      <w:tblPr/>
      <w:tcPr>
        <w:shd w:val="clear" w:color="auto" w:fill="BBDCFF" w:themeFill="accent5" w:themeFillTint="33"/>
      </w:tcPr>
    </w:tblStylePr>
  </w:style>
  <w:style w:type="table" w:styleId="-60">
    <w:name w:val="Colorful List Accent 6"/>
    <w:basedOn w:val="a4"/>
    <w:uiPriority w:val="72"/>
    <w:semiHidden/>
    <w:unhideWhenUsed/>
    <w:rsid w:val="00F527CC"/>
    <w:pPr>
      <w:spacing w:after="0" w:line="240" w:lineRule="auto"/>
    </w:pPr>
    <w:rPr>
      <w:color w:val="404040" w:themeColor="text1"/>
    </w:rPr>
    <w:tblPr>
      <w:tblStyleRowBandSize w:val="1"/>
      <w:tblStyleColBandSize w:val="1"/>
    </w:tblPr>
    <w:tcPr>
      <w:shd w:val="clear" w:color="auto" w:fill="FFF6E9" w:themeFill="accent6" w:themeFillTint="19"/>
    </w:tcPr>
    <w:tblStylePr w:type="firstRow">
      <w:rPr>
        <w:b/>
        <w:bCs/>
        <w:color w:val="FFFFFF" w:themeColor="background1"/>
      </w:rPr>
      <w:tblPr/>
      <w:tcPr>
        <w:tcBorders>
          <w:bottom w:val="single" w:sz="12" w:space="0" w:color="FFFFFF" w:themeColor="background1"/>
        </w:tcBorders>
        <w:shd w:val="clear" w:color="auto" w:fill="004388" w:themeFill="accent5" w:themeFillShade="CC"/>
      </w:tcPr>
    </w:tblStylePr>
    <w:tblStylePr w:type="lastRow">
      <w:rPr>
        <w:b/>
        <w:bCs/>
        <w:color w:val="004388" w:themeColor="accent5"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C8" w:themeFill="accent6" w:themeFillTint="3F"/>
      </w:tcPr>
    </w:tblStylePr>
    <w:tblStylePr w:type="band1Horz">
      <w:tblPr/>
      <w:tcPr>
        <w:shd w:val="clear" w:color="auto" w:fill="FFEDD2" w:themeFill="accent6" w:themeFillTint="33"/>
      </w:tcPr>
    </w:tblStylePr>
  </w:style>
  <w:style w:type="table" w:styleId="affa">
    <w:name w:val="Colorful Shading"/>
    <w:basedOn w:val="a4"/>
    <w:uiPriority w:val="71"/>
    <w:semiHidden/>
    <w:unhideWhenUsed/>
    <w:rsid w:val="00F527CC"/>
    <w:pPr>
      <w:spacing w:after="0" w:line="240" w:lineRule="auto"/>
    </w:pPr>
    <w:rPr>
      <w:color w:val="404040" w:themeColor="text1"/>
    </w:rPr>
    <w:tblPr>
      <w:tblStyleRowBandSize w:val="1"/>
      <w:tblStyleColBandSize w:val="1"/>
      <w:tblBorders>
        <w:top w:val="single" w:sz="24" w:space="0" w:color="939598" w:themeColor="accent2"/>
        <w:left w:val="single" w:sz="4" w:space="0" w:color="404040" w:themeColor="text1"/>
        <w:bottom w:val="single" w:sz="4" w:space="0" w:color="404040" w:themeColor="text1"/>
        <w:right w:val="single" w:sz="4" w:space="0" w:color="404040"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9395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6" w:themeFill="text1" w:themeFillShade="99"/>
      </w:tcPr>
    </w:tblStylePr>
    <w:tblStylePr w:type="firstCol">
      <w:rPr>
        <w:color w:val="FFFFFF" w:themeColor="background1"/>
      </w:rPr>
      <w:tblPr/>
      <w:tcPr>
        <w:tcBorders>
          <w:top w:val="nil"/>
          <w:left w:val="nil"/>
          <w:bottom w:val="nil"/>
          <w:right w:val="nil"/>
          <w:insideH w:val="single" w:sz="4" w:space="0" w:color="262626" w:themeColor="text1" w:themeShade="99"/>
          <w:insideV w:val="nil"/>
        </w:tcBorders>
        <w:shd w:val="clear" w:color="auto" w:fill="2626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F2F2F" w:themeFill="text1" w:themeFillShade="BF"/>
      </w:tcPr>
    </w:tblStylePr>
    <w:tblStylePr w:type="band1Vert">
      <w:tblPr/>
      <w:tcPr>
        <w:shd w:val="clear" w:color="auto" w:fill="B2B2B2" w:themeFill="text1" w:themeFillTint="66"/>
      </w:tcPr>
    </w:tblStylePr>
    <w:tblStylePr w:type="band1Horz">
      <w:tblPr/>
      <w:tcPr>
        <w:shd w:val="clear" w:color="auto" w:fill="9F9F9F" w:themeFill="text1" w:themeFillTint="7F"/>
      </w:tcPr>
    </w:tblStylePr>
    <w:tblStylePr w:type="neCell">
      <w:rPr>
        <w:color w:val="404040" w:themeColor="text1"/>
      </w:rPr>
    </w:tblStylePr>
    <w:tblStylePr w:type="nwCell">
      <w:rPr>
        <w:color w:val="404040" w:themeColor="text1"/>
      </w:rPr>
    </w:tblStylePr>
  </w:style>
  <w:style w:type="table" w:styleId="-11">
    <w:name w:val="Colorful Shading Accent 1"/>
    <w:basedOn w:val="a4"/>
    <w:uiPriority w:val="71"/>
    <w:semiHidden/>
    <w:unhideWhenUsed/>
    <w:rsid w:val="00F527CC"/>
    <w:pPr>
      <w:spacing w:after="0" w:line="240" w:lineRule="auto"/>
    </w:pPr>
    <w:rPr>
      <w:color w:val="404040" w:themeColor="text1"/>
    </w:rPr>
    <w:tblPr>
      <w:tblStyleRowBandSize w:val="1"/>
      <w:tblStyleColBandSize w:val="1"/>
      <w:tblBorders>
        <w:top w:val="single" w:sz="24" w:space="0" w:color="939598" w:themeColor="accent2"/>
        <w:left w:val="single" w:sz="4" w:space="0" w:color="C7C8CA" w:themeColor="accent1"/>
        <w:bottom w:val="single" w:sz="4" w:space="0" w:color="C7C8CA" w:themeColor="accent1"/>
        <w:right w:val="single" w:sz="4" w:space="0" w:color="C7C8CA" w:themeColor="accent1"/>
        <w:insideH w:val="single" w:sz="4" w:space="0" w:color="FFFFFF" w:themeColor="background1"/>
        <w:insideV w:val="single" w:sz="4" w:space="0" w:color="FFFFFF" w:themeColor="background1"/>
      </w:tblBorders>
    </w:tblPr>
    <w:tcPr>
      <w:shd w:val="clear" w:color="auto" w:fill="F9F9F9" w:themeFill="accent1" w:themeFillTint="19"/>
    </w:tcPr>
    <w:tblStylePr w:type="firstRow">
      <w:rPr>
        <w:b/>
        <w:bCs/>
      </w:rPr>
      <w:tblPr/>
      <w:tcPr>
        <w:tcBorders>
          <w:top w:val="nil"/>
          <w:left w:val="nil"/>
          <w:bottom w:val="single" w:sz="24" w:space="0" w:color="9395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77B" w:themeFill="accent1" w:themeFillShade="99"/>
      </w:tcPr>
    </w:tblStylePr>
    <w:tblStylePr w:type="firstCol">
      <w:rPr>
        <w:color w:val="FFFFFF" w:themeColor="background1"/>
      </w:rPr>
      <w:tblPr/>
      <w:tcPr>
        <w:tcBorders>
          <w:top w:val="nil"/>
          <w:left w:val="nil"/>
          <w:bottom w:val="nil"/>
          <w:right w:val="nil"/>
          <w:insideH w:val="single" w:sz="4" w:space="0" w:color="75777B" w:themeColor="accent1" w:themeShade="99"/>
          <w:insideV w:val="nil"/>
        </w:tcBorders>
        <w:shd w:val="clear" w:color="auto" w:fill="75777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5777B" w:themeFill="accent1" w:themeFillShade="99"/>
      </w:tcPr>
    </w:tblStylePr>
    <w:tblStylePr w:type="band1Vert">
      <w:tblPr/>
      <w:tcPr>
        <w:shd w:val="clear" w:color="auto" w:fill="E8E8E9" w:themeFill="accent1" w:themeFillTint="66"/>
      </w:tcPr>
    </w:tblStylePr>
    <w:tblStylePr w:type="band1Horz">
      <w:tblPr/>
      <w:tcPr>
        <w:shd w:val="clear" w:color="auto" w:fill="E3E3E4" w:themeFill="accent1" w:themeFillTint="7F"/>
      </w:tcPr>
    </w:tblStylePr>
    <w:tblStylePr w:type="neCell">
      <w:rPr>
        <w:color w:val="404040" w:themeColor="text1"/>
      </w:rPr>
    </w:tblStylePr>
    <w:tblStylePr w:type="nwCell">
      <w:rPr>
        <w:color w:val="404040" w:themeColor="text1"/>
      </w:rPr>
    </w:tblStylePr>
  </w:style>
  <w:style w:type="table" w:styleId="-21">
    <w:name w:val="Colorful Shading Accent 2"/>
    <w:basedOn w:val="a4"/>
    <w:uiPriority w:val="71"/>
    <w:semiHidden/>
    <w:unhideWhenUsed/>
    <w:rsid w:val="00F527CC"/>
    <w:pPr>
      <w:spacing w:after="0" w:line="240" w:lineRule="auto"/>
    </w:pPr>
    <w:rPr>
      <w:color w:val="404040" w:themeColor="text1"/>
    </w:rPr>
    <w:tblPr>
      <w:tblStyleRowBandSize w:val="1"/>
      <w:tblStyleColBandSize w:val="1"/>
      <w:tblBorders>
        <w:top w:val="single" w:sz="24" w:space="0" w:color="939598" w:themeColor="accent2"/>
        <w:left w:val="single" w:sz="4" w:space="0" w:color="939598" w:themeColor="accent2"/>
        <w:bottom w:val="single" w:sz="4" w:space="0" w:color="939598" w:themeColor="accent2"/>
        <w:right w:val="single" w:sz="4" w:space="0" w:color="939598" w:themeColor="accent2"/>
        <w:insideH w:val="single" w:sz="4" w:space="0" w:color="FFFFFF" w:themeColor="background1"/>
        <w:insideV w:val="single" w:sz="4" w:space="0" w:color="FFFFFF" w:themeColor="background1"/>
      </w:tblBorders>
    </w:tblPr>
    <w:tcPr>
      <w:shd w:val="clear" w:color="auto" w:fill="F4F4F4" w:themeFill="accent2" w:themeFillTint="19"/>
    </w:tcPr>
    <w:tblStylePr w:type="firstRow">
      <w:rPr>
        <w:b/>
        <w:bCs/>
      </w:rPr>
      <w:tblPr/>
      <w:tcPr>
        <w:tcBorders>
          <w:top w:val="nil"/>
          <w:left w:val="nil"/>
          <w:bottom w:val="single" w:sz="24" w:space="0" w:color="9395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595B" w:themeFill="accent2" w:themeFillShade="99"/>
      </w:tcPr>
    </w:tblStylePr>
    <w:tblStylePr w:type="firstCol">
      <w:rPr>
        <w:color w:val="FFFFFF" w:themeColor="background1"/>
      </w:rPr>
      <w:tblPr/>
      <w:tcPr>
        <w:tcBorders>
          <w:top w:val="nil"/>
          <w:left w:val="nil"/>
          <w:bottom w:val="nil"/>
          <w:right w:val="nil"/>
          <w:insideH w:val="single" w:sz="4" w:space="0" w:color="57595B" w:themeColor="accent2" w:themeShade="99"/>
          <w:insideV w:val="nil"/>
        </w:tcBorders>
        <w:shd w:val="clear" w:color="auto" w:fill="57595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595B" w:themeFill="accent2" w:themeFillShade="99"/>
      </w:tcPr>
    </w:tblStylePr>
    <w:tblStylePr w:type="band1Vert">
      <w:tblPr/>
      <w:tcPr>
        <w:shd w:val="clear" w:color="auto" w:fill="D3D4D5" w:themeFill="accent2" w:themeFillTint="66"/>
      </w:tcPr>
    </w:tblStylePr>
    <w:tblStylePr w:type="band1Horz">
      <w:tblPr/>
      <w:tcPr>
        <w:shd w:val="clear" w:color="auto" w:fill="C9CACB" w:themeFill="accent2" w:themeFillTint="7F"/>
      </w:tcPr>
    </w:tblStylePr>
    <w:tblStylePr w:type="neCell">
      <w:rPr>
        <w:color w:val="404040" w:themeColor="text1"/>
      </w:rPr>
    </w:tblStylePr>
    <w:tblStylePr w:type="nwCell">
      <w:rPr>
        <w:color w:val="404040" w:themeColor="text1"/>
      </w:rPr>
    </w:tblStylePr>
  </w:style>
  <w:style w:type="table" w:styleId="-31">
    <w:name w:val="Colorful Shading Accent 3"/>
    <w:basedOn w:val="a4"/>
    <w:uiPriority w:val="71"/>
    <w:semiHidden/>
    <w:unhideWhenUsed/>
    <w:rsid w:val="00F527CC"/>
    <w:pPr>
      <w:spacing w:after="0" w:line="240" w:lineRule="auto"/>
    </w:pPr>
    <w:rPr>
      <w:color w:val="404040" w:themeColor="text1"/>
    </w:rPr>
    <w:tblPr>
      <w:tblStyleRowBandSize w:val="1"/>
      <w:tblStyleColBandSize w:val="1"/>
      <w:tblBorders>
        <w:top w:val="single" w:sz="24" w:space="0" w:color="CD202C" w:themeColor="accent4"/>
        <w:left w:val="single" w:sz="4" w:space="0" w:color="636466" w:themeColor="accent3"/>
        <w:bottom w:val="single" w:sz="4" w:space="0" w:color="636466" w:themeColor="accent3"/>
        <w:right w:val="single" w:sz="4" w:space="0" w:color="636466" w:themeColor="accent3"/>
        <w:insideH w:val="single" w:sz="4" w:space="0" w:color="FFFFFF" w:themeColor="background1"/>
        <w:insideV w:val="single" w:sz="4" w:space="0" w:color="FFFFFF" w:themeColor="background1"/>
      </w:tblBorders>
    </w:tblPr>
    <w:tcPr>
      <w:shd w:val="clear" w:color="auto" w:fill="EFEFF0" w:themeFill="accent3" w:themeFillTint="19"/>
    </w:tcPr>
    <w:tblStylePr w:type="firstRow">
      <w:rPr>
        <w:b/>
        <w:bCs/>
      </w:rPr>
      <w:tblPr/>
      <w:tcPr>
        <w:tcBorders>
          <w:top w:val="nil"/>
          <w:left w:val="nil"/>
          <w:bottom w:val="single" w:sz="24" w:space="0" w:color="CD202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3B3D" w:themeFill="accent3" w:themeFillShade="99"/>
      </w:tcPr>
    </w:tblStylePr>
    <w:tblStylePr w:type="firstCol">
      <w:rPr>
        <w:color w:val="FFFFFF" w:themeColor="background1"/>
      </w:rPr>
      <w:tblPr/>
      <w:tcPr>
        <w:tcBorders>
          <w:top w:val="nil"/>
          <w:left w:val="nil"/>
          <w:bottom w:val="nil"/>
          <w:right w:val="nil"/>
          <w:insideH w:val="single" w:sz="4" w:space="0" w:color="3B3B3D" w:themeColor="accent3" w:themeShade="99"/>
          <w:insideV w:val="nil"/>
        </w:tcBorders>
        <w:shd w:val="clear" w:color="auto" w:fill="3B3B3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3B3D" w:themeFill="accent3" w:themeFillShade="99"/>
      </w:tcPr>
    </w:tblStylePr>
    <w:tblStylePr w:type="band1Vert">
      <w:tblPr/>
      <w:tcPr>
        <w:shd w:val="clear" w:color="auto" w:fill="C0C0C2" w:themeFill="accent3" w:themeFillTint="66"/>
      </w:tcPr>
    </w:tblStylePr>
    <w:tblStylePr w:type="band1Horz">
      <w:tblPr/>
      <w:tcPr>
        <w:shd w:val="clear" w:color="auto" w:fill="B0B1B3" w:themeFill="accent3" w:themeFillTint="7F"/>
      </w:tcPr>
    </w:tblStylePr>
  </w:style>
  <w:style w:type="table" w:styleId="-41">
    <w:name w:val="Colorful Shading Accent 4"/>
    <w:basedOn w:val="a4"/>
    <w:uiPriority w:val="71"/>
    <w:semiHidden/>
    <w:unhideWhenUsed/>
    <w:rsid w:val="00F527CC"/>
    <w:pPr>
      <w:spacing w:after="0" w:line="240" w:lineRule="auto"/>
    </w:pPr>
    <w:rPr>
      <w:color w:val="404040" w:themeColor="text1"/>
    </w:rPr>
    <w:tblPr>
      <w:tblStyleRowBandSize w:val="1"/>
      <w:tblStyleColBandSize w:val="1"/>
      <w:tblBorders>
        <w:top w:val="single" w:sz="24" w:space="0" w:color="636466" w:themeColor="accent3"/>
        <w:left w:val="single" w:sz="4" w:space="0" w:color="CD202C" w:themeColor="accent4"/>
        <w:bottom w:val="single" w:sz="4" w:space="0" w:color="CD202C" w:themeColor="accent4"/>
        <w:right w:val="single" w:sz="4" w:space="0" w:color="CD202C" w:themeColor="accent4"/>
        <w:insideH w:val="single" w:sz="4" w:space="0" w:color="FFFFFF" w:themeColor="background1"/>
        <w:insideV w:val="single" w:sz="4" w:space="0" w:color="FFFFFF" w:themeColor="background1"/>
      </w:tblBorders>
    </w:tblPr>
    <w:tcPr>
      <w:shd w:val="clear" w:color="auto" w:fill="FBE7E8" w:themeFill="accent4" w:themeFillTint="19"/>
    </w:tcPr>
    <w:tblStylePr w:type="firstRow">
      <w:rPr>
        <w:b/>
        <w:bCs/>
      </w:rPr>
      <w:tblPr/>
      <w:tcPr>
        <w:tcBorders>
          <w:top w:val="nil"/>
          <w:left w:val="nil"/>
          <w:bottom w:val="single" w:sz="24" w:space="0" w:color="63646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131A" w:themeFill="accent4" w:themeFillShade="99"/>
      </w:tcPr>
    </w:tblStylePr>
    <w:tblStylePr w:type="firstCol">
      <w:rPr>
        <w:color w:val="FFFFFF" w:themeColor="background1"/>
      </w:rPr>
      <w:tblPr/>
      <w:tcPr>
        <w:tcBorders>
          <w:top w:val="nil"/>
          <w:left w:val="nil"/>
          <w:bottom w:val="nil"/>
          <w:right w:val="nil"/>
          <w:insideH w:val="single" w:sz="4" w:space="0" w:color="7A131A" w:themeColor="accent4" w:themeShade="99"/>
          <w:insideV w:val="nil"/>
        </w:tcBorders>
        <w:shd w:val="clear" w:color="auto" w:fill="7A131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A131A" w:themeFill="accent4" w:themeFillShade="99"/>
      </w:tcPr>
    </w:tblStylePr>
    <w:tblStylePr w:type="band1Vert">
      <w:tblPr/>
      <w:tcPr>
        <w:shd w:val="clear" w:color="auto" w:fill="F0A0A5" w:themeFill="accent4" w:themeFillTint="66"/>
      </w:tcPr>
    </w:tblStylePr>
    <w:tblStylePr w:type="band1Horz">
      <w:tblPr/>
      <w:tcPr>
        <w:shd w:val="clear" w:color="auto" w:fill="EC898F" w:themeFill="accent4" w:themeFillTint="7F"/>
      </w:tcPr>
    </w:tblStylePr>
    <w:tblStylePr w:type="neCell">
      <w:rPr>
        <w:color w:val="404040" w:themeColor="text1"/>
      </w:rPr>
    </w:tblStylePr>
    <w:tblStylePr w:type="nwCell">
      <w:rPr>
        <w:color w:val="404040" w:themeColor="text1"/>
      </w:rPr>
    </w:tblStylePr>
  </w:style>
  <w:style w:type="table" w:styleId="-51">
    <w:name w:val="Colorful Shading Accent 5"/>
    <w:basedOn w:val="a4"/>
    <w:uiPriority w:val="71"/>
    <w:semiHidden/>
    <w:unhideWhenUsed/>
    <w:rsid w:val="00F527CC"/>
    <w:pPr>
      <w:spacing w:after="0" w:line="240" w:lineRule="auto"/>
    </w:pPr>
    <w:rPr>
      <w:color w:val="404040" w:themeColor="text1"/>
    </w:rPr>
    <w:tblPr>
      <w:tblStyleRowBandSize w:val="1"/>
      <w:tblStyleColBandSize w:val="1"/>
      <w:tblBorders>
        <w:top w:val="single" w:sz="24" w:space="0" w:color="FFAA22" w:themeColor="accent6"/>
        <w:left w:val="single" w:sz="4" w:space="0" w:color="0055AA" w:themeColor="accent5"/>
        <w:bottom w:val="single" w:sz="4" w:space="0" w:color="0055AA" w:themeColor="accent5"/>
        <w:right w:val="single" w:sz="4" w:space="0" w:color="0055AA" w:themeColor="accent5"/>
        <w:insideH w:val="single" w:sz="4" w:space="0" w:color="FFFFFF" w:themeColor="background1"/>
        <w:insideV w:val="single" w:sz="4" w:space="0" w:color="FFFFFF" w:themeColor="background1"/>
      </w:tblBorders>
    </w:tblPr>
    <w:tcPr>
      <w:shd w:val="clear" w:color="auto" w:fill="DDEEFF" w:themeFill="accent5" w:themeFillTint="19"/>
    </w:tcPr>
    <w:tblStylePr w:type="firstRow">
      <w:rPr>
        <w:b/>
        <w:bCs/>
      </w:rPr>
      <w:tblPr/>
      <w:tcPr>
        <w:tcBorders>
          <w:top w:val="nil"/>
          <w:left w:val="nil"/>
          <w:bottom w:val="single" w:sz="24" w:space="0" w:color="FFAA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66" w:themeFill="accent5" w:themeFillShade="99"/>
      </w:tcPr>
    </w:tblStylePr>
    <w:tblStylePr w:type="firstCol">
      <w:rPr>
        <w:color w:val="FFFFFF" w:themeColor="background1"/>
      </w:rPr>
      <w:tblPr/>
      <w:tcPr>
        <w:tcBorders>
          <w:top w:val="nil"/>
          <w:left w:val="nil"/>
          <w:bottom w:val="nil"/>
          <w:right w:val="nil"/>
          <w:insideH w:val="single" w:sz="4" w:space="0" w:color="003266" w:themeColor="accent5" w:themeShade="99"/>
          <w:insideV w:val="nil"/>
        </w:tcBorders>
        <w:shd w:val="clear" w:color="auto" w:fill="00326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3266" w:themeFill="accent5" w:themeFillShade="99"/>
      </w:tcPr>
    </w:tblStylePr>
    <w:tblStylePr w:type="band1Vert">
      <w:tblPr/>
      <w:tcPr>
        <w:shd w:val="clear" w:color="auto" w:fill="77BAFF" w:themeFill="accent5" w:themeFillTint="66"/>
      </w:tcPr>
    </w:tblStylePr>
    <w:tblStylePr w:type="band1Horz">
      <w:tblPr/>
      <w:tcPr>
        <w:shd w:val="clear" w:color="auto" w:fill="55AAFF" w:themeFill="accent5" w:themeFillTint="7F"/>
      </w:tcPr>
    </w:tblStylePr>
    <w:tblStylePr w:type="neCell">
      <w:rPr>
        <w:color w:val="404040" w:themeColor="text1"/>
      </w:rPr>
    </w:tblStylePr>
    <w:tblStylePr w:type="nwCell">
      <w:rPr>
        <w:color w:val="404040" w:themeColor="text1"/>
      </w:rPr>
    </w:tblStylePr>
  </w:style>
  <w:style w:type="table" w:styleId="-61">
    <w:name w:val="Colorful Shading Accent 6"/>
    <w:basedOn w:val="a4"/>
    <w:uiPriority w:val="71"/>
    <w:semiHidden/>
    <w:unhideWhenUsed/>
    <w:rsid w:val="00F527CC"/>
    <w:pPr>
      <w:spacing w:after="0" w:line="240" w:lineRule="auto"/>
    </w:pPr>
    <w:rPr>
      <w:color w:val="404040" w:themeColor="text1"/>
    </w:rPr>
    <w:tblPr>
      <w:tblStyleRowBandSize w:val="1"/>
      <w:tblStyleColBandSize w:val="1"/>
      <w:tblBorders>
        <w:top w:val="single" w:sz="24" w:space="0" w:color="0055AA" w:themeColor="accent5"/>
        <w:left w:val="single" w:sz="4" w:space="0" w:color="FFAA22" w:themeColor="accent6"/>
        <w:bottom w:val="single" w:sz="4" w:space="0" w:color="FFAA22" w:themeColor="accent6"/>
        <w:right w:val="single" w:sz="4" w:space="0" w:color="FFAA22" w:themeColor="accent6"/>
        <w:insideH w:val="single" w:sz="4" w:space="0" w:color="FFFFFF" w:themeColor="background1"/>
        <w:insideV w:val="single" w:sz="4" w:space="0" w:color="FFFFFF" w:themeColor="background1"/>
      </w:tblBorders>
    </w:tblPr>
    <w:tcPr>
      <w:shd w:val="clear" w:color="auto" w:fill="FFF6E9" w:themeFill="accent6" w:themeFillTint="19"/>
    </w:tcPr>
    <w:tblStylePr w:type="firstRow">
      <w:rPr>
        <w:b/>
        <w:bCs/>
      </w:rPr>
      <w:tblPr/>
      <w:tcPr>
        <w:tcBorders>
          <w:top w:val="nil"/>
          <w:left w:val="nil"/>
          <w:bottom w:val="single" w:sz="24" w:space="0" w:color="0055A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D6A00" w:themeFill="accent6" w:themeFillShade="99"/>
      </w:tcPr>
    </w:tblStylePr>
    <w:tblStylePr w:type="firstCol">
      <w:rPr>
        <w:color w:val="FFFFFF" w:themeColor="background1"/>
      </w:rPr>
      <w:tblPr/>
      <w:tcPr>
        <w:tcBorders>
          <w:top w:val="nil"/>
          <w:left w:val="nil"/>
          <w:bottom w:val="nil"/>
          <w:right w:val="nil"/>
          <w:insideH w:val="single" w:sz="4" w:space="0" w:color="AD6A00" w:themeColor="accent6" w:themeShade="99"/>
          <w:insideV w:val="nil"/>
        </w:tcBorders>
        <w:shd w:val="clear" w:color="auto" w:fill="AD6A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D6A00" w:themeFill="accent6" w:themeFillShade="99"/>
      </w:tcPr>
    </w:tblStylePr>
    <w:tblStylePr w:type="band1Vert">
      <w:tblPr/>
      <w:tcPr>
        <w:shd w:val="clear" w:color="auto" w:fill="FFDCA6" w:themeFill="accent6" w:themeFillTint="66"/>
      </w:tcPr>
    </w:tblStylePr>
    <w:tblStylePr w:type="band1Horz">
      <w:tblPr/>
      <w:tcPr>
        <w:shd w:val="clear" w:color="auto" w:fill="FFD490" w:themeFill="accent6" w:themeFillTint="7F"/>
      </w:tcPr>
    </w:tblStylePr>
    <w:tblStylePr w:type="neCell">
      <w:rPr>
        <w:color w:val="404040" w:themeColor="text1"/>
      </w:rPr>
    </w:tblStylePr>
    <w:tblStylePr w:type="nwCell">
      <w:rPr>
        <w:color w:val="404040" w:themeColor="text1"/>
      </w:rPr>
    </w:tblStylePr>
  </w:style>
  <w:style w:type="character" w:styleId="affb">
    <w:name w:val="annotation reference"/>
    <w:basedOn w:val="a3"/>
    <w:uiPriority w:val="99"/>
    <w:unhideWhenUsed/>
    <w:rsid w:val="00F527CC"/>
    <w:rPr>
      <w:sz w:val="16"/>
      <w:szCs w:val="16"/>
      <w:lang w:val="en-US"/>
    </w:rPr>
  </w:style>
  <w:style w:type="paragraph" w:styleId="affc">
    <w:name w:val="annotation text"/>
    <w:basedOn w:val="a2"/>
    <w:link w:val="affd"/>
    <w:uiPriority w:val="99"/>
    <w:unhideWhenUsed/>
    <w:rsid w:val="00F527CC"/>
    <w:pPr>
      <w:spacing w:line="240" w:lineRule="auto"/>
    </w:pPr>
    <w:rPr>
      <w:sz w:val="20"/>
      <w:szCs w:val="20"/>
    </w:rPr>
  </w:style>
  <w:style w:type="character" w:customStyle="1" w:styleId="affd">
    <w:name w:val="Текст примечания Знак"/>
    <w:basedOn w:val="a3"/>
    <w:link w:val="affc"/>
    <w:uiPriority w:val="99"/>
    <w:rsid w:val="00F527CC"/>
    <w:rPr>
      <w:sz w:val="20"/>
      <w:szCs w:val="20"/>
      <w:lang w:val="en-US"/>
    </w:rPr>
  </w:style>
  <w:style w:type="paragraph" w:styleId="affe">
    <w:name w:val="annotation subject"/>
    <w:basedOn w:val="affc"/>
    <w:next w:val="affc"/>
    <w:link w:val="afff"/>
    <w:uiPriority w:val="99"/>
    <w:semiHidden/>
    <w:unhideWhenUsed/>
    <w:rsid w:val="00F527CC"/>
    <w:rPr>
      <w:b/>
      <w:bCs/>
    </w:rPr>
  </w:style>
  <w:style w:type="character" w:customStyle="1" w:styleId="afff">
    <w:name w:val="Тема примечания Знак"/>
    <w:basedOn w:val="affd"/>
    <w:link w:val="affe"/>
    <w:uiPriority w:val="99"/>
    <w:semiHidden/>
    <w:rsid w:val="00F527CC"/>
    <w:rPr>
      <w:b/>
      <w:bCs/>
      <w:sz w:val="20"/>
      <w:szCs w:val="20"/>
      <w:lang w:val="en-US"/>
    </w:rPr>
  </w:style>
  <w:style w:type="table" w:styleId="afff0">
    <w:name w:val="Dark List"/>
    <w:basedOn w:val="a4"/>
    <w:uiPriority w:val="70"/>
    <w:semiHidden/>
    <w:unhideWhenUsed/>
    <w:rsid w:val="00F527CC"/>
    <w:pPr>
      <w:spacing w:after="0" w:line="240" w:lineRule="auto"/>
    </w:pPr>
    <w:rPr>
      <w:color w:val="FFFFFF" w:themeColor="background1"/>
    </w:rPr>
    <w:tblPr>
      <w:tblStyleRowBandSize w:val="1"/>
      <w:tblStyleColBandSize w:val="1"/>
    </w:tblPr>
    <w:tcPr>
      <w:shd w:val="clear" w:color="auto" w:fill="4040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text1" w:themeFillShade="BF"/>
      </w:tcPr>
    </w:tblStylePr>
    <w:tblStylePr w:type="band1Vert">
      <w:tblPr/>
      <w:tcPr>
        <w:tcBorders>
          <w:top w:val="nil"/>
          <w:left w:val="nil"/>
          <w:bottom w:val="nil"/>
          <w:right w:val="nil"/>
          <w:insideH w:val="nil"/>
          <w:insideV w:val="nil"/>
        </w:tcBorders>
        <w:shd w:val="clear" w:color="auto" w:fill="2F2F2F" w:themeFill="text1" w:themeFillShade="BF"/>
      </w:tcPr>
    </w:tblStylePr>
    <w:tblStylePr w:type="band1Horz">
      <w:tblPr/>
      <w:tcPr>
        <w:tcBorders>
          <w:top w:val="nil"/>
          <w:left w:val="nil"/>
          <w:bottom w:val="nil"/>
          <w:right w:val="nil"/>
          <w:insideH w:val="nil"/>
          <w:insideV w:val="nil"/>
        </w:tcBorders>
        <w:shd w:val="clear" w:color="auto" w:fill="2F2F2F" w:themeFill="text1" w:themeFillShade="BF"/>
      </w:tcPr>
    </w:tblStylePr>
  </w:style>
  <w:style w:type="table" w:styleId="-12">
    <w:name w:val="Dark List Accent 1"/>
    <w:basedOn w:val="a4"/>
    <w:uiPriority w:val="70"/>
    <w:semiHidden/>
    <w:unhideWhenUsed/>
    <w:rsid w:val="00F527CC"/>
    <w:pPr>
      <w:spacing w:after="0" w:line="240" w:lineRule="auto"/>
    </w:pPr>
    <w:rPr>
      <w:color w:val="FFFFFF" w:themeColor="background1"/>
    </w:rPr>
    <w:tblPr>
      <w:tblStyleRowBandSize w:val="1"/>
      <w:tblStyleColBandSize w:val="1"/>
    </w:tblPr>
    <w:tcPr>
      <w:shd w:val="clear" w:color="auto" w:fill="C7C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1626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3959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39599" w:themeFill="accent1" w:themeFillShade="BF"/>
      </w:tcPr>
    </w:tblStylePr>
    <w:tblStylePr w:type="band1Vert">
      <w:tblPr/>
      <w:tcPr>
        <w:tcBorders>
          <w:top w:val="nil"/>
          <w:left w:val="nil"/>
          <w:bottom w:val="nil"/>
          <w:right w:val="nil"/>
          <w:insideH w:val="nil"/>
          <w:insideV w:val="nil"/>
        </w:tcBorders>
        <w:shd w:val="clear" w:color="auto" w:fill="939599" w:themeFill="accent1" w:themeFillShade="BF"/>
      </w:tcPr>
    </w:tblStylePr>
    <w:tblStylePr w:type="band1Horz">
      <w:tblPr/>
      <w:tcPr>
        <w:tcBorders>
          <w:top w:val="nil"/>
          <w:left w:val="nil"/>
          <w:bottom w:val="nil"/>
          <w:right w:val="nil"/>
          <w:insideH w:val="nil"/>
          <w:insideV w:val="nil"/>
        </w:tcBorders>
        <w:shd w:val="clear" w:color="auto" w:fill="939599" w:themeFill="accent1" w:themeFillShade="BF"/>
      </w:tcPr>
    </w:tblStylePr>
  </w:style>
  <w:style w:type="table" w:styleId="-22">
    <w:name w:val="Dark List Accent 2"/>
    <w:basedOn w:val="a4"/>
    <w:uiPriority w:val="70"/>
    <w:semiHidden/>
    <w:unhideWhenUsed/>
    <w:rsid w:val="00F527CC"/>
    <w:pPr>
      <w:spacing w:after="0" w:line="240" w:lineRule="auto"/>
    </w:pPr>
    <w:rPr>
      <w:color w:val="FFFFFF" w:themeColor="background1"/>
    </w:rPr>
    <w:tblPr>
      <w:tblStyleRowBandSize w:val="1"/>
      <w:tblStyleColBandSize w:val="1"/>
    </w:tblPr>
    <w:tcPr>
      <w:shd w:val="clear" w:color="auto" w:fill="93959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84A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6F7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6F72" w:themeFill="accent2" w:themeFillShade="BF"/>
      </w:tcPr>
    </w:tblStylePr>
    <w:tblStylePr w:type="band1Vert">
      <w:tblPr/>
      <w:tcPr>
        <w:tcBorders>
          <w:top w:val="nil"/>
          <w:left w:val="nil"/>
          <w:bottom w:val="nil"/>
          <w:right w:val="nil"/>
          <w:insideH w:val="nil"/>
          <w:insideV w:val="nil"/>
        </w:tcBorders>
        <w:shd w:val="clear" w:color="auto" w:fill="6D6F72" w:themeFill="accent2" w:themeFillShade="BF"/>
      </w:tcPr>
    </w:tblStylePr>
    <w:tblStylePr w:type="band1Horz">
      <w:tblPr/>
      <w:tcPr>
        <w:tcBorders>
          <w:top w:val="nil"/>
          <w:left w:val="nil"/>
          <w:bottom w:val="nil"/>
          <w:right w:val="nil"/>
          <w:insideH w:val="nil"/>
          <w:insideV w:val="nil"/>
        </w:tcBorders>
        <w:shd w:val="clear" w:color="auto" w:fill="6D6F72" w:themeFill="accent2" w:themeFillShade="BF"/>
      </w:tcPr>
    </w:tblStylePr>
  </w:style>
  <w:style w:type="table" w:styleId="-32">
    <w:name w:val="Dark List Accent 3"/>
    <w:basedOn w:val="a4"/>
    <w:uiPriority w:val="70"/>
    <w:semiHidden/>
    <w:unhideWhenUsed/>
    <w:rsid w:val="00F527CC"/>
    <w:pPr>
      <w:spacing w:after="0" w:line="240" w:lineRule="auto"/>
    </w:pPr>
    <w:rPr>
      <w:color w:val="FFFFFF" w:themeColor="background1"/>
    </w:rPr>
    <w:tblPr>
      <w:tblStyleRowBandSize w:val="1"/>
      <w:tblStyleColBandSize w:val="1"/>
    </w:tblPr>
    <w:tcPr>
      <w:shd w:val="clear" w:color="auto" w:fill="63646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1313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4A4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4A4C" w:themeFill="accent3" w:themeFillShade="BF"/>
      </w:tcPr>
    </w:tblStylePr>
    <w:tblStylePr w:type="band1Vert">
      <w:tblPr/>
      <w:tcPr>
        <w:tcBorders>
          <w:top w:val="nil"/>
          <w:left w:val="nil"/>
          <w:bottom w:val="nil"/>
          <w:right w:val="nil"/>
          <w:insideH w:val="nil"/>
          <w:insideV w:val="nil"/>
        </w:tcBorders>
        <w:shd w:val="clear" w:color="auto" w:fill="4A4A4C" w:themeFill="accent3" w:themeFillShade="BF"/>
      </w:tcPr>
    </w:tblStylePr>
    <w:tblStylePr w:type="band1Horz">
      <w:tblPr/>
      <w:tcPr>
        <w:tcBorders>
          <w:top w:val="nil"/>
          <w:left w:val="nil"/>
          <w:bottom w:val="nil"/>
          <w:right w:val="nil"/>
          <w:insideH w:val="nil"/>
          <w:insideV w:val="nil"/>
        </w:tcBorders>
        <w:shd w:val="clear" w:color="auto" w:fill="4A4A4C" w:themeFill="accent3" w:themeFillShade="BF"/>
      </w:tcPr>
    </w:tblStylePr>
  </w:style>
  <w:style w:type="table" w:styleId="-42">
    <w:name w:val="Dark List Accent 4"/>
    <w:basedOn w:val="a4"/>
    <w:uiPriority w:val="70"/>
    <w:semiHidden/>
    <w:unhideWhenUsed/>
    <w:rsid w:val="00F527CC"/>
    <w:pPr>
      <w:spacing w:after="0" w:line="240" w:lineRule="auto"/>
    </w:pPr>
    <w:rPr>
      <w:color w:val="FFFFFF" w:themeColor="background1"/>
    </w:rPr>
    <w:tblPr>
      <w:tblStyleRowBandSize w:val="1"/>
      <w:tblStyleColBandSize w:val="1"/>
    </w:tblPr>
    <w:tcPr>
      <w:shd w:val="clear" w:color="auto" w:fill="CD202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610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9182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91820" w:themeFill="accent4" w:themeFillShade="BF"/>
      </w:tcPr>
    </w:tblStylePr>
    <w:tblStylePr w:type="band1Vert">
      <w:tblPr/>
      <w:tcPr>
        <w:tcBorders>
          <w:top w:val="nil"/>
          <w:left w:val="nil"/>
          <w:bottom w:val="nil"/>
          <w:right w:val="nil"/>
          <w:insideH w:val="nil"/>
          <w:insideV w:val="nil"/>
        </w:tcBorders>
        <w:shd w:val="clear" w:color="auto" w:fill="991820" w:themeFill="accent4" w:themeFillShade="BF"/>
      </w:tcPr>
    </w:tblStylePr>
    <w:tblStylePr w:type="band1Horz">
      <w:tblPr/>
      <w:tcPr>
        <w:tcBorders>
          <w:top w:val="nil"/>
          <w:left w:val="nil"/>
          <w:bottom w:val="nil"/>
          <w:right w:val="nil"/>
          <w:insideH w:val="nil"/>
          <w:insideV w:val="nil"/>
        </w:tcBorders>
        <w:shd w:val="clear" w:color="auto" w:fill="991820" w:themeFill="accent4" w:themeFillShade="BF"/>
      </w:tcPr>
    </w:tblStylePr>
  </w:style>
  <w:style w:type="table" w:styleId="-52">
    <w:name w:val="Dark List Accent 5"/>
    <w:basedOn w:val="a4"/>
    <w:uiPriority w:val="70"/>
    <w:semiHidden/>
    <w:unhideWhenUsed/>
    <w:rsid w:val="00F527CC"/>
    <w:pPr>
      <w:spacing w:after="0" w:line="240" w:lineRule="auto"/>
    </w:pPr>
    <w:rPr>
      <w:color w:val="FFFFFF" w:themeColor="background1"/>
    </w:rPr>
    <w:tblPr>
      <w:tblStyleRowBandSize w:val="1"/>
      <w:tblStyleColBandSize w:val="1"/>
    </w:tblPr>
    <w:tcPr>
      <w:shd w:val="clear" w:color="auto" w:fill="0055A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002A5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3F7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3F7F" w:themeFill="accent5" w:themeFillShade="BF"/>
      </w:tcPr>
    </w:tblStylePr>
    <w:tblStylePr w:type="band1Vert">
      <w:tblPr/>
      <w:tcPr>
        <w:tcBorders>
          <w:top w:val="nil"/>
          <w:left w:val="nil"/>
          <w:bottom w:val="nil"/>
          <w:right w:val="nil"/>
          <w:insideH w:val="nil"/>
          <w:insideV w:val="nil"/>
        </w:tcBorders>
        <w:shd w:val="clear" w:color="auto" w:fill="003F7F" w:themeFill="accent5" w:themeFillShade="BF"/>
      </w:tcPr>
    </w:tblStylePr>
    <w:tblStylePr w:type="band1Horz">
      <w:tblPr/>
      <w:tcPr>
        <w:tcBorders>
          <w:top w:val="nil"/>
          <w:left w:val="nil"/>
          <w:bottom w:val="nil"/>
          <w:right w:val="nil"/>
          <w:insideH w:val="nil"/>
          <w:insideV w:val="nil"/>
        </w:tcBorders>
        <w:shd w:val="clear" w:color="auto" w:fill="003F7F" w:themeFill="accent5" w:themeFillShade="BF"/>
      </w:tcPr>
    </w:tblStylePr>
  </w:style>
  <w:style w:type="table" w:styleId="-62">
    <w:name w:val="Dark List Accent 6"/>
    <w:basedOn w:val="a4"/>
    <w:uiPriority w:val="70"/>
    <w:semiHidden/>
    <w:unhideWhenUsed/>
    <w:rsid w:val="00F527CC"/>
    <w:pPr>
      <w:spacing w:after="0" w:line="240" w:lineRule="auto"/>
    </w:pPr>
    <w:rPr>
      <w:color w:val="FFFFFF" w:themeColor="background1"/>
    </w:rPr>
    <w:tblPr>
      <w:tblStyleRowBandSize w:val="1"/>
      <w:tblStyleColBandSize w:val="1"/>
    </w:tblPr>
    <w:tcPr>
      <w:shd w:val="clear" w:color="auto" w:fill="FFAA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8F57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88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88400" w:themeFill="accent6" w:themeFillShade="BF"/>
      </w:tcPr>
    </w:tblStylePr>
    <w:tblStylePr w:type="band1Vert">
      <w:tblPr/>
      <w:tcPr>
        <w:tcBorders>
          <w:top w:val="nil"/>
          <w:left w:val="nil"/>
          <w:bottom w:val="nil"/>
          <w:right w:val="nil"/>
          <w:insideH w:val="nil"/>
          <w:insideV w:val="nil"/>
        </w:tcBorders>
        <w:shd w:val="clear" w:color="auto" w:fill="D88400" w:themeFill="accent6" w:themeFillShade="BF"/>
      </w:tcPr>
    </w:tblStylePr>
    <w:tblStylePr w:type="band1Horz">
      <w:tblPr/>
      <w:tcPr>
        <w:tcBorders>
          <w:top w:val="nil"/>
          <w:left w:val="nil"/>
          <w:bottom w:val="nil"/>
          <w:right w:val="nil"/>
          <w:insideH w:val="nil"/>
          <w:insideV w:val="nil"/>
        </w:tcBorders>
        <w:shd w:val="clear" w:color="auto" w:fill="D88400" w:themeFill="accent6" w:themeFillShade="BF"/>
      </w:tcPr>
    </w:tblStylePr>
  </w:style>
  <w:style w:type="paragraph" w:styleId="afff1">
    <w:name w:val="Document Map"/>
    <w:basedOn w:val="a2"/>
    <w:link w:val="afff2"/>
    <w:uiPriority w:val="99"/>
    <w:semiHidden/>
    <w:unhideWhenUsed/>
    <w:rsid w:val="00F527CC"/>
    <w:pPr>
      <w:spacing w:after="0" w:line="240" w:lineRule="auto"/>
    </w:pPr>
    <w:rPr>
      <w:rFonts w:ascii="Segoe UI" w:hAnsi="Segoe UI" w:cs="Segoe UI"/>
      <w:sz w:val="16"/>
      <w:szCs w:val="16"/>
    </w:rPr>
  </w:style>
  <w:style w:type="character" w:customStyle="1" w:styleId="afff2">
    <w:name w:val="Схема документа Знак"/>
    <w:basedOn w:val="a3"/>
    <w:link w:val="afff1"/>
    <w:uiPriority w:val="99"/>
    <w:semiHidden/>
    <w:rsid w:val="00F527CC"/>
    <w:rPr>
      <w:rFonts w:ascii="Segoe UI" w:hAnsi="Segoe UI" w:cs="Segoe UI"/>
      <w:sz w:val="16"/>
      <w:szCs w:val="16"/>
      <w:lang w:val="en-US"/>
    </w:rPr>
  </w:style>
  <w:style w:type="paragraph" w:styleId="afff3">
    <w:name w:val="E-mail Signature"/>
    <w:basedOn w:val="a2"/>
    <w:link w:val="afff4"/>
    <w:uiPriority w:val="99"/>
    <w:semiHidden/>
    <w:unhideWhenUsed/>
    <w:rsid w:val="00F527CC"/>
    <w:pPr>
      <w:spacing w:after="0" w:line="240" w:lineRule="auto"/>
    </w:pPr>
  </w:style>
  <w:style w:type="character" w:customStyle="1" w:styleId="afff4">
    <w:name w:val="Электронная подпись Знак"/>
    <w:basedOn w:val="a3"/>
    <w:link w:val="afff3"/>
    <w:uiPriority w:val="99"/>
    <w:semiHidden/>
    <w:rsid w:val="00F527CC"/>
    <w:rPr>
      <w:lang w:val="en-US"/>
    </w:rPr>
  </w:style>
  <w:style w:type="character" w:styleId="afff5">
    <w:name w:val="Emphasis"/>
    <w:basedOn w:val="a3"/>
    <w:uiPriority w:val="20"/>
    <w:qFormat/>
    <w:rsid w:val="00F527CC"/>
    <w:rPr>
      <w:i/>
      <w:iCs/>
      <w:lang w:val="en-US"/>
    </w:rPr>
  </w:style>
  <w:style w:type="paragraph" w:styleId="afff6">
    <w:name w:val="envelope address"/>
    <w:basedOn w:val="a2"/>
    <w:uiPriority w:val="99"/>
    <w:semiHidden/>
    <w:unhideWhenUsed/>
    <w:rsid w:val="00F527CC"/>
    <w:pPr>
      <w:framePr w:w="7920" w:h="1980" w:hRule="exact" w:hSpace="180" w:wrap="auto" w:hAnchor="page" w:xAlign="center" w:yAlign="bottom"/>
      <w:spacing w:after="0" w:line="240" w:lineRule="auto"/>
      <w:ind w:left="2880"/>
    </w:pPr>
    <w:rPr>
      <w:rFonts w:eastAsiaTheme="majorEastAsia" w:cs="Arial"/>
      <w:sz w:val="24"/>
      <w:szCs w:val="24"/>
    </w:rPr>
  </w:style>
  <w:style w:type="paragraph" w:styleId="2c">
    <w:name w:val="envelope return"/>
    <w:basedOn w:val="a2"/>
    <w:uiPriority w:val="99"/>
    <w:semiHidden/>
    <w:unhideWhenUsed/>
    <w:rsid w:val="00F527CC"/>
    <w:pPr>
      <w:spacing w:after="0" w:line="240" w:lineRule="auto"/>
    </w:pPr>
    <w:rPr>
      <w:rFonts w:eastAsiaTheme="majorEastAsia" w:cs="Arial"/>
      <w:sz w:val="20"/>
      <w:szCs w:val="20"/>
    </w:rPr>
  </w:style>
  <w:style w:type="character" w:styleId="afff7">
    <w:name w:val="FollowedHyperlink"/>
    <w:basedOn w:val="a3"/>
    <w:uiPriority w:val="99"/>
    <w:semiHidden/>
    <w:unhideWhenUsed/>
    <w:rsid w:val="00F527CC"/>
    <w:rPr>
      <w:color w:val="954F72" w:themeColor="followedHyperlink"/>
      <w:u w:val="single"/>
      <w:lang w:val="en-US"/>
    </w:rPr>
  </w:style>
  <w:style w:type="table" w:styleId="-13">
    <w:name w:val="Grid Table 1 Light"/>
    <w:basedOn w:val="a4"/>
    <w:uiPriority w:val="46"/>
    <w:rsid w:val="00F527CC"/>
    <w:pPr>
      <w:spacing w:after="0" w:line="240" w:lineRule="auto"/>
    </w:p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C8C8C" w:themeColor="text1" w:themeTint="99"/>
        </w:tcBorders>
      </w:tcPr>
    </w:tblStylePr>
    <w:tblStylePr w:type="lastRow">
      <w:rPr>
        <w:b/>
        <w:bCs/>
      </w:rPr>
      <w:tblPr/>
      <w:tcPr>
        <w:tcBorders>
          <w:top w:val="double" w:sz="2" w:space="0" w:color="8C8C8C"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F527CC"/>
    <w:pPr>
      <w:spacing w:after="0" w:line="240" w:lineRule="auto"/>
    </w:pPr>
    <w:tblPr>
      <w:tblStyleRowBandSize w:val="1"/>
      <w:tblStyleColBandSize w:val="1"/>
      <w:tblBorders>
        <w:top w:val="single" w:sz="4" w:space="0" w:color="E8E8E9" w:themeColor="accent1" w:themeTint="66"/>
        <w:left w:val="single" w:sz="4" w:space="0" w:color="E8E8E9" w:themeColor="accent1" w:themeTint="66"/>
        <w:bottom w:val="single" w:sz="4" w:space="0" w:color="E8E8E9" w:themeColor="accent1" w:themeTint="66"/>
        <w:right w:val="single" w:sz="4" w:space="0" w:color="E8E8E9" w:themeColor="accent1" w:themeTint="66"/>
        <w:insideH w:val="single" w:sz="4" w:space="0" w:color="E8E8E9" w:themeColor="accent1" w:themeTint="66"/>
        <w:insideV w:val="single" w:sz="4" w:space="0" w:color="E8E8E9" w:themeColor="accent1" w:themeTint="66"/>
      </w:tblBorders>
    </w:tblPr>
    <w:tblStylePr w:type="firstRow">
      <w:rPr>
        <w:b/>
        <w:bCs/>
      </w:rPr>
      <w:tblPr/>
      <w:tcPr>
        <w:tcBorders>
          <w:bottom w:val="single" w:sz="12" w:space="0" w:color="DDDDDF" w:themeColor="accent1" w:themeTint="99"/>
        </w:tcBorders>
      </w:tcPr>
    </w:tblStylePr>
    <w:tblStylePr w:type="lastRow">
      <w:rPr>
        <w:b/>
        <w:bCs/>
      </w:rPr>
      <w:tblPr/>
      <w:tcPr>
        <w:tcBorders>
          <w:top w:val="double" w:sz="2" w:space="0" w:color="DDDDDF"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F527CC"/>
    <w:pPr>
      <w:spacing w:after="0" w:line="240" w:lineRule="auto"/>
    </w:pPr>
    <w:tblPr>
      <w:tblStyleRowBandSize w:val="1"/>
      <w:tblStyleColBandSize w:val="1"/>
      <w:tblBorders>
        <w:top w:val="single" w:sz="4" w:space="0" w:color="D3D4D5" w:themeColor="accent2" w:themeTint="66"/>
        <w:left w:val="single" w:sz="4" w:space="0" w:color="D3D4D5" w:themeColor="accent2" w:themeTint="66"/>
        <w:bottom w:val="single" w:sz="4" w:space="0" w:color="D3D4D5" w:themeColor="accent2" w:themeTint="66"/>
        <w:right w:val="single" w:sz="4" w:space="0" w:color="D3D4D5" w:themeColor="accent2" w:themeTint="66"/>
        <w:insideH w:val="single" w:sz="4" w:space="0" w:color="D3D4D5" w:themeColor="accent2" w:themeTint="66"/>
        <w:insideV w:val="single" w:sz="4" w:space="0" w:color="D3D4D5" w:themeColor="accent2" w:themeTint="66"/>
      </w:tblBorders>
    </w:tblPr>
    <w:tblStylePr w:type="firstRow">
      <w:rPr>
        <w:b/>
        <w:bCs/>
      </w:rPr>
      <w:tblPr/>
      <w:tcPr>
        <w:tcBorders>
          <w:bottom w:val="single" w:sz="12" w:space="0" w:color="BEBFC1" w:themeColor="accent2" w:themeTint="99"/>
        </w:tcBorders>
      </w:tcPr>
    </w:tblStylePr>
    <w:tblStylePr w:type="lastRow">
      <w:rPr>
        <w:b/>
        <w:bCs/>
      </w:rPr>
      <w:tblPr/>
      <w:tcPr>
        <w:tcBorders>
          <w:top w:val="double" w:sz="2" w:space="0" w:color="BEBFC1"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F527CC"/>
    <w:pPr>
      <w:spacing w:after="0" w:line="240" w:lineRule="auto"/>
    </w:pPr>
    <w:tblPr>
      <w:tblStyleRowBandSize w:val="1"/>
      <w:tblStyleColBandSize w:val="1"/>
      <w:tblBorders>
        <w:top w:val="single" w:sz="4" w:space="0" w:color="C0C0C2" w:themeColor="accent3" w:themeTint="66"/>
        <w:left w:val="single" w:sz="4" w:space="0" w:color="C0C0C2" w:themeColor="accent3" w:themeTint="66"/>
        <w:bottom w:val="single" w:sz="4" w:space="0" w:color="C0C0C2" w:themeColor="accent3" w:themeTint="66"/>
        <w:right w:val="single" w:sz="4" w:space="0" w:color="C0C0C2" w:themeColor="accent3" w:themeTint="66"/>
        <w:insideH w:val="single" w:sz="4" w:space="0" w:color="C0C0C2" w:themeColor="accent3" w:themeTint="66"/>
        <w:insideV w:val="single" w:sz="4" w:space="0" w:color="C0C0C2" w:themeColor="accent3" w:themeTint="66"/>
      </w:tblBorders>
    </w:tblPr>
    <w:tblStylePr w:type="firstRow">
      <w:rPr>
        <w:b/>
        <w:bCs/>
      </w:rPr>
      <w:tblPr/>
      <w:tcPr>
        <w:tcBorders>
          <w:bottom w:val="single" w:sz="12" w:space="0" w:color="A0A1A3" w:themeColor="accent3" w:themeTint="99"/>
        </w:tcBorders>
      </w:tcPr>
    </w:tblStylePr>
    <w:tblStylePr w:type="lastRow">
      <w:rPr>
        <w:b/>
        <w:bCs/>
      </w:rPr>
      <w:tblPr/>
      <w:tcPr>
        <w:tcBorders>
          <w:top w:val="double" w:sz="2" w:space="0" w:color="A0A1A3" w:themeColor="accent3" w:themeTint="99"/>
        </w:tcBorders>
      </w:tcPr>
    </w:tblStylePr>
    <w:tblStylePr w:type="firstCol">
      <w:rPr>
        <w:b/>
        <w:bCs/>
      </w:rPr>
    </w:tblStylePr>
    <w:tblStylePr w:type="lastCol">
      <w:rPr>
        <w:b/>
        <w:bCs/>
      </w:rPr>
    </w:tblStylePr>
  </w:style>
  <w:style w:type="table" w:styleId="-14">
    <w:name w:val="Grid Table 1 Light Accent 4"/>
    <w:basedOn w:val="a4"/>
    <w:uiPriority w:val="46"/>
    <w:rsid w:val="00F527CC"/>
    <w:pPr>
      <w:spacing w:after="0" w:line="240" w:lineRule="auto"/>
    </w:pPr>
    <w:tblPr>
      <w:tblStyleRowBandSize w:val="1"/>
      <w:tblStyleColBandSize w:val="1"/>
      <w:tblBorders>
        <w:top w:val="single" w:sz="4" w:space="0" w:color="F0A0A5" w:themeColor="accent4" w:themeTint="66"/>
        <w:left w:val="single" w:sz="4" w:space="0" w:color="F0A0A5" w:themeColor="accent4" w:themeTint="66"/>
        <w:bottom w:val="single" w:sz="4" w:space="0" w:color="F0A0A5" w:themeColor="accent4" w:themeTint="66"/>
        <w:right w:val="single" w:sz="4" w:space="0" w:color="F0A0A5" w:themeColor="accent4" w:themeTint="66"/>
        <w:insideH w:val="single" w:sz="4" w:space="0" w:color="F0A0A5" w:themeColor="accent4" w:themeTint="66"/>
        <w:insideV w:val="single" w:sz="4" w:space="0" w:color="F0A0A5" w:themeColor="accent4" w:themeTint="66"/>
      </w:tblBorders>
    </w:tblPr>
    <w:tblStylePr w:type="firstRow">
      <w:rPr>
        <w:b/>
        <w:bCs/>
      </w:rPr>
      <w:tblPr/>
      <w:tcPr>
        <w:tcBorders>
          <w:bottom w:val="single" w:sz="12" w:space="0" w:color="E87179" w:themeColor="accent4" w:themeTint="99"/>
        </w:tcBorders>
      </w:tcPr>
    </w:tblStylePr>
    <w:tblStylePr w:type="lastRow">
      <w:rPr>
        <w:b/>
        <w:bCs/>
      </w:rPr>
      <w:tblPr/>
      <w:tcPr>
        <w:tcBorders>
          <w:top w:val="double" w:sz="2" w:space="0" w:color="E87179" w:themeColor="accent4" w:themeTint="99"/>
        </w:tcBorders>
      </w:tcPr>
    </w:tblStylePr>
    <w:tblStylePr w:type="firstCol">
      <w:rPr>
        <w:b/>
        <w:bCs/>
      </w:rPr>
    </w:tblStylePr>
    <w:tblStylePr w:type="lastCol">
      <w:rPr>
        <w:b/>
        <w:bCs/>
      </w:rPr>
    </w:tblStylePr>
  </w:style>
  <w:style w:type="table" w:styleId="-15">
    <w:name w:val="Grid Table 1 Light Accent 5"/>
    <w:basedOn w:val="a4"/>
    <w:uiPriority w:val="46"/>
    <w:rsid w:val="00F527CC"/>
    <w:pPr>
      <w:spacing w:after="0" w:line="240" w:lineRule="auto"/>
    </w:pPr>
    <w:tblPr>
      <w:tblStyleRowBandSize w:val="1"/>
      <w:tblStyleColBandSize w:val="1"/>
      <w:tblBorders>
        <w:top w:val="single" w:sz="4" w:space="0" w:color="77BAFF" w:themeColor="accent5" w:themeTint="66"/>
        <w:left w:val="single" w:sz="4" w:space="0" w:color="77BAFF" w:themeColor="accent5" w:themeTint="66"/>
        <w:bottom w:val="single" w:sz="4" w:space="0" w:color="77BAFF" w:themeColor="accent5" w:themeTint="66"/>
        <w:right w:val="single" w:sz="4" w:space="0" w:color="77BAFF" w:themeColor="accent5" w:themeTint="66"/>
        <w:insideH w:val="single" w:sz="4" w:space="0" w:color="77BAFF" w:themeColor="accent5" w:themeTint="66"/>
        <w:insideV w:val="single" w:sz="4" w:space="0" w:color="77BAFF" w:themeColor="accent5" w:themeTint="66"/>
      </w:tblBorders>
    </w:tblPr>
    <w:tblStylePr w:type="firstRow">
      <w:rPr>
        <w:b/>
        <w:bCs/>
      </w:rPr>
      <w:tblPr/>
      <w:tcPr>
        <w:tcBorders>
          <w:bottom w:val="single" w:sz="12" w:space="0" w:color="3398FF" w:themeColor="accent5" w:themeTint="99"/>
        </w:tcBorders>
      </w:tcPr>
    </w:tblStylePr>
    <w:tblStylePr w:type="lastRow">
      <w:rPr>
        <w:b/>
        <w:bCs/>
      </w:rPr>
      <w:tblPr/>
      <w:tcPr>
        <w:tcBorders>
          <w:top w:val="double" w:sz="2" w:space="0" w:color="3398FF" w:themeColor="accent5" w:themeTint="99"/>
        </w:tcBorders>
      </w:tcPr>
    </w:tblStylePr>
    <w:tblStylePr w:type="firstCol">
      <w:rPr>
        <w:b/>
        <w:bCs/>
      </w:rPr>
    </w:tblStylePr>
    <w:tblStylePr w:type="lastCol">
      <w:rPr>
        <w:b/>
        <w:bCs/>
      </w:rPr>
    </w:tblStylePr>
  </w:style>
  <w:style w:type="table" w:styleId="-16">
    <w:name w:val="Grid Table 1 Light Accent 6"/>
    <w:basedOn w:val="a4"/>
    <w:uiPriority w:val="46"/>
    <w:rsid w:val="00F527CC"/>
    <w:pPr>
      <w:spacing w:after="0" w:line="240" w:lineRule="auto"/>
    </w:pPr>
    <w:tblPr>
      <w:tblStyleRowBandSize w:val="1"/>
      <w:tblStyleColBandSize w:val="1"/>
      <w:tblBorders>
        <w:top w:val="single" w:sz="4" w:space="0" w:color="FFDCA6" w:themeColor="accent6" w:themeTint="66"/>
        <w:left w:val="single" w:sz="4" w:space="0" w:color="FFDCA6" w:themeColor="accent6" w:themeTint="66"/>
        <w:bottom w:val="single" w:sz="4" w:space="0" w:color="FFDCA6" w:themeColor="accent6" w:themeTint="66"/>
        <w:right w:val="single" w:sz="4" w:space="0" w:color="FFDCA6" w:themeColor="accent6" w:themeTint="66"/>
        <w:insideH w:val="single" w:sz="4" w:space="0" w:color="FFDCA6" w:themeColor="accent6" w:themeTint="66"/>
        <w:insideV w:val="single" w:sz="4" w:space="0" w:color="FFDCA6" w:themeColor="accent6" w:themeTint="66"/>
      </w:tblBorders>
    </w:tblPr>
    <w:tblStylePr w:type="firstRow">
      <w:rPr>
        <w:b/>
        <w:bCs/>
      </w:rPr>
      <w:tblPr/>
      <w:tcPr>
        <w:tcBorders>
          <w:bottom w:val="single" w:sz="12" w:space="0" w:color="FFCB7A" w:themeColor="accent6" w:themeTint="99"/>
        </w:tcBorders>
      </w:tcPr>
    </w:tblStylePr>
    <w:tblStylePr w:type="lastRow">
      <w:rPr>
        <w:b/>
        <w:bCs/>
      </w:rPr>
      <w:tblPr/>
      <w:tcPr>
        <w:tcBorders>
          <w:top w:val="double" w:sz="2" w:space="0" w:color="FFCB7A" w:themeColor="accent6" w:themeTint="99"/>
        </w:tcBorders>
      </w:tcPr>
    </w:tblStylePr>
    <w:tblStylePr w:type="firstCol">
      <w:rPr>
        <w:b/>
        <w:bCs/>
      </w:rPr>
    </w:tblStylePr>
    <w:tblStylePr w:type="lastCol">
      <w:rPr>
        <w:b/>
        <w:bCs/>
      </w:rPr>
    </w:tblStylePr>
  </w:style>
  <w:style w:type="table" w:styleId="-23">
    <w:name w:val="Grid Table 2"/>
    <w:basedOn w:val="a4"/>
    <w:uiPriority w:val="47"/>
    <w:rsid w:val="00F527CC"/>
    <w:pPr>
      <w:spacing w:after="0" w:line="240" w:lineRule="auto"/>
    </w:pPr>
    <w:tblPr>
      <w:tblStyleRowBandSize w:val="1"/>
      <w:tblStyleColBandSize w:val="1"/>
      <w:tblBorders>
        <w:top w:val="single" w:sz="2" w:space="0" w:color="8C8C8C" w:themeColor="text1" w:themeTint="99"/>
        <w:bottom w:val="single" w:sz="2" w:space="0" w:color="8C8C8C" w:themeColor="text1" w:themeTint="99"/>
        <w:insideH w:val="single" w:sz="2" w:space="0" w:color="8C8C8C" w:themeColor="text1" w:themeTint="99"/>
        <w:insideV w:val="single" w:sz="2" w:space="0" w:color="8C8C8C" w:themeColor="text1" w:themeTint="99"/>
      </w:tblBorders>
    </w:tblPr>
    <w:tblStylePr w:type="firstRow">
      <w:rPr>
        <w:b/>
        <w:bCs/>
      </w:rPr>
      <w:tblPr/>
      <w:tcPr>
        <w:tcBorders>
          <w:top w:val="nil"/>
          <w:bottom w:val="single" w:sz="12" w:space="0" w:color="8C8C8C" w:themeColor="text1" w:themeTint="99"/>
          <w:insideH w:val="nil"/>
          <w:insideV w:val="nil"/>
        </w:tcBorders>
        <w:shd w:val="clear" w:color="auto" w:fill="FFFFFF" w:themeFill="background1"/>
      </w:tcPr>
    </w:tblStylePr>
    <w:tblStylePr w:type="lastRow">
      <w:rPr>
        <w:b/>
        <w:bCs/>
      </w:rPr>
      <w:tblPr/>
      <w:tcPr>
        <w:tcBorders>
          <w:top w:val="double" w:sz="2" w:space="0" w:color="8C8C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210">
    <w:name w:val="Grid Table 2 Accent 1"/>
    <w:basedOn w:val="a4"/>
    <w:uiPriority w:val="47"/>
    <w:rsid w:val="00F527CC"/>
    <w:pPr>
      <w:spacing w:after="0" w:line="240" w:lineRule="auto"/>
    </w:pPr>
    <w:tblPr>
      <w:tblStyleRowBandSize w:val="1"/>
      <w:tblStyleColBandSize w:val="1"/>
      <w:tblBorders>
        <w:top w:val="single" w:sz="2" w:space="0" w:color="DDDDDF" w:themeColor="accent1" w:themeTint="99"/>
        <w:bottom w:val="single" w:sz="2" w:space="0" w:color="DDDDDF" w:themeColor="accent1" w:themeTint="99"/>
        <w:insideH w:val="single" w:sz="2" w:space="0" w:color="DDDDDF" w:themeColor="accent1" w:themeTint="99"/>
        <w:insideV w:val="single" w:sz="2" w:space="0" w:color="DDDDDF" w:themeColor="accent1" w:themeTint="99"/>
      </w:tblBorders>
    </w:tblPr>
    <w:tblStylePr w:type="firstRow">
      <w:rPr>
        <w:b/>
        <w:bCs/>
      </w:rPr>
      <w:tblPr/>
      <w:tcPr>
        <w:tcBorders>
          <w:top w:val="nil"/>
          <w:bottom w:val="single" w:sz="12" w:space="0" w:color="DDDDDF" w:themeColor="accent1" w:themeTint="99"/>
          <w:insideH w:val="nil"/>
          <w:insideV w:val="nil"/>
        </w:tcBorders>
        <w:shd w:val="clear" w:color="auto" w:fill="FFFFFF" w:themeFill="background1"/>
      </w:tcPr>
    </w:tblStylePr>
    <w:tblStylePr w:type="lastRow">
      <w:rPr>
        <w:b/>
        <w:bCs/>
      </w:rPr>
      <w:tblPr/>
      <w:tcPr>
        <w:tcBorders>
          <w:top w:val="double" w:sz="2" w:space="0" w:color="DDDD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220">
    <w:name w:val="Grid Table 2 Accent 2"/>
    <w:basedOn w:val="a4"/>
    <w:uiPriority w:val="47"/>
    <w:rsid w:val="00F527CC"/>
    <w:pPr>
      <w:spacing w:after="0" w:line="240" w:lineRule="auto"/>
    </w:pPr>
    <w:tblPr>
      <w:tblStyleRowBandSize w:val="1"/>
      <w:tblStyleColBandSize w:val="1"/>
      <w:tblBorders>
        <w:top w:val="single" w:sz="2" w:space="0" w:color="BEBFC1" w:themeColor="accent2" w:themeTint="99"/>
        <w:bottom w:val="single" w:sz="2" w:space="0" w:color="BEBFC1" w:themeColor="accent2" w:themeTint="99"/>
        <w:insideH w:val="single" w:sz="2" w:space="0" w:color="BEBFC1" w:themeColor="accent2" w:themeTint="99"/>
        <w:insideV w:val="single" w:sz="2" w:space="0" w:color="BEBFC1" w:themeColor="accent2" w:themeTint="99"/>
      </w:tblBorders>
    </w:tblPr>
    <w:tblStylePr w:type="firstRow">
      <w:rPr>
        <w:b/>
        <w:bCs/>
      </w:rPr>
      <w:tblPr/>
      <w:tcPr>
        <w:tcBorders>
          <w:top w:val="nil"/>
          <w:bottom w:val="single" w:sz="12" w:space="0" w:color="BEBFC1" w:themeColor="accent2" w:themeTint="99"/>
          <w:insideH w:val="nil"/>
          <w:insideV w:val="nil"/>
        </w:tcBorders>
        <w:shd w:val="clear" w:color="auto" w:fill="FFFFFF" w:themeFill="background1"/>
      </w:tcPr>
    </w:tblStylePr>
    <w:tblStylePr w:type="lastRow">
      <w:rPr>
        <w:b/>
        <w:bCs/>
      </w:rPr>
      <w:tblPr/>
      <w:tcPr>
        <w:tcBorders>
          <w:top w:val="double" w:sz="2" w:space="0" w:color="BEBFC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230">
    <w:name w:val="Grid Table 2 Accent 3"/>
    <w:basedOn w:val="a4"/>
    <w:uiPriority w:val="47"/>
    <w:rsid w:val="00F527CC"/>
    <w:pPr>
      <w:spacing w:after="0" w:line="240" w:lineRule="auto"/>
    </w:pPr>
    <w:tblPr>
      <w:tblStyleRowBandSize w:val="1"/>
      <w:tblStyleColBandSize w:val="1"/>
      <w:tblBorders>
        <w:top w:val="single" w:sz="2" w:space="0" w:color="A0A1A3" w:themeColor="accent3" w:themeTint="99"/>
        <w:bottom w:val="single" w:sz="2" w:space="0" w:color="A0A1A3" w:themeColor="accent3" w:themeTint="99"/>
        <w:insideH w:val="single" w:sz="2" w:space="0" w:color="A0A1A3" w:themeColor="accent3" w:themeTint="99"/>
        <w:insideV w:val="single" w:sz="2" w:space="0" w:color="A0A1A3" w:themeColor="accent3" w:themeTint="99"/>
      </w:tblBorders>
    </w:tblPr>
    <w:tblStylePr w:type="firstRow">
      <w:rPr>
        <w:b/>
        <w:bCs/>
      </w:rPr>
      <w:tblPr/>
      <w:tcPr>
        <w:tcBorders>
          <w:top w:val="nil"/>
          <w:bottom w:val="single" w:sz="12" w:space="0" w:color="A0A1A3" w:themeColor="accent3" w:themeTint="99"/>
          <w:insideH w:val="nil"/>
          <w:insideV w:val="nil"/>
        </w:tcBorders>
        <w:shd w:val="clear" w:color="auto" w:fill="FFFFFF" w:themeFill="background1"/>
      </w:tcPr>
    </w:tblStylePr>
    <w:tblStylePr w:type="lastRow">
      <w:rPr>
        <w:b/>
        <w:bCs/>
      </w:rPr>
      <w:tblPr/>
      <w:tcPr>
        <w:tcBorders>
          <w:top w:val="double" w:sz="2" w:space="0" w:color="A0A1A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24">
    <w:name w:val="Grid Table 2 Accent 4"/>
    <w:basedOn w:val="a4"/>
    <w:uiPriority w:val="47"/>
    <w:rsid w:val="00F527CC"/>
    <w:pPr>
      <w:spacing w:after="0" w:line="240" w:lineRule="auto"/>
    </w:pPr>
    <w:tblPr>
      <w:tblStyleRowBandSize w:val="1"/>
      <w:tblStyleColBandSize w:val="1"/>
      <w:tblBorders>
        <w:top w:val="single" w:sz="2" w:space="0" w:color="E87179" w:themeColor="accent4" w:themeTint="99"/>
        <w:bottom w:val="single" w:sz="2" w:space="0" w:color="E87179" w:themeColor="accent4" w:themeTint="99"/>
        <w:insideH w:val="single" w:sz="2" w:space="0" w:color="E87179" w:themeColor="accent4" w:themeTint="99"/>
        <w:insideV w:val="single" w:sz="2" w:space="0" w:color="E87179" w:themeColor="accent4" w:themeTint="99"/>
      </w:tblBorders>
    </w:tblPr>
    <w:tblStylePr w:type="firstRow">
      <w:rPr>
        <w:b/>
        <w:bCs/>
      </w:rPr>
      <w:tblPr/>
      <w:tcPr>
        <w:tcBorders>
          <w:top w:val="nil"/>
          <w:bottom w:val="single" w:sz="12" w:space="0" w:color="E87179" w:themeColor="accent4" w:themeTint="99"/>
          <w:insideH w:val="nil"/>
          <w:insideV w:val="nil"/>
        </w:tcBorders>
        <w:shd w:val="clear" w:color="auto" w:fill="FFFFFF" w:themeFill="background1"/>
      </w:tcPr>
    </w:tblStylePr>
    <w:tblStylePr w:type="lastRow">
      <w:rPr>
        <w:b/>
        <w:bCs/>
      </w:rPr>
      <w:tblPr/>
      <w:tcPr>
        <w:tcBorders>
          <w:top w:val="double" w:sz="2" w:space="0" w:color="E8717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25">
    <w:name w:val="Grid Table 2 Accent 5"/>
    <w:basedOn w:val="a4"/>
    <w:uiPriority w:val="47"/>
    <w:rsid w:val="00F527CC"/>
    <w:pPr>
      <w:spacing w:after="0" w:line="240" w:lineRule="auto"/>
    </w:pPr>
    <w:tblPr>
      <w:tblStyleRowBandSize w:val="1"/>
      <w:tblStyleColBandSize w:val="1"/>
      <w:tblBorders>
        <w:top w:val="single" w:sz="2" w:space="0" w:color="3398FF" w:themeColor="accent5" w:themeTint="99"/>
        <w:bottom w:val="single" w:sz="2" w:space="0" w:color="3398FF" w:themeColor="accent5" w:themeTint="99"/>
        <w:insideH w:val="single" w:sz="2" w:space="0" w:color="3398FF" w:themeColor="accent5" w:themeTint="99"/>
        <w:insideV w:val="single" w:sz="2" w:space="0" w:color="3398FF" w:themeColor="accent5" w:themeTint="99"/>
      </w:tblBorders>
    </w:tblPr>
    <w:tblStylePr w:type="firstRow">
      <w:rPr>
        <w:b/>
        <w:bCs/>
      </w:rPr>
      <w:tblPr/>
      <w:tcPr>
        <w:tcBorders>
          <w:top w:val="nil"/>
          <w:bottom w:val="single" w:sz="12" w:space="0" w:color="3398FF" w:themeColor="accent5" w:themeTint="99"/>
          <w:insideH w:val="nil"/>
          <w:insideV w:val="nil"/>
        </w:tcBorders>
        <w:shd w:val="clear" w:color="auto" w:fill="FFFFFF" w:themeFill="background1"/>
      </w:tcPr>
    </w:tblStylePr>
    <w:tblStylePr w:type="lastRow">
      <w:rPr>
        <w:b/>
        <w:bCs/>
      </w:rPr>
      <w:tblPr/>
      <w:tcPr>
        <w:tcBorders>
          <w:top w:val="double" w:sz="2" w:space="0" w:color="3398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26">
    <w:name w:val="Grid Table 2 Accent 6"/>
    <w:basedOn w:val="a4"/>
    <w:uiPriority w:val="47"/>
    <w:rsid w:val="00F527CC"/>
    <w:pPr>
      <w:spacing w:after="0" w:line="240" w:lineRule="auto"/>
    </w:pPr>
    <w:tblPr>
      <w:tblStyleRowBandSize w:val="1"/>
      <w:tblStyleColBandSize w:val="1"/>
      <w:tblBorders>
        <w:top w:val="single" w:sz="2" w:space="0" w:color="FFCB7A" w:themeColor="accent6" w:themeTint="99"/>
        <w:bottom w:val="single" w:sz="2" w:space="0" w:color="FFCB7A" w:themeColor="accent6" w:themeTint="99"/>
        <w:insideH w:val="single" w:sz="2" w:space="0" w:color="FFCB7A" w:themeColor="accent6" w:themeTint="99"/>
        <w:insideV w:val="single" w:sz="2" w:space="0" w:color="FFCB7A" w:themeColor="accent6" w:themeTint="99"/>
      </w:tblBorders>
    </w:tblPr>
    <w:tblStylePr w:type="firstRow">
      <w:rPr>
        <w:b/>
        <w:bCs/>
      </w:rPr>
      <w:tblPr/>
      <w:tcPr>
        <w:tcBorders>
          <w:top w:val="nil"/>
          <w:bottom w:val="single" w:sz="12" w:space="0" w:color="FFCB7A" w:themeColor="accent6" w:themeTint="99"/>
          <w:insideH w:val="nil"/>
          <w:insideV w:val="nil"/>
        </w:tcBorders>
        <w:shd w:val="clear" w:color="auto" w:fill="FFFFFF" w:themeFill="background1"/>
      </w:tcPr>
    </w:tblStylePr>
    <w:tblStylePr w:type="lastRow">
      <w:rPr>
        <w:b/>
        <w:bCs/>
      </w:rPr>
      <w:tblPr/>
      <w:tcPr>
        <w:tcBorders>
          <w:top w:val="double" w:sz="2" w:space="0" w:color="FFCB7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33">
    <w:name w:val="Grid Table 3"/>
    <w:basedOn w:val="a4"/>
    <w:uiPriority w:val="48"/>
    <w:rsid w:val="00F527CC"/>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310">
    <w:name w:val="Grid Table 3 Accent 1"/>
    <w:basedOn w:val="a4"/>
    <w:uiPriority w:val="48"/>
    <w:rsid w:val="00F527CC"/>
    <w:pPr>
      <w:spacing w:after="0" w:line="240" w:lineRule="auto"/>
    </w:p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insideV w:val="single" w:sz="4" w:space="0" w:color="DDDD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4" w:themeFill="accent1" w:themeFillTint="33"/>
      </w:tcPr>
    </w:tblStylePr>
    <w:tblStylePr w:type="band1Horz">
      <w:tblPr/>
      <w:tcPr>
        <w:shd w:val="clear" w:color="auto" w:fill="F3F3F4" w:themeFill="accent1" w:themeFillTint="33"/>
      </w:tcPr>
    </w:tblStylePr>
    <w:tblStylePr w:type="neCell">
      <w:tblPr/>
      <w:tcPr>
        <w:tcBorders>
          <w:bottom w:val="single" w:sz="4" w:space="0" w:color="DDDDDF" w:themeColor="accent1" w:themeTint="99"/>
        </w:tcBorders>
      </w:tcPr>
    </w:tblStylePr>
    <w:tblStylePr w:type="nwCell">
      <w:tblPr/>
      <w:tcPr>
        <w:tcBorders>
          <w:bottom w:val="single" w:sz="4" w:space="0" w:color="DDDDDF" w:themeColor="accent1" w:themeTint="99"/>
        </w:tcBorders>
      </w:tcPr>
    </w:tblStylePr>
    <w:tblStylePr w:type="seCell">
      <w:tblPr/>
      <w:tcPr>
        <w:tcBorders>
          <w:top w:val="single" w:sz="4" w:space="0" w:color="DDDDDF" w:themeColor="accent1" w:themeTint="99"/>
        </w:tcBorders>
      </w:tcPr>
    </w:tblStylePr>
    <w:tblStylePr w:type="swCell">
      <w:tblPr/>
      <w:tcPr>
        <w:tcBorders>
          <w:top w:val="single" w:sz="4" w:space="0" w:color="DDDDDF" w:themeColor="accent1" w:themeTint="99"/>
        </w:tcBorders>
      </w:tcPr>
    </w:tblStylePr>
  </w:style>
  <w:style w:type="table" w:styleId="-320">
    <w:name w:val="Grid Table 3 Accent 2"/>
    <w:basedOn w:val="a4"/>
    <w:uiPriority w:val="48"/>
    <w:rsid w:val="00F527CC"/>
    <w:pPr>
      <w:spacing w:after="0" w:line="240" w:lineRule="auto"/>
    </w:p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insideV w:val="single" w:sz="4" w:space="0" w:color="BEBFC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9EA" w:themeFill="accent2" w:themeFillTint="33"/>
      </w:tcPr>
    </w:tblStylePr>
    <w:tblStylePr w:type="band1Horz">
      <w:tblPr/>
      <w:tcPr>
        <w:shd w:val="clear" w:color="auto" w:fill="E9E9EA" w:themeFill="accent2" w:themeFillTint="33"/>
      </w:tcPr>
    </w:tblStylePr>
    <w:tblStylePr w:type="neCell">
      <w:tblPr/>
      <w:tcPr>
        <w:tcBorders>
          <w:bottom w:val="single" w:sz="4" w:space="0" w:color="BEBFC1" w:themeColor="accent2" w:themeTint="99"/>
        </w:tcBorders>
      </w:tcPr>
    </w:tblStylePr>
    <w:tblStylePr w:type="nwCell">
      <w:tblPr/>
      <w:tcPr>
        <w:tcBorders>
          <w:bottom w:val="single" w:sz="4" w:space="0" w:color="BEBFC1" w:themeColor="accent2" w:themeTint="99"/>
        </w:tcBorders>
      </w:tcPr>
    </w:tblStylePr>
    <w:tblStylePr w:type="seCell">
      <w:tblPr/>
      <w:tcPr>
        <w:tcBorders>
          <w:top w:val="single" w:sz="4" w:space="0" w:color="BEBFC1" w:themeColor="accent2" w:themeTint="99"/>
        </w:tcBorders>
      </w:tcPr>
    </w:tblStylePr>
    <w:tblStylePr w:type="swCell">
      <w:tblPr/>
      <w:tcPr>
        <w:tcBorders>
          <w:top w:val="single" w:sz="4" w:space="0" w:color="BEBFC1" w:themeColor="accent2" w:themeTint="99"/>
        </w:tcBorders>
      </w:tcPr>
    </w:tblStylePr>
  </w:style>
  <w:style w:type="table" w:styleId="-330">
    <w:name w:val="Grid Table 3 Accent 3"/>
    <w:basedOn w:val="a4"/>
    <w:uiPriority w:val="48"/>
    <w:rsid w:val="00F527CC"/>
    <w:pPr>
      <w:spacing w:after="0" w:line="240" w:lineRule="auto"/>
    </w:p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insideV w:val="single" w:sz="4" w:space="0" w:color="A0A1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E0" w:themeFill="accent3" w:themeFillTint="33"/>
      </w:tcPr>
    </w:tblStylePr>
    <w:tblStylePr w:type="band1Horz">
      <w:tblPr/>
      <w:tcPr>
        <w:shd w:val="clear" w:color="auto" w:fill="DFDFE0" w:themeFill="accent3" w:themeFillTint="33"/>
      </w:tcPr>
    </w:tblStylePr>
    <w:tblStylePr w:type="neCell">
      <w:tblPr/>
      <w:tcPr>
        <w:tcBorders>
          <w:bottom w:val="single" w:sz="4" w:space="0" w:color="A0A1A3" w:themeColor="accent3" w:themeTint="99"/>
        </w:tcBorders>
      </w:tcPr>
    </w:tblStylePr>
    <w:tblStylePr w:type="nwCell">
      <w:tblPr/>
      <w:tcPr>
        <w:tcBorders>
          <w:bottom w:val="single" w:sz="4" w:space="0" w:color="A0A1A3" w:themeColor="accent3" w:themeTint="99"/>
        </w:tcBorders>
      </w:tcPr>
    </w:tblStylePr>
    <w:tblStylePr w:type="seCell">
      <w:tblPr/>
      <w:tcPr>
        <w:tcBorders>
          <w:top w:val="single" w:sz="4" w:space="0" w:color="A0A1A3" w:themeColor="accent3" w:themeTint="99"/>
        </w:tcBorders>
      </w:tcPr>
    </w:tblStylePr>
    <w:tblStylePr w:type="swCell">
      <w:tblPr/>
      <w:tcPr>
        <w:tcBorders>
          <w:top w:val="single" w:sz="4" w:space="0" w:color="A0A1A3" w:themeColor="accent3" w:themeTint="99"/>
        </w:tcBorders>
      </w:tcPr>
    </w:tblStylePr>
  </w:style>
  <w:style w:type="table" w:styleId="-34">
    <w:name w:val="Grid Table 3 Accent 4"/>
    <w:basedOn w:val="a4"/>
    <w:uiPriority w:val="48"/>
    <w:rsid w:val="00F527CC"/>
    <w:pPr>
      <w:spacing w:after="0" w:line="240" w:lineRule="auto"/>
    </w:p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insideV w:val="single" w:sz="4" w:space="0" w:color="E8717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FD2" w:themeFill="accent4" w:themeFillTint="33"/>
      </w:tcPr>
    </w:tblStylePr>
    <w:tblStylePr w:type="band1Horz">
      <w:tblPr/>
      <w:tcPr>
        <w:shd w:val="clear" w:color="auto" w:fill="F7CFD2" w:themeFill="accent4" w:themeFillTint="33"/>
      </w:tcPr>
    </w:tblStylePr>
    <w:tblStylePr w:type="neCell">
      <w:tblPr/>
      <w:tcPr>
        <w:tcBorders>
          <w:bottom w:val="single" w:sz="4" w:space="0" w:color="E87179" w:themeColor="accent4" w:themeTint="99"/>
        </w:tcBorders>
      </w:tcPr>
    </w:tblStylePr>
    <w:tblStylePr w:type="nwCell">
      <w:tblPr/>
      <w:tcPr>
        <w:tcBorders>
          <w:bottom w:val="single" w:sz="4" w:space="0" w:color="E87179" w:themeColor="accent4" w:themeTint="99"/>
        </w:tcBorders>
      </w:tcPr>
    </w:tblStylePr>
    <w:tblStylePr w:type="seCell">
      <w:tblPr/>
      <w:tcPr>
        <w:tcBorders>
          <w:top w:val="single" w:sz="4" w:space="0" w:color="E87179" w:themeColor="accent4" w:themeTint="99"/>
        </w:tcBorders>
      </w:tcPr>
    </w:tblStylePr>
    <w:tblStylePr w:type="swCell">
      <w:tblPr/>
      <w:tcPr>
        <w:tcBorders>
          <w:top w:val="single" w:sz="4" w:space="0" w:color="E87179" w:themeColor="accent4" w:themeTint="99"/>
        </w:tcBorders>
      </w:tcPr>
    </w:tblStylePr>
  </w:style>
  <w:style w:type="table" w:styleId="-35">
    <w:name w:val="Grid Table 3 Accent 5"/>
    <w:basedOn w:val="a4"/>
    <w:uiPriority w:val="48"/>
    <w:rsid w:val="00F527CC"/>
    <w:pPr>
      <w:spacing w:after="0" w:line="240" w:lineRule="auto"/>
    </w:p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insideV w:val="single" w:sz="4" w:space="0" w:color="3398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CFF" w:themeFill="accent5" w:themeFillTint="33"/>
      </w:tcPr>
    </w:tblStylePr>
    <w:tblStylePr w:type="band1Horz">
      <w:tblPr/>
      <w:tcPr>
        <w:shd w:val="clear" w:color="auto" w:fill="BBDCFF" w:themeFill="accent5" w:themeFillTint="33"/>
      </w:tcPr>
    </w:tblStylePr>
    <w:tblStylePr w:type="neCell">
      <w:tblPr/>
      <w:tcPr>
        <w:tcBorders>
          <w:bottom w:val="single" w:sz="4" w:space="0" w:color="3398FF" w:themeColor="accent5" w:themeTint="99"/>
        </w:tcBorders>
      </w:tcPr>
    </w:tblStylePr>
    <w:tblStylePr w:type="nwCell">
      <w:tblPr/>
      <w:tcPr>
        <w:tcBorders>
          <w:bottom w:val="single" w:sz="4" w:space="0" w:color="3398FF" w:themeColor="accent5" w:themeTint="99"/>
        </w:tcBorders>
      </w:tcPr>
    </w:tblStylePr>
    <w:tblStylePr w:type="seCell">
      <w:tblPr/>
      <w:tcPr>
        <w:tcBorders>
          <w:top w:val="single" w:sz="4" w:space="0" w:color="3398FF" w:themeColor="accent5" w:themeTint="99"/>
        </w:tcBorders>
      </w:tcPr>
    </w:tblStylePr>
    <w:tblStylePr w:type="swCell">
      <w:tblPr/>
      <w:tcPr>
        <w:tcBorders>
          <w:top w:val="single" w:sz="4" w:space="0" w:color="3398FF" w:themeColor="accent5" w:themeTint="99"/>
        </w:tcBorders>
      </w:tcPr>
    </w:tblStylePr>
  </w:style>
  <w:style w:type="table" w:styleId="-36">
    <w:name w:val="Grid Table 3 Accent 6"/>
    <w:basedOn w:val="a4"/>
    <w:uiPriority w:val="48"/>
    <w:rsid w:val="00F527CC"/>
    <w:pPr>
      <w:spacing w:after="0" w:line="240" w:lineRule="auto"/>
    </w:p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insideV w:val="single" w:sz="4" w:space="0" w:color="FFCB7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2" w:themeFill="accent6" w:themeFillTint="33"/>
      </w:tcPr>
    </w:tblStylePr>
    <w:tblStylePr w:type="band1Horz">
      <w:tblPr/>
      <w:tcPr>
        <w:shd w:val="clear" w:color="auto" w:fill="FFEDD2" w:themeFill="accent6" w:themeFillTint="33"/>
      </w:tcPr>
    </w:tblStylePr>
    <w:tblStylePr w:type="neCell">
      <w:tblPr/>
      <w:tcPr>
        <w:tcBorders>
          <w:bottom w:val="single" w:sz="4" w:space="0" w:color="FFCB7A" w:themeColor="accent6" w:themeTint="99"/>
        </w:tcBorders>
      </w:tcPr>
    </w:tblStylePr>
    <w:tblStylePr w:type="nwCell">
      <w:tblPr/>
      <w:tcPr>
        <w:tcBorders>
          <w:bottom w:val="single" w:sz="4" w:space="0" w:color="FFCB7A" w:themeColor="accent6" w:themeTint="99"/>
        </w:tcBorders>
      </w:tcPr>
    </w:tblStylePr>
    <w:tblStylePr w:type="seCell">
      <w:tblPr/>
      <w:tcPr>
        <w:tcBorders>
          <w:top w:val="single" w:sz="4" w:space="0" w:color="FFCB7A" w:themeColor="accent6" w:themeTint="99"/>
        </w:tcBorders>
      </w:tcPr>
    </w:tblStylePr>
    <w:tblStylePr w:type="swCell">
      <w:tblPr/>
      <w:tcPr>
        <w:tcBorders>
          <w:top w:val="single" w:sz="4" w:space="0" w:color="FFCB7A" w:themeColor="accent6" w:themeTint="99"/>
        </w:tcBorders>
      </w:tcPr>
    </w:tblStylePr>
  </w:style>
  <w:style w:type="table" w:styleId="-43">
    <w:name w:val="Grid Table 4"/>
    <w:basedOn w:val="a4"/>
    <w:uiPriority w:val="49"/>
    <w:rsid w:val="00F527CC"/>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410">
    <w:name w:val="Grid Table 4 Accent 1"/>
    <w:basedOn w:val="a4"/>
    <w:uiPriority w:val="49"/>
    <w:rsid w:val="00F527CC"/>
    <w:pPr>
      <w:spacing w:after="0" w:line="240" w:lineRule="auto"/>
    </w:p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insideV w:val="single" w:sz="4" w:space="0" w:color="DDDDDF" w:themeColor="accent1" w:themeTint="99"/>
      </w:tblBorders>
    </w:tblPr>
    <w:tblStylePr w:type="firstRow">
      <w:rPr>
        <w:b/>
        <w:bCs/>
        <w:color w:val="FFFFFF" w:themeColor="background1"/>
      </w:rPr>
      <w:tblPr/>
      <w:tcPr>
        <w:tcBorders>
          <w:top w:val="single" w:sz="4" w:space="0" w:color="C7C8CA" w:themeColor="accent1"/>
          <w:left w:val="single" w:sz="4" w:space="0" w:color="C7C8CA" w:themeColor="accent1"/>
          <w:bottom w:val="single" w:sz="4" w:space="0" w:color="C7C8CA" w:themeColor="accent1"/>
          <w:right w:val="single" w:sz="4" w:space="0" w:color="C7C8CA" w:themeColor="accent1"/>
          <w:insideH w:val="nil"/>
          <w:insideV w:val="nil"/>
        </w:tcBorders>
        <w:shd w:val="clear" w:color="auto" w:fill="C7C8CA" w:themeFill="accent1"/>
      </w:tcPr>
    </w:tblStylePr>
    <w:tblStylePr w:type="lastRow">
      <w:rPr>
        <w:b/>
        <w:bCs/>
      </w:rPr>
      <w:tblPr/>
      <w:tcPr>
        <w:tcBorders>
          <w:top w:val="double" w:sz="4" w:space="0" w:color="C7C8CA" w:themeColor="accent1"/>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420">
    <w:name w:val="Grid Table 4 Accent 2"/>
    <w:basedOn w:val="a4"/>
    <w:uiPriority w:val="49"/>
    <w:rsid w:val="00F527CC"/>
    <w:pPr>
      <w:spacing w:after="0" w:line="240" w:lineRule="auto"/>
    </w:p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insideV w:val="single" w:sz="4" w:space="0" w:color="BEBFC1" w:themeColor="accent2" w:themeTint="99"/>
      </w:tblBorders>
    </w:tblPr>
    <w:tblStylePr w:type="firstRow">
      <w:rPr>
        <w:b/>
        <w:bCs/>
        <w:color w:val="FFFFFF" w:themeColor="background1"/>
      </w:rPr>
      <w:tblPr/>
      <w:tcPr>
        <w:tcBorders>
          <w:top w:val="single" w:sz="4" w:space="0" w:color="939598" w:themeColor="accent2"/>
          <w:left w:val="single" w:sz="4" w:space="0" w:color="939598" w:themeColor="accent2"/>
          <w:bottom w:val="single" w:sz="4" w:space="0" w:color="939598" w:themeColor="accent2"/>
          <w:right w:val="single" w:sz="4" w:space="0" w:color="939598" w:themeColor="accent2"/>
          <w:insideH w:val="nil"/>
          <w:insideV w:val="nil"/>
        </w:tcBorders>
        <w:shd w:val="clear" w:color="auto" w:fill="939598" w:themeFill="accent2"/>
      </w:tcPr>
    </w:tblStylePr>
    <w:tblStylePr w:type="lastRow">
      <w:rPr>
        <w:b/>
        <w:bCs/>
      </w:rPr>
      <w:tblPr/>
      <w:tcPr>
        <w:tcBorders>
          <w:top w:val="double" w:sz="4" w:space="0" w:color="939598" w:themeColor="accent2"/>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430">
    <w:name w:val="Grid Table 4 Accent 3"/>
    <w:basedOn w:val="a4"/>
    <w:uiPriority w:val="49"/>
    <w:rsid w:val="00F527CC"/>
    <w:pPr>
      <w:spacing w:after="0" w:line="240" w:lineRule="auto"/>
    </w:p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insideV w:val="single" w:sz="4" w:space="0" w:color="A0A1A3" w:themeColor="accent3" w:themeTint="99"/>
      </w:tblBorders>
    </w:tblPr>
    <w:tblStylePr w:type="firstRow">
      <w:rPr>
        <w:b/>
        <w:bCs/>
        <w:color w:val="FFFFFF" w:themeColor="background1"/>
      </w:rPr>
      <w:tblPr/>
      <w:tcPr>
        <w:tcBorders>
          <w:top w:val="single" w:sz="4" w:space="0" w:color="636466" w:themeColor="accent3"/>
          <w:left w:val="single" w:sz="4" w:space="0" w:color="636466" w:themeColor="accent3"/>
          <w:bottom w:val="single" w:sz="4" w:space="0" w:color="636466" w:themeColor="accent3"/>
          <w:right w:val="single" w:sz="4" w:space="0" w:color="636466" w:themeColor="accent3"/>
          <w:insideH w:val="nil"/>
          <w:insideV w:val="nil"/>
        </w:tcBorders>
        <w:shd w:val="clear" w:color="auto" w:fill="636466" w:themeFill="accent3"/>
      </w:tcPr>
    </w:tblStylePr>
    <w:tblStylePr w:type="lastRow">
      <w:rPr>
        <w:b/>
        <w:bCs/>
      </w:rPr>
      <w:tblPr/>
      <w:tcPr>
        <w:tcBorders>
          <w:top w:val="double" w:sz="4" w:space="0" w:color="636466" w:themeColor="accent3"/>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44">
    <w:name w:val="Grid Table 4 Accent 4"/>
    <w:basedOn w:val="a4"/>
    <w:uiPriority w:val="49"/>
    <w:rsid w:val="00F527CC"/>
    <w:pPr>
      <w:spacing w:after="0" w:line="240" w:lineRule="auto"/>
    </w:p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insideV w:val="single" w:sz="4" w:space="0" w:color="E87179" w:themeColor="accent4" w:themeTint="99"/>
      </w:tblBorders>
    </w:tblPr>
    <w:tblStylePr w:type="firstRow">
      <w:rPr>
        <w:b/>
        <w:bCs/>
        <w:color w:val="FFFFFF" w:themeColor="background1"/>
      </w:rPr>
      <w:tblPr/>
      <w:tcPr>
        <w:tcBorders>
          <w:top w:val="single" w:sz="4" w:space="0" w:color="CD202C" w:themeColor="accent4"/>
          <w:left w:val="single" w:sz="4" w:space="0" w:color="CD202C" w:themeColor="accent4"/>
          <w:bottom w:val="single" w:sz="4" w:space="0" w:color="CD202C" w:themeColor="accent4"/>
          <w:right w:val="single" w:sz="4" w:space="0" w:color="CD202C" w:themeColor="accent4"/>
          <w:insideH w:val="nil"/>
          <w:insideV w:val="nil"/>
        </w:tcBorders>
        <w:shd w:val="clear" w:color="auto" w:fill="CD202C" w:themeFill="accent4"/>
      </w:tcPr>
    </w:tblStylePr>
    <w:tblStylePr w:type="lastRow">
      <w:rPr>
        <w:b/>
        <w:bCs/>
      </w:rPr>
      <w:tblPr/>
      <w:tcPr>
        <w:tcBorders>
          <w:top w:val="double" w:sz="4" w:space="0" w:color="CD202C" w:themeColor="accent4"/>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45">
    <w:name w:val="Grid Table 4 Accent 5"/>
    <w:basedOn w:val="a4"/>
    <w:uiPriority w:val="49"/>
    <w:rsid w:val="00F527CC"/>
    <w:pPr>
      <w:spacing w:after="0" w:line="240" w:lineRule="auto"/>
    </w:p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insideV w:val="single" w:sz="4" w:space="0" w:color="3398FF" w:themeColor="accent5" w:themeTint="99"/>
      </w:tblBorders>
    </w:tblPr>
    <w:tblStylePr w:type="firstRow">
      <w:rPr>
        <w:b/>
        <w:bCs/>
        <w:color w:val="FFFFFF" w:themeColor="background1"/>
      </w:rPr>
      <w:tblPr/>
      <w:tcPr>
        <w:tcBorders>
          <w:top w:val="single" w:sz="4" w:space="0" w:color="0055AA" w:themeColor="accent5"/>
          <w:left w:val="single" w:sz="4" w:space="0" w:color="0055AA" w:themeColor="accent5"/>
          <w:bottom w:val="single" w:sz="4" w:space="0" w:color="0055AA" w:themeColor="accent5"/>
          <w:right w:val="single" w:sz="4" w:space="0" w:color="0055AA" w:themeColor="accent5"/>
          <w:insideH w:val="nil"/>
          <w:insideV w:val="nil"/>
        </w:tcBorders>
        <w:shd w:val="clear" w:color="auto" w:fill="0055AA" w:themeFill="accent5"/>
      </w:tcPr>
    </w:tblStylePr>
    <w:tblStylePr w:type="lastRow">
      <w:rPr>
        <w:b/>
        <w:bCs/>
      </w:rPr>
      <w:tblPr/>
      <w:tcPr>
        <w:tcBorders>
          <w:top w:val="double" w:sz="4" w:space="0" w:color="0055AA" w:themeColor="accent5"/>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46">
    <w:name w:val="Grid Table 4 Accent 6"/>
    <w:basedOn w:val="a4"/>
    <w:uiPriority w:val="49"/>
    <w:rsid w:val="00F527CC"/>
    <w:pPr>
      <w:spacing w:after="0" w:line="240" w:lineRule="auto"/>
    </w:p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insideV w:val="single" w:sz="4" w:space="0" w:color="FFCB7A" w:themeColor="accent6" w:themeTint="99"/>
      </w:tblBorders>
    </w:tblPr>
    <w:tblStylePr w:type="firstRow">
      <w:rPr>
        <w:b/>
        <w:bCs/>
        <w:color w:val="FFFFFF" w:themeColor="background1"/>
      </w:rPr>
      <w:tblPr/>
      <w:tcPr>
        <w:tcBorders>
          <w:top w:val="single" w:sz="4" w:space="0" w:color="FFAA22" w:themeColor="accent6"/>
          <w:left w:val="single" w:sz="4" w:space="0" w:color="FFAA22" w:themeColor="accent6"/>
          <w:bottom w:val="single" w:sz="4" w:space="0" w:color="FFAA22" w:themeColor="accent6"/>
          <w:right w:val="single" w:sz="4" w:space="0" w:color="FFAA22" w:themeColor="accent6"/>
          <w:insideH w:val="nil"/>
          <w:insideV w:val="nil"/>
        </w:tcBorders>
        <w:shd w:val="clear" w:color="auto" w:fill="FFAA22" w:themeFill="accent6"/>
      </w:tcPr>
    </w:tblStylePr>
    <w:tblStylePr w:type="lastRow">
      <w:rPr>
        <w:b/>
        <w:bCs/>
      </w:rPr>
      <w:tblPr/>
      <w:tcPr>
        <w:tcBorders>
          <w:top w:val="double" w:sz="4" w:space="0" w:color="FFAA22" w:themeColor="accent6"/>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53">
    <w:name w:val="Grid Table 5 Dark"/>
    <w:basedOn w:val="a4"/>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4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4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4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40" w:themeFill="text1"/>
      </w:tcPr>
    </w:tblStylePr>
    <w:tblStylePr w:type="band1Vert">
      <w:tblPr/>
      <w:tcPr>
        <w:shd w:val="clear" w:color="auto" w:fill="B2B2B2" w:themeFill="text1" w:themeFillTint="66"/>
      </w:tcPr>
    </w:tblStylePr>
    <w:tblStylePr w:type="band1Horz">
      <w:tblPr/>
      <w:tcPr>
        <w:shd w:val="clear" w:color="auto" w:fill="B2B2B2" w:themeFill="text1" w:themeFillTint="66"/>
      </w:tcPr>
    </w:tblStylePr>
  </w:style>
  <w:style w:type="table" w:styleId="-510">
    <w:name w:val="Grid Table 5 Dark Accent 1"/>
    <w:basedOn w:val="a4"/>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3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7C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7C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7C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7C8CA" w:themeFill="accent1"/>
      </w:tcPr>
    </w:tblStylePr>
    <w:tblStylePr w:type="band1Vert">
      <w:tblPr/>
      <w:tcPr>
        <w:shd w:val="clear" w:color="auto" w:fill="E8E8E9" w:themeFill="accent1" w:themeFillTint="66"/>
      </w:tcPr>
    </w:tblStylePr>
    <w:tblStylePr w:type="band1Horz">
      <w:tblPr/>
      <w:tcPr>
        <w:shd w:val="clear" w:color="auto" w:fill="E8E8E9" w:themeFill="accent1" w:themeFillTint="66"/>
      </w:tcPr>
    </w:tblStylePr>
  </w:style>
  <w:style w:type="table" w:styleId="-520">
    <w:name w:val="Grid Table 5 Dark Accent 2"/>
    <w:basedOn w:val="a4"/>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2"/>
      </w:tcPr>
    </w:tblStylePr>
    <w:tblStylePr w:type="band1Vert">
      <w:tblPr/>
      <w:tcPr>
        <w:shd w:val="clear" w:color="auto" w:fill="D3D4D5" w:themeFill="accent2" w:themeFillTint="66"/>
      </w:tcPr>
    </w:tblStylePr>
    <w:tblStylePr w:type="band1Horz">
      <w:tblPr/>
      <w:tcPr>
        <w:shd w:val="clear" w:color="auto" w:fill="D3D4D5" w:themeFill="accent2" w:themeFillTint="66"/>
      </w:tcPr>
    </w:tblStylePr>
  </w:style>
  <w:style w:type="table" w:styleId="-530">
    <w:name w:val="Grid Table 5 Dark Accent 3"/>
    <w:basedOn w:val="a4"/>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E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646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646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646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6466" w:themeFill="accent3"/>
      </w:tcPr>
    </w:tblStylePr>
    <w:tblStylePr w:type="band1Vert">
      <w:tblPr/>
      <w:tcPr>
        <w:shd w:val="clear" w:color="auto" w:fill="C0C0C2" w:themeFill="accent3" w:themeFillTint="66"/>
      </w:tcPr>
    </w:tblStylePr>
    <w:tblStylePr w:type="band1Horz">
      <w:tblPr/>
      <w:tcPr>
        <w:shd w:val="clear" w:color="auto" w:fill="C0C0C2" w:themeFill="accent3" w:themeFillTint="66"/>
      </w:tcPr>
    </w:tblStylePr>
  </w:style>
  <w:style w:type="table" w:styleId="-54">
    <w:name w:val="Grid Table 5 Dark Accent 4"/>
    <w:basedOn w:val="a4"/>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FD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202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202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202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202C" w:themeFill="accent4"/>
      </w:tcPr>
    </w:tblStylePr>
    <w:tblStylePr w:type="band1Vert">
      <w:tblPr/>
      <w:tcPr>
        <w:shd w:val="clear" w:color="auto" w:fill="F0A0A5" w:themeFill="accent4" w:themeFillTint="66"/>
      </w:tcPr>
    </w:tblStylePr>
    <w:tblStylePr w:type="band1Horz">
      <w:tblPr/>
      <w:tcPr>
        <w:shd w:val="clear" w:color="auto" w:fill="F0A0A5" w:themeFill="accent4" w:themeFillTint="66"/>
      </w:tcPr>
    </w:tblStylePr>
  </w:style>
  <w:style w:type="table" w:styleId="-55">
    <w:name w:val="Grid Table 5 Dark Accent 5"/>
    <w:basedOn w:val="a4"/>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DC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A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A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A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AA" w:themeFill="accent5"/>
      </w:tcPr>
    </w:tblStylePr>
    <w:tblStylePr w:type="band1Vert">
      <w:tblPr/>
      <w:tcPr>
        <w:shd w:val="clear" w:color="auto" w:fill="77BAFF" w:themeFill="accent5" w:themeFillTint="66"/>
      </w:tcPr>
    </w:tblStylePr>
    <w:tblStylePr w:type="band1Horz">
      <w:tblPr/>
      <w:tcPr>
        <w:shd w:val="clear" w:color="auto" w:fill="77BAFF" w:themeFill="accent5" w:themeFillTint="66"/>
      </w:tcPr>
    </w:tblStylePr>
  </w:style>
  <w:style w:type="table" w:styleId="-56">
    <w:name w:val="Grid Table 5 Dark Accent 6"/>
    <w:basedOn w:val="a4"/>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D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A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A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A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A22" w:themeFill="accent6"/>
      </w:tcPr>
    </w:tblStylePr>
    <w:tblStylePr w:type="band1Vert">
      <w:tblPr/>
      <w:tcPr>
        <w:shd w:val="clear" w:color="auto" w:fill="FFDCA6" w:themeFill="accent6" w:themeFillTint="66"/>
      </w:tcPr>
    </w:tblStylePr>
    <w:tblStylePr w:type="band1Horz">
      <w:tblPr/>
      <w:tcPr>
        <w:shd w:val="clear" w:color="auto" w:fill="FFDCA6" w:themeFill="accent6" w:themeFillTint="66"/>
      </w:tcPr>
    </w:tblStylePr>
  </w:style>
  <w:style w:type="table" w:styleId="-63">
    <w:name w:val="Grid Table 6 Colorful"/>
    <w:basedOn w:val="a4"/>
    <w:uiPriority w:val="51"/>
    <w:rsid w:val="00F527CC"/>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bottom w:val="single" w:sz="12" w:space="0" w:color="8C8C8C" w:themeColor="text1" w:themeTint="99"/>
        </w:tcBorders>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610">
    <w:name w:val="Grid Table 6 Colorful Accent 1"/>
    <w:basedOn w:val="a4"/>
    <w:uiPriority w:val="51"/>
    <w:rsid w:val="00F527CC"/>
    <w:pPr>
      <w:spacing w:after="0" w:line="240" w:lineRule="auto"/>
    </w:pPr>
    <w:rPr>
      <w:color w:val="939599" w:themeColor="accent1" w:themeShade="BF"/>
    </w:r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insideV w:val="single" w:sz="4" w:space="0" w:color="DDDDDF" w:themeColor="accent1" w:themeTint="99"/>
      </w:tblBorders>
    </w:tblPr>
    <w:tblStylePr w:type="firstRow">
      <w:rPr>
        <w:b/>
        <w:bCs/>
      </w:rPr>
      <w:tblPr/>
      <w:tcPr>
        <w:tcBorders>
          <w:bottom w:val="single" w:sz="12" w:space="0" w:color="DDDDDF" w:themeColor="accent1" w:themeTint="99"/>
        </w:tcBorders>
      </w:tcPr>
    </w:tblStylePr>
    <w:tblStylePr w:type="lastRow">
      <w:rPr>
        <w:b/>
        <w:bCs/>
      </w:rPr>
      <w:tblPr/>
      <w:tcPr>
        <w:tcBorders>
          <w:top w:val="double" w:sz="4" w:space="0" w:color="DDDDDF" w:themeColor="accent1" w:themeTint="99"/>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620">
    <w:name w:val="Grid Table 6 Colorful Accent 2"/>
    <w:basedOn w:val="a4"/>
    <w:uiPriority w:val="51"/>
    <w:rsid w:val="00F527CC"/>
    <w:pPr>
      <w:spacing w:after="0" w:line="240" w:lineRule="auto"/>
    </w:pPr>
    <w:rPr>
      <w:color w:val="6D6F72" w:themeColor="accent2" w:themeShade="BF"/>
    </w:r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insideV w:val="single" w:sz="4" w:space="0" w:color="BEBFC1" w:themeColor="accent2" w:themeTint="99"/>
      </w:tblBorders>
    </w:tblPr>
    <w:tblStylePr w:type="firstRow">
      <w:rPr>
        <w:b/>
        <w:bCs/>
      </w:rPr>
      <w:tblPr/>
      <w:tcPr>
        <w:tcBorders>
          <w:bottom w:val="single" w:sz="12" w:space="0" w:color="BEBFC1" w:themeColor="accent2" w:themeTint="99"/>
        </w:tcBorders>
      </w:tcPr>
    </w:tblStylePr>
    <w:tblStylePr w:type="lastRow">
      <w:rPr>
        <w:b/>
        <w:bCs/>
      </w:rPr>
      <w:tblPr/>
      <w:tcPr>
        <w:tcBorders>
          <w:top w:val="double" w:sz="4" w:space="0" w:color="BEBFC1" w:themeColor="accent2" w:themeTint="99"/>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630">
    <w:name w:val="Grid Table 6 Colorful Accent 3"/>
    <w:basedOn w:val="a4"/>
    <w:uiPriority w:val="51"/>
    <w:rsid w:val="00F527CC"/>
    <w:pPr>
      <w:spacing w:after="0" w:line="240" w:lineRule="auto"/>
    </w:pPr>
    <w:rPr>
      <w:color w:val="4A4A4C" w:themeColor="accent3" w:themeShade="BF"/>
    </w:r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insideV w:val="single" w:sz="4" w:space="0" w:color="A0A1A3" w:themeColor="accent3" w:themeTint="99"/>
      </w:tblBorders>
    </w:tblPr>
    <w:tblStylePr w:type="firstRow">
      <w:rPr>
        <w:b/>
        <w:bCs/>
      </w:rPr>
      <w:tblPr/>
      <w:tcPr>
        <w:tcBorders>
          <w:bottom w:val="single" w:sz="12" w:space="0" w:color="A0A1A3" w:themeColor="accent3" w:themeTint="99"/>
        </w:tcBorders>
      </w:tcPr>
    </w:tblStylePr>
    <w:tblStylePr w:type="lastRow">
      <w:rPr>
        <w:b/>
        <w:bCs/>
      </w:rPr>
      <w:tblPr/>
      <w:tcPr>
        <w:tcBorders>
          <w:top w:val="double" w:sz="4" w:space="0" w:color="A0A1A3" w:themeColor="accent3" w:themeTint="99"/>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64">
    <w:name w:val="Grid Table 6 Colorful Accent 4"/>
    <w:basedOn w:val="a4"/>
    <w:uiPriority w:val="51"/>
    <w:rsid w:val="00F527CC"/>
    <w:pPr>
      <w:spacing w:after="0" w:line="240" w:lineRule="auto"/>
    </w:pPr>
    <w:rPr>
      <w:color w:val="991820" w:themeColor="accent4" w:themeShade="BF"/>
    </w:r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insideV w:val="single" w:sz="4" w:space="0" w:color="E87179" w:themeColor="accent4" w:themeTint="99"/>
      </w:tblBorders>
    </w:tblPr>
    <w:tblStylePr w:type="firstRow">
      <w:rPr>
        <w:b/>
        <w:bCs/>
      </w:rPr>
      <w:tblPr/>
      <w:tcPr>
        <w:tcBorders>
          <w:bottom w:val="single" w:sz="12" w:space="0" w:color="E87179" w:themeColor="accent4" w:themeTint="99"/>
        </w:tcBorders>
      </w:tcPr>
    </w:tblStylePr>
    <w:tblStylePr w:type="lastRow">
      <w:rPr>
        <w:b/>
        <w:bCs/>
      </w:rPr>
      <w:tblPr/>
      <w:tcPr>
        <w:tcBorders>
          <w:top w:val="double" w:sz="4" w:space="0" w:color="E87179" w:themeColor="accent4" w:themeTint="99"/>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65">
    <w:name w:val="Grid Table 6 Colorful Accent 5"/>
    <w:basedOn w:val="a4"/>
    <w:uiPriority w:val="51"/>
    <w:rsid w:val="00F527CC"/>
    <w:pPr>
      <w:spacing w:after="0" w:line="240" w:lineRule="auto"/>
    </w:pPr>
    <w:rPr>
      <w:color w:val="003F7F" w:themeColor="accent5" w:themeShade="BF"/>
    </w:r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insideV w:val="single" w:sz="4" w:space="0" w:color="3398FF" w:themeColor="accent5" w:themeTint="99"/>
      </w:tblBorders>
    </w:tblPr>
    <w:tblStylePr w:type="firstRow">
      <w:rPr>
        <w:b/>
        <w:bCs/>
      </w:rPr>
      <w:tblPr/>
      <w:tcPr>
        <w:tcBorders>
          <w:bottom w:val="single" w:sz="12" w:space="0" w:color="3398FF" w:themeColor="accent5" w:themeTint="99"/>
        </w:tcBorders>
      </w:tcPr>
    </w:tblStylePr>
    <w:tblStylePr w:type="lastRow">
      <w:rPr>
        <w:b/>
        <w:bCs/>
      </w:rPr>
      <w:tblPr/>
      <w:tcPr>
        <w:tcBorders>
          <w:top w:val="double" w:sz="4" w:space="0" w:color="3398FF" w:themeColor="accent5" w:themeTint="99"/>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66">
    <w:name w:val="Grid Table 6 Colorful Accent 6"/>
    <w:basedOn w:val="a4"/>
    <w:uiPriority w:val="51"/>
    <w:rsid w:val="00F527CC"/>
    <w:pPr>
      <w:spacing w:after="0" w:line="240" w:lineRule="auto"/>
    </w:pPr>
    <w:rPr>
      <w:color w:val="D88400" w:themeColor="accent6" w:themeShade="BF"/>
    </w:r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insideV w:val="single" w:sz="4" w:space="0" w:color="FFCB7A" w:themeColor="accent6" w:themeTint="99"/>
      </w:tblBorders>
    </w:tblPr>
    <w:tblStylePr w:type="firstRow">
      <w:rPr>
        <w:b/>
        <w:bCs/>
      </w:rPr>
      <w:tblPr/>
      <w:tcPr>
        <w:tcBorders>
          <w:bottom w:val="single" w:sz="12" w:space="0" w:color="FFCB7A" w:themeColor="accent6" w:themeTint="99"/>
        </w:tcBorders>
      </w:tcPr>
    </w:tblStylePr>
    <w:tblStylePr w:type="lastRow">
      <w:rPr>
        <w:b/>
        <w:bCs/>
      </w:rPr>
      <w:tblPr/>
      <w:tcPr>
        <w:tcBorders>
          <w:top w:val="double" w:sz="4" w:space="0" w:color="FFCB7A" w:themeColor="accent6" w:themeTint="99"/>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7">
    <w:name w:val="Grid Table 7 Colorful"/>
    <w:basedOn w:val="a4"/>
    <w:uiPriority w:val="52"/>
    <w:rsid w:val="00F527CC"/>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71">
    <w:name w:val="Grid Table 7 Colorful Accent 1"/>
    <w:basedOn w:val="a4"/>
    <w:uiPriority w:val="52"/>
    <w:rsid w:val="00F527CC"/>
    <w:pPr>
      <w:spacing w:after="0" w:line="240" w:lineRule="auto"/>
    </w:pPr>
    <w:rPr>
      <w:color w:val="939599" w:themeColor="accent1" w:themeShade="BF"/>
    </w:r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insideV w:val="single" w:sz="4" w:space="0" w:color="DDDD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4" w:themeFill="accent1" w:themeFillTint="33"/>
      </w:tcPr>
    </w:tblStylePr>
    <w:tblStylePr w:type="band1Horz">
      <w:tblPr/>
      <w:tcPr>
        <w:shd w:val="clear" w:color="auto" w:fill="F3F3F4" w:themeFill="accent1" w:themeFillTint="33"/>
      </w:tcPr>
    </w:tblStylePr>
    <w:tblStylePr w:type="neCell">
      <w:tblPr/>
      <w:tcPr>
        <w:tcBorders>
          <w:bottom w:val="single" w:sz="4" w:space="0" w:color="DDDDDF" w:themeColor="accent1" w:themeTint="99"/>
        </w:tcBorders>
      </w:tcPr>
    </w:tblStylePr>
    <w:tblStylePr w:type="nwCell">
      <w:tblPr/>
      <w:tcPr>
        <w:tcBorders>
          <w:bottom w:val="single" w:sz="4" w:space="0" w:color="DDDDDF" w:themeColor="accent1" w:themeTint="99"/>
        </w:tcBorders>
      </w:tcPr>
    </w:tblStylePr>
    <w:tblStylePr w:type="seCell">
      <w:tblPr/>
      <w:tcPr>
        <w:tcBorders>
          <w:top w:val="single" w:sz="4" w:space="0" w:color="DDDDDF" w:themeColor="accent1" w:themeTint="99"/>
        </w:tcBorders>
      </w:tcPr>
    </w:tblStylePr>
    <w:tblStylePr w:type="swCell">
      <w:tblPr/>
      <w:tcPr>
        <w:tcBorders>
          <w:top w:val="single" w:sz="4" w:space="0" w:color="DDDDDF" w:themeColor="accent1" w:themeTint="99"/>
        </w:tcBorders>
      </w:tcPr>
    </w:tblStylePr>
  </w:style>
  <w:style w:type="table" w:styleId="-72">
    <w:name w:val="Grid Table 7 Colorful Accent 2"/>
    <w:basedOn w:val="a4"/>
    <w:uiPriority w:val="52"/>
    <w:rsid w:val="00F527CC"/>
    <w:pPr>
      <w:spacing w:after="0" w:line="240" w:lineRule="auto"/>
    </w:pPr>
    <w:rPr>
      <w:color w:val="6D6F72" w:themeColor="accent2" w:themeShade="BF"/>
    </w:r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insideV w:val="single" w:sz="4" w:space="0" w:color="BEBFC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9EA" w:themeFill="accent2" w:themeFillTint="33"/>
      </w:tcPr>
    </w:tblStylePr>
    <w:tblStylePr w:type="band1Horz">
      <w:tblPr/>
      <w:tcPr>
        <w:shd w:val="clear" w:color="auto" w:fill="E9E9EA" w:themeFill="accent2" w:themeFillTint="33"/>
      </w:tcPr>
    </w:tblStylePr>
    <w:tblStylePr w:type="neCell">
      <w:tblPr/>
      <w:tcPr>
        <w:tcBorders>
          <w:bottom w:val="single" w:sz="4" w:space="0" w:color="BEBFC1" w:themeColor="accent2" w:themeTint="99"/>
        </w:tcBorders>
      </w:tcPr>
    </w:tblStylePr>
    <w:tblStylePr w:type="nwCell">
      <w:tblPr/>
      <w:tcPr>
        <w:tcBorders>
          <w:bottom w:val="single" w:sz="4" w:space="0" w:color="BEBFC1" w:themeColor="accent2" w:themeTint="99"/>
        </w:tcBorders>
      </w:tcPr>
    </w:tblStylePr>
    <w:tblStylePr w:type="seCell">
      <w:tblPr/>
      <w:tcPr>
        <w:tcBorders>
          <w:top w:val="single" w:sz="4" w:space="0" w:color="BEBFC1" w:themeColor="accent2" w:themeTint="99"/>
        </w:tcBorders>
      </w:tcPr>
    </w:tblStylePr>
    <w:tblStylePr w:type="swCell">
      <w:tblPr/>
      <w:tcPr>
        <w:tcBorders>
          <w:top w:val="single" w:sz="4" w:space="0" w:color="BEBFC1" w:themeColor="accent2" w:themeTint="99"/>
        </w:tcBorders>
      </w:tcPr>
    </w:tblStylePr>
  </w:style>
  <w:style w:type="table" w:styleId="-73">
    <w:name w:val="Grid Table 7 Colorful Accent 3"/>
    <w:basedOn w:val="a4"/>
    <w:uiPriority w:val="52"/>
    <w:rsid w:val="00F527CC"/>
    <w:pPr>
      <w:spacing w:after="0" w:line="240" w:lineRule="auto"/>
    </w:pPr>
    <w:rPr>
      <w:color w:val="4A4A4C" w:themeColor="accent3" w:themeShade="BF"/>
    </w:r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insideV w:val="single" w:sz="4" w:space="0" w:color="A0A1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E0" w:themeFill="accent3" w:themeFillTint="33"/>
      </w:tcPr>
    </w:tblStylePr>
    <w:tblStylePr w:type="band1Horz">
      <w:tblPr/>
      <w:tcPr>
        <w:shd w:val="clear" w:color="auto" w:fill="DFDFE0" w:themeFill="accent3" w:themeFillTint="33"/>
      </w:tcPr>
    </w:tblStylePr>
    <w:tblStylePr w:type="neCell">
      <w:tblPr/>
      <w:tcPr>
        <w:tcBorders>
          <w:bottom w:val="single" w:sz="4" w:space="0" w:color="A0A1A3" w:themeColor="accent3" w:themeTint="99"/>
        </w:tcBorders>
      </w:tcPr>
    </w:tblStylePr>
    <w:tblStylePr w:type="nwCell">
      <w:tblPr/>
      <w:tcPr>
        <w:tcBorders>
          <w:bottom w:val="single" w:sz="4" w:space="0" w:color="A0A1A3" w:themeColor="accent3" w:themeTint="99"/>
        </w:tcBorders>
      </w:tcPr>
    </w:tblStylePr>
    <w:tblStylePr w:type="seCell">
      <w:tblPr/>
      <w:tcPr>
        <w:tcBorders>
          <w:top w:val="single" w:sz="4" w:space="0" w:color="A0A1A3" w:themeColor="accent3" w:themeTint="99"/>
        </w:tcBorders>
      </w:tcPr>
    </w:tblStylePr>
    <w:tblStylePr w:type="swCell">
      <w:tblPr/>
      <w:tcPr>
        <w:tcBorders>
          <w:top w:val="single" w:sz="4" w:space="0" w:color="A0A1A3" w:themeColor="accent3" w:themeTint="99"/>
        </w:tcBorders>
      </w:tcPr>
    </w:tblStylePr>
  </w:style>
  <w:style w:type="table" w:styleId="-74">
    <w:name w:val="Grid Table 7 Colorful Accent 4"/>
    <w:basedOn w:val="a4"/>
    <w:uiPriority w:val="52"/>
    <w:rsid w:val="00F527CC"/>
    <w:pPr>
      <w:spacing w:after="0" w:line="240" w:lineRule="auto"/>
    </w:pPr>
    <w:rPr>
      <w:color w:val="991820" w:themeColor="accent4" w:themeShade="BF"/>
    </w:r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insideV w:val="single" w:sz="4" w:space="0" w:color="E8717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FD2" w:themeFill="accent4" w:themeFillTint="33"/>
      </w:tcPr>
    </w:tblStylePr>
    <w:tblStylePr w:type="band1Horz">
      <w:tblPr/>
      <w:tcPr>
        <w:shd w:val="clear" w:color="auto" w:fill="F7CFD2" w:themeFill="accent4" w:themeFillTint="33"/>
      </w:tcPr>
    </w:tblStylePr>
    <w:tblStylePr w:type="neCell">
      <w:tblPr/>
      <w:tcPr>
        <w:tcBorders>
          <w:bottom w:val="single" w:sz="4" w:space="0" w:color="E87179" w:themeColor="accent4" w:themeTint="99"/>
        </w:tcBorders>
      </w:tcPr>
    </w:tblStylePr>
    <w:tblStylePr w:type="nwCell">
      <w:tblPr/>
      <w:tcPr>
        <w:tcBorders>
          <w:bottom w:val="single" w:sz="4" w:space="0" w:color="E87179" w:themeColor="accent4" w:themeTint="99"/>
        </w:tcBorders>
      </w:tcPr>
    </w:tblStylePr>
    <w:tblStylePr w:type="seCell">
      <w:tblPr/>
      <w:tcPr>
        <w:tcBorders>
          <w:top w:val="single" w:sz="4" w:space="0" w:color="E87179" w:themeColor="accent4" w:themeTint="99"/>
        </w:tcBorders>
      </w:tcPr>
    </w:tblStylePr>
    <w:tblStylePr w:type="swCell">
      <w:tblPr/>
      <w:tcPr>
        <w:tcBorders>
          <w:top w:val="single" w:sz="4" w:space="0" w:color="E87179" w:themeColor="accent4" w:themeTint="99"/>
        </w:tcBorders>
      </w:tcPr>
    </w:tblStylePr>
  </w:style>
  <w:style w:type="table" w:styleId="-75">
    <w:name w:val="Grid Table 7 Colorful Accent 5"/>
    <w:basedOn w:val="a4"/>
    <w:uiPriority w:val="52"/>
    <w:rsid w:val="00F527CC"/>
    <w:pPr>
      <w:spacing w:after="0" w:line="240" w:lineRule="auto"/>
    </w:pPr>
    <w:rPr>
      <w:color w:val="003F7F" w:themeColor="accent5" w:themeShade="BF"/>
    </w:r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insideV w:val="single" w:sz="4" w:space="0" w:color="3398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CFF" w:themeFill="accent5" w:themeFillTint="33"/>
      </w:tcPr>
    </w:tblStylePr>
    <w:tblStylePr w:type="band1Horz">
      <w:tblPr/>
      <w:tcPr>
        <w:shd w:val="clear" w:color="auto" w:fill="BBDCFF" w:themeFill="accent5" w:themeFillTint="33"/>
      </w:tcPr>
    </w:tblStylePr>
    <w:tblStylePr w:type="neCell">
      <w:tblPr/>
      <w:tcPr>
        <w:tcBorders>
          <w:bottom w:val="single" w:sz="4" w:space="0" w:color="3398FF" w:themeColor="accent5" w:themeTint="99"/>
        </w:tcBorders>
      </w:tcPr>
    </w:tblStylePr>
    <w:tblStylePr w:type="nwCell">
      <w:tblPr/>
      <w:tcPr>
        <w:tcBorders>
          <w:bottom w:val="single" w:sz="4" w:space="0" w:color="3398FF" w:themeColor="accent5" w:themeTint="99"/>
        </w:tcBorders>
      </w:tcPr>
    </w:tblStylePr>
    <w:tblStylePr w:type="seCell">
      <w:tblPr/>
      <w:tcPr>
        <w:tcBorders>
          <w:top w:val="single" w:sz="4" w:space="0" w:color="3398FF" w:themeColor="accent5" w:themeTint="99"/>
        </w:tcBorders>
      </w:tcPr>
    </w:tblStylePr>
    <w:tblStylePr w:type="swCell">
      <w:tblPr/>
      <w:tcPr>
        <w:tcBorders>
          <w:top w:val="single" w:sz="4" w:space="0" w:color="3398FF" w:themeColor="accent5" w:themeTint="99"/>
        </w:tcBorders>
      </w:tcPr>
    </w:tblStylePr>
  </w:style>
  <w:style w:type="table" w:styleId="-76">
    <w:name w:val="Grid Table 7 Colorful Accent 6"/>
    <w:basedOn w:val="a4"/>
    <w:uiPriority w:val="52"/>
    <w:rsid w:val="00F527CC"/>
    <w:pPr>
      <w:spacing w:after="0" w:line="240" w:lineRule="auto"/>
    </w:pPr>
    <w:rPr>
      <w:color w:val="D88400" w:themeColor="accent6" w:themeShade="BF"/>
    </w:r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insideV w:val="single" w:sz="4" w:space="0" w:color="FFCB7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2" w:themeFill="accent6" w:themeFillTint="33"/>
      </w:tcPr>
    </w:tblStylePr>
    <w:tblStylePr w:type="band1Horz">
      <w:tblPr/>
      <w:tcPr>
        <w:shd w:val="clear" w:color="auto" w:fill="FFEDD2" w:themeFill="accent6" w:themeFillTint="33"/>
      </w:tcPr>
    </w:tblStylePr>
    <w:tblStylePr w:type="neCell">
      <w:tblPr/>
      <w:tcPr>
        <w:tcBorders>
          <w:bottom w:val="single" w:sz="4" w:space="0" w:color="FFCB7A" w:themeColor="accent6" w:themeTint="99"/>
        </w:tcBorders>
      </w:tcPr>
    </w:tblStylePr>
    <w:tblStylePr w:type="nwCell">
      <w:tblPr/>
      <w:tcPr>
        <w:tcBorders>
          <w:bottom w:val="single" w:sz="4" w:space="0" w:color="FFCB7A" w:themeColor="accent6" w:themeTint="99"/>
        </w:tcBorders>
      </w:tcPr>
    </w:tblStylePr>
    <w:tblStylePr w:type="seCell">
      <w:tblPr/>
      <w:tcPr>
        <w:tcBorders>
          <w:top w:val="single" w:sz="4" w:space="0" w:color="FFCB7A" w:themeColor="accent6" w:themeTint="99"/>
        </w:tcBorders>
      </w:tcPr>
    </w:tblStylePr>
    <w:tblStylePr w:type="swCell">
      <w:tblPr/>
      <w:tcPr>
        <w:tcBorders>
          <w:top w:val="single" w:sz="4" w:space="0" w:color="FFCB7A" w:themeColor="accent6" w:themeTint="99"/>
        </w:tcBorders>
      </w:tcPr>
    </w:tblStylePr>
  </w:style>
  <w:style w:type="character" w:styleId="HTML">
    <w:name w:val="HTML Acronym"/>
    <w:basedOn w:val="a3"/>
    <w:uiPriority w:val="99"/>
    <w:semiHidden/>
    <w:unhideWhenUsed/>
    <w:rsid w:val="00F527CC"/>
    <w:rPr>
      <w:lang w:val="en-US"/>
    </w:rPr>
  </w:style>
  <w:style w:type="paragraph" w:styleId="HTML0">
    <w:name w:val="HTML Address"/>
    <w:basedOn w:val="a2"/>
    <w:link w:val="HTML1"/>
    <w:uiPriority w:val="99"/>
    <w:semiHidden/>
    <w:unhideWhenUsed/>
    <w:rsid w:val="00F527CC"/>
    <w:pPr>
      <w:spacing w:after="0" w:line="240" w:lineRule="auto"/>
    </w:pPr>
    <w:rPr>
      <w:i/>
      <w:iCs/>
    </w:rPr>
  </w:style>
  <w:style w:type="character" w:customStyle="1" w:styleId="HTML1">
    <w:name w:val="Адрес HTML Знак"/>
    <w:basedOn w:val="a3"/>
    <w:link w:val="HTML0"/>
    <w:uiPriority w:val="99"/>
    <w:semiHidden/>
    <w:rsid w:val="00F527CC"/>
    <w:rPr>
      <w:i/>
      <w:iCs/>
      <w:lang w:val="en-US"/>
    </w:rPr>
  </w:style>
  <w:style w:type="character" w:styleId="HTML2">
    <w:name w:val="HTML Cite"/>
    <w:basedOn w:val="a3"/>
    <w:uiPriority w:val="99"/>
    <w:semiHidden/>
    <w:unhideWhenUsed/>
    <w:rsid w:val="00F527CC"/>
    <w:rPr>
      <w:i/>
      <w:iCs/>
      <w:lang w:val="en-US"/>
    </w:rPr>
  </w:style>
  <w:style w:type="character" w:styleId="HTML3">
    <w:name w:val="HTML Code"/>
    <w:basedOn w:val="a3"/>
    <w:uiPriority w:val="99"/>
    <w:semiHidden/>
    <w:unhideWhenUsed/>
    <w:rsid w:val="00F527CC"/>
    <w:rPr>
      <w:rFonts w:ascii="Consolas" w:hAnsi="Consolas"/>
      <w:sz w:val="20"/>
      <w:szCs w:val="20"/>
      <w:lang w:val="en-US"/>
    </w:rPr>
  </w:style>
  <w:style w:type="character" w:styleId="HTML4">
    <w:name w:val="HTML Definition"/>
    <w:basedOn w:val="a3"/>
    <w:uiPriority w:val="99"/>
    <w:semiHidden/>
    <w:unhideWhenUsed/>
    <w:rsid w:val="00F527CC"/>
    <w:rPr>
      <w:i/>
      <w:iCs/>
      <w:lang w:val="en-US"/>
    </w:rPr>
  </w:style>
  <w:style w:type="character" w:styleId="HTML5">
    <w:name w:val="HTML Keyboard"/>
    <w:basedOn w:val="a3"/>
    <w:uiPriority w:val="99"/>
    <w:semiHidden/>
    <w:unhideWhenUsed/>
    <w:rsid w:val="00F527CC"/>
    <w:rPr>
      <w:rFonts w:ascii="Consolas" w:hAnsi="Consolas"/>
      <w:sz w:val="20"/>
      <w:szCs w:val="20"/>
      <w:lang w:val="en-US"/>
    </w:rPr>
  </w:style>
  <w:style w:type="paragraph" w:styleId="HTML6">
    <w:name w:val="HTML Preformatted"/>
    <w:basedOn w:val="a2"/>
    <w:link w:val="HTML7"/>
    <w:uiPriority w:val="99"/>
    <w:semiHidden/>
    <w:unhideWhenUsed/>
    <w:rsid w:val="00F527CC"/>
    <w:pPr>
      <w:spacing w:after="0" w:line="240" w:lineRule="auto"/>
    </w:pPr>
    <w:rPr>
      <w:rFonts w:ascii="Consolas" w:hAnsi="Consolas"/>
      <w:sz w:val="20"/>
      <w:szCs w:val="20"/>
    </w:rPr>
  </w:style>
  <w:style w:type="character" w:customStyle="1" w:styleId="HTML7">
    <w:name w:val="Стандартный HTML Знак"/>
    <w:basedOn w:val="a3"/>
    <w:link w:val="HTML6"/>
    <w:uiPriority w:val="99"/>
    <w:semiHidden/>
    <w:rsid w:val="00F527CC"/>
    <w:rPr>
      <w:rFonts w:ascii="Consolas" w:hAnsi="Consolas"/>
      <w:sz w:val="20"/>
      <w:szCs w:val="20"/>
      <w:lang w:val="en-US"/>
    </w:rPr>
  </w:style>
  <w:style w:type="character" w:styleId="HTML8">
    <w:name w:val="HTML Sample"/>
    <w:basedOn w:val="a3"/>
    <w:uiPriority w:val="99"/>
    <w:semiHidden/>
    <w:unhideWhenUsed/>
    <w:rsid w:val="00F527CC"/>
    <w:rPr>
      <w:rFonts w:ascii="Consolas" w:hAnsi="Consolas"/>
      <w:sz w:val="24"/>
      <w:szCs w:val="24"/>
      <w:lang w:val="en-US"/>
    </w:rPr>
  </w:style>
  <w:style w:type="character" w:styleId="HTML9">
    <w:name w:val="HTML Typewriter"/>
    <w:basedOn w:val="a3"/>
    <w:uiPriority w:val="99"/>
    <w:semiHidden/>
    <w:unhideWhenUsed/>
    <w:rsid w:val="00F527CC"/>
    <w:rPr>
      <w:rFonts w:ascii="Consolas" w:hAnsi="Consolas"/>
      <w:sz w:val="20"/>
      <w:szCs w:val="20"/>
      <w:lang w:val="en-US"/>
    </w:rPr>
  </w:style>
  <w:style w:type="character" w:styleId="HTMLa">
    <w:name w:val="HTML Variable"/>
    <w:basedOn w:val="a3"/>
    <w:uiPriority w:val="99"/>
    <w:semiHidden/>
    <w:unhideWhenUsed/>
    <w:rsid w:val="00F527CC"/>
    <w:rPr>
      <w:i/>
      <w:iCs/>
      <w:lang w:val="en-US"/>
    </w:rPr>
  </w:style>
  <w:style w:type="paragraph" w:styleId="12">
    <w:name w:val="index 1"/>
    <w:basedOn w:val="a2"/>
    <w:next w:val="a2"/>
    <w:autoRedefine/>
    <w:uiPriority w:val="99"/>
    <w:semiHidden/>
    <w:unhideWhenUsed/>
    <w:rsid w:val="00F527CC"/>
    <w:pPr>
      <w:spacing w:after="0" w:line="240" w:lineRule="auto"/>
      <w:ind w:left="220" w:hanging="220"/>
    </w:pPr>
  </w:style>
  <w:style w:type="paragraph" w:styleId="2d">
    <w:name w:val="index 2"/>
    <w:basedOn w:val="a2"/>
    <w:next w:val="a2"/>
    <w:autoRedefine/>
    <w:uiPriority w:val="99"/>
    <w:semiHidden/>
    <w:unhideWhenUsed/>
    <w:rsid w:val="00F527CC"/>
    <w:pPr>
      <w:spacing w:after="0" w:line="240" w:lineRule="auto"/>
      <w:ind w:left="440" w:hanging="220"/>
    </w:pPr>
  </w:style>
  <w:style w:type="paragraph" w:styleId="38">
    <w:name w:val="index 3"/>
    <w:basedOn w:val="a2"/>
    <w:next w:val="a2"/>
    <w:autoRedefine/>
    <w:uiPriority w:val="99"/>
    <w:semiHidden/>
    <w:unhideWhenUsed/>
    <w:rsid w:val="00F527CC"/>
    <w:pPr>
      <w:spacing w:after="0" w:line="240" w:lineRule="auto"/>
      <w:ind w:left="660" w:hanging="220"/>
    </w:pPr>
  </w:style>
  <w:style w:type="paragraph" w:styleId="44">
    <w:name w:val="index 4"/>
    <w:basedOn w:val="a2"/>
    <w:next w:val="a2"/>
    <w:autoRedefine/>
    <w:uiPriority w:val="99"/>
    <w:semiHidden/>
    <w:unhideWhenUsed/>
    <w:rsid w:val="00F527CC"/>
    <w:pPr>
      <w:spacing w:after="0" w:line="240" w:lineRule="auto"/>
      <w:ind w:left="880" w:hanging="220"/>
    </w:pPr>
  </w:style>
  <w:style w:type="paragraph" w:styleId="53">
    <w:name w:val="index 5"/>
    <w:basedOn w:val="a2"/>
    <w:next w:val="a2"/>
    <w:autoRedefine/>
    <w:uiPriority w:val="99"/>
    <w:semiHidden/>
    <w:unhideWhenUsed/>
    <w:rsid w:val="00F527CC"/>
    <w:pPr>
      <w:spacing w:after="0" w:line="240" w:lineRule="auto"/>
      <w:ind w:left="1100" w:hanging="220"/>
    </w:pPr>
  </w:style>
  <w:style w:type="paragraph" w:styleId="61">
    <w:name w:val="index 6"/>
    <w:basedOn w:val="a2"/>
    <w:next w:val="a2"/>
    <w:autoRedefine/>
    <w:uiPriority w:val="99"/>
    <w:semiHidden/>
    <w:unhideWhenUsed/>
    <w:rsid w:val="00F527CC"/>
    <w:pPr>
      <w:spacing w:after="0" w:line="240" w:lineRule="auto"/>
      <w:ind w:left="1320" w:hanging="220"/>
    </w:pPr>
  </w:style>
  <w:style w:type="paragraph" w:styleId="71">
    <w:name w:val="index 7"/>
    <w:basedOn w:val="a2"/>
    <w:next w:val="a2"/>
    <w:autoRedefine/>
    <w:uiPriority w:val="99"/>
    <w:semiHidden/>
    <w:unhideWhenUsed/>
    <w:rsid w:val="00F527CC"/>
    <w:pPr>
      <w:spacing w:after="0" w:line="240" w:lineRule="auto"/>
      <w:ind w:left="1540" w:hanging="220"/>
    </w:pPr>
  </w:style>
  <w:style w:type="paragraph" w:styleId="81">
    <w:name w:val="index 8"/>
    <w:basedOn w:val="a2"/>
    <w:next w:val="a2"/>
    <w:autoRedefine/>
    <w:uiPriority w:val="99"/>
    <w:semiHidden/>
    <w:unhideWhenUsed/>
    <w:rsid w:val="00F527CC"/>
    <w:pPr>
      <w:spacing w:after="0" w:line="240" w:lineRule="auto"/>
      <w:ind w:left="1760" w:hanging="220"/>
    </w:pPr>
  </w:style>
  <w:style w:type="paragraph" w:styleId="91">
    <w:name w:val="index 9"/>
    <w:basedOn w:val="a2"/>
    <w:next w:val="a2"/>
    <w:autoRedefine/>
    <w:uiPriority w:val="99"/>
    <w:semiHidden/>
    <w:unhideWhenUsed/>
    <w:rsid w:val="00F527CC"/>
    <w:pPr>
      <w:spacing w:after="0" w:line="240" w:lineRule="auto"/>
      <w:ind w:left="1980" w:hanging="220"/>
    </w:pPr>
  </w:style>
  <w:style w:type="paragraph" w:styleId="afff8">
    <w:name w:val="index heading"/>
    <w:basedOn w:val="a2"/>
    <w:next w:val="12"/>
    <w:uiPriority w:val="99"/>
    <w:semiHidden/>
    <w:unhideWhenUsed/>
    <w:rsid w:val="00F527CC"/>
    <w:rPr>
      <w:rFonts w:eastAsiaTheme="majorEastAsia" w:cs="Arial"/>
      <w:b/>
      <w:bCs/>
    </w:rPr>
  </w:style>
  <w:style w:type="character" w:styleId="afff9">
    <w:name w:val="Intense Emphasis"/>
    <w:basedOn w:val="a3"/>
    <w:uiPriority w:val="21"/>
    <w:qFormat/>
    <w:rsid w:val="00F527CC"/>
    <w:rPr>
      <w:i/>
      <w:iCs/>
      <w:color w:val="C7C8CA" w:themeColor="accent1"/>
      <w:lang w:val="en-US"/>
    </w:rPr>
  </w:style>
  <w:style w:type="paragraph" w:styleId="afffa">
    <w:name w:val="Intense Quote"/>
    <w:basedOn w:val="a2"/>
    <w:next w:val="a2"/>
    <w:link w:val="afffb"/>
    <w:uiPriority w:val="30"/>
    <w:qFormat/>
    <w:rsid w:val="00F527CC"/>
    <w:pPr>
      <w:pBdr>
        <w:top w:val="single" w:sz="4" w:space="10" w:color="C7C8CA" w:themeColor="accent1"/>
        <w:bottom w:val="single" w:sz="4" w:space="10" w:color="C7C8CA" w:themeColor="accent1"/>
      </w:pBdr>
      <w:spacing w:before="360" w:after="360"/>
      <w:ind w:left="864" w:right="864"/>
      <w:jc w:val="center"/>
    </w:pPr>
    <w:rPr>
      <w:i/>
      <w:iCs/>
      <w:color w:val="C7C8CA" w:themeColor="accent1"/>
    </w:rPr>
  </w:style>
  <w:style w:type="character" w:customStyle="1" w:styleId="afffb">
    <w:name w:val="Выделенная цитата Знак"/>
    <w:basedOn w:val="a3"/>
    <w:link w:val="afffa"/>
    <w:uiPriority w:val="30"/>
    <w:rsid w:val="00F527CC"/>
    <w:rPr>
      <w:i/>
      <w:iCs/>
      <w:color w:val="C7C8CA" w:themeColor="accent1"/>
      <w:lang w:val="en-US"/>
    </w:rPr>
  </w:style>
  <w:style w:type="character" w:styleId="afffc">
    <w:name w:val="Intense Reference"/>
    <w:basedOn w:val="a3"/>
    <w:uiPriority w:val="32"/>
    <w:qFormat/>
    <w:rsid w:val="00F527CC"/>
    <w:rPr>
      <w:b/>
      <w:bCs/>
      <w:smallCaps/>
      <w:color w:val="C7C8CA" w:themeColor="accent1"/>
      <w:spacing w:val="5"/>
      <w:lang w:val="en-US"/>
    </w:rPr>
  </w:style>
  <w:style w:type="table" w:styleId="afffd">
    <w:name w:val="Light Grid"/>
    <w:basedOn w:val="a4"/>
    <w:uiPriority w:val="62"/>
    <w:semiHidden/>
    <w:unhideWhenUsed/>
    <w:rsid w:val="00F527CC"/>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18" w:space="0" w:color="404040" w:themeColor="text1"/>
          <w:right w:val="single" w:sz="8" w:space="0" w:color="404040" w:themeColor="text1"/>
          <w:insideH w:val="nil"/>
          <w:insideV w:val="single" w:sz="8" w:space="0" w:color="4040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insideH w:val="nil"/>
          <w:insideV w:val="single" w:sz="8" w:space="0" w:color="4040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shd w:val="clear" w:color="auto" w:fill="CFCFCF" w:themeFill="text1" w:themeFillTint="3F"/>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shd w:val="clear" w:color="auto" w:fill="CFCFCF" w:themeFill="text1" w:themeFillTint="3F"/>
      </w:tcPr>
    </w:tblStylePr>
    <w:tblStylePr w:type="band2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tcPr>
    </w:tblStylePr>
  </w:style>
  <w:style w:type="table" w:styleId="-17">
    <w:name w:val="Light Grid Accent 1"/>
    <w:basedOn w:val="a4"/>
    <w:uiPriority w:val="62"/>
    <w:semiHidden/>
    <w:unhideWhenUsed/>
    <w:rsid w:val="00F527CC"/>
    <w:pPr>
      <w:spacing w:after="0" w:line="240" w:lineRule="auto"/>
    </w:pPr>
    <w:tblPr>
      <w:tblStyleRowBandSize w:val="1"/>
      <w:tblStyleColBandSize w:val="1"/>
      <w:tblBorders>
        <w:top w:val="single" w:sz="8" w:space="0" w:color="C7C8CA" w:themeColor="accent1"/>
        <w:left w:val="single" w:sz="8" w:space="0" w:color="C7C8CA" w:themeColor="accent1"/>
        <w:bottom w:val="single" w:sz="8" w:space="0" w:color="C7C8CA" w:themeColor="accent1"/>
        <w:right w:val="single" w:sz="8" w:space="0" w:color="C7C8CA" w:themeColor="accent1"/>
        <w:insideH w:val="single" w:sz="8" w:space="0" w:color="C7C8CA" w:themeColor="accent1"/>
        <w:insideV w:val="single" w:sz="8" w:space="0" w:color="C7C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C8CA" w:themeColor="accent1"/>
          <w:left w:val="single" w:sz="8" w:space="0" w:color="C7C8CA" w:themeColor="accent1"/>
          <w:bottom w:val="single" w:sz="18" w:space="0" w:color="C7C8CA" w:themeColor="accent1"/>
          <w:right w:val="single" w:sz="8" w:space="0" w:color="C7C8CA" w:themeColor="accent1"/>
          <w:insideH w:val="nil"/>
          <w:insideV w:val="single" w:sz="8" w:space="0" w:color="C7C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C8CA" w:themeColor="accent1"/>
          <w:left w:val="single" w:sz="8" w:space="0" w:color="C7C8CA" w:themeColor="accent1"/>
          <w:bottom w:val="single" w:sz="8" w:space="0" w:color="C7C8CA" w:themeColor="accent1"/>
          <w:right w:val="single" w:sz="8" w:space="0" w:color="C7C8CA" w:themeColor="accent1"/>
          <w:insideH w:val="nil"/>
          <w:insideV w:val="single" w:sz="8" w:space="0" w:color="C7C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C8CA" w:themeColor="accent1"/>
          <w:left w:val="single" w:sz="8" w:space="0" w:color="C7C8CA" w:themeColor="accent1"/>
          <w:bottom w:val="single" w:sz="8" w:space="0" w:color="C7C8CA" w:themeColor="accent1"/>
          <w:right w:val="single" w:sz="8" w:space="0" w:color="C7C8CA" w:themeColor="accent1"/>
        </w:tcBorders>
      </w:tcPr>
    </w:tblStylePr>
    <w:tblStylePr w:type="band1Vert">
      <w:tblPr/>
      <w:tcPr>
        <w:tcBorders>
          <w:top w:val="single" w:sz="8" w:space="0" w:color="C7C8CA" w:themeColor="accent1"/>
          <w:left w:val="single" w:sz="8" w:space="0" w:color="C7C8CA" w:themeColor="accent1"/>
          <w:bottom w:val="single" w:sz="8" w:space="0" w:color="C7C8CA" w:themeColor="accent1"/>
          <w:right w:val="single" w:sz="8" w:space="0" w:color="C7C8CA" w:themeColor="accent1"/>
        </w:tcBorders>
        <w:shd w:val="clear" w:color="auto" w:fill="F1F1F2" w:themeFill="accent1" w:themeFillTint="3F"/>
      </w:tcPr>
    </w:tblStylePr>
    <w:tblStylePr w:type="band1Horz">
      <w:tblPr/>
      <w:tcPr>
        <w:tcBorders>
          <w:top w:val="single" w:sz="8" w:space="0" w:color="C7C8CA" w:themeColor="accent1"/>
          <w:left w:val="single" w:sz="8" w:space="0" w:color="C7C8CA" w:themeColor="accent1"/>
          <w:bottom w:val="single" w:sz="8" w:space="0" w:color="C7C8CA" w:themeColor="accent1"/>
          <w:right w:val="single" w:sz="8" w:space="0" w:color="C7C8CA" w:themeColor="accent1"/>
          <w:insideV w:val="single" w:sz="8" w:space="0" w:color="C7C8CA" w:themeColor="accent1"/>
        </w:tcBorders>
        <w:shd w:val="clear" w:color="auto" w:fill="F1F1F2" w:themeFill="accent1" w:themeFillTint="3F"/>
      </w:tcPr>
    </w:tblStylePr>
    <w:tblStylePr w:type="band2Horz">
      <w:tblPr/>
      <w:tcPr>
        <w:tcBorders>
          <w:top w:val="single" w:sz="8" w:space="0" w:color="C7C8CA" w:themeColor="accent1"/>
          <w:left w:val="single" w:sz="8" w:space="0" w:color="C7C8CA" w:themeColor="accent1"/>
          <w:bottom w:val="single" w:sz="8" w:space="0" w:color="C7C8CA" w:themeColor="accent1"/>
          <w:right w:val="single" w:sz="8" w:space="0" w:color="C7C8CA" w:themeColor="accent1"/>
          <w:insideV w:val="single" w:sz="8" w:space="0" w:color="C7C8CA" w:themeColor="accent1"/>
        </w:tcBorders>
      </w:tcPr>
    </w:tblStylePr>
  </w:style>
  <w:style w:type="table" w:styleId="-27">
    <w:name w:val="Light Grid Accent 2"/>
    <w:basedOn w:val="a4"/>
    <w:uiPriority w:val="62"/>
    <w:semiHidden/>
    <w:unhideWhenUsed/>
    <w:rsid w:val="00F527CC"/>
    <w:pPr>
      <w:spacing w:after="0" w:line="240" w:lineRule="auto"/>
    </w:pPr>
    <w:tblPr>
      <w:tblStyleRowBandSize w:val="1"/>
      <w:tblStyleColBandSize w:val="1"/>
      <w:tblBorders>
        <w:top w:val="single" w:sz="8" w:space="0" w:color="939598" w:themeColor="accent2"/>
        <w:left w:val="single" w:sz="8" w:space="0" w:color="939598" w:themeColor="accent2"/>
        <w:bottom w:val="single" w:sz="8" w:space="0" w:color="939598" w:themeColor="accent2"/>
        <w:right w:val="single" w:sz="8" w:space="0" w:color="939598" w:themeColor="accent2"/>
        <w:insideH w:val="single" w:sz="8" w:space="0" w:color="939598" w:themeColor="accent2"/>
        <w:insideV w:val="single" w:sz="8" w:space="0" w:color="93959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39598" w:themeColor="accent2"/>
          <w:left w:val="single" w:sz="8" w:space="0" w:color="939598" w:themeColor="accent2"/>
          <w:bottom w:val="single" w:sz="18" w:space="0" w:color="939598" w:themeColor="accent2"/>
          <w:right w:val="single" w:sz="8" w:space="0" w:color="939598" w:themeColor="accent2"/>
          <w:insideH w:val="nil"/>
          <w:insideV w:val="single" w:sz="8" w:space="0" w:color="93959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39598" w:themeColor="accent2"/>
          <w:left w:val="single" w:sz="8" w:space="0" w:color="939598" w:themeColor="accent2"/>
          <w:bottom w:val="single" w:sz="8" w:space="0" w:color="939598" w:themeColor="accent2"/>
          <w:right w:val="single" w:sz="8" w:space="0" w:color="939598" w:themeColor="accent2"/>
          <w:insideH w:val="nil"/>
          <w:insideV w:val="single" w:sz="8" w:space="0" w:color="93959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39598" w:themeColor="accent2"/>
          <w:left w:val="single" w:sz="8" w:space="0" w:color="939598" w:themeColor="accent2"/>
          <w:bottom w:val="single" w:sz="8" w:space="0" w:color="939598" w:themeColor="accent2"/>
          <w:right w:val="single" w:sz="8" w:space="0" w:color="939598" w:themeColor="accent2"/>
        </w:tcBorders>
      </w:tcPr>
    </w:tblStylePr>
    <w:tblStylePr w:type="band1Vert">
      <w:tblPr/>
      <w:tcPr>
        <w:tcBorders>
          <w:top w:val="single" w:sz="8" w:space="0" w:color="939598" w:themeColor="accent2"/>
          <w:left w:val="single" w:sz="8" w:space="0" w:color="939598" w:themeColor="accent2"/>
          <w:bottom w:val="single" w:sz="8" w:space="0" w:color="939598" w:themeColor="accent2"/>
          <w:right w:val="single" w:sz="8" w:space="0" w:color="939598" w:themeColor="accent2"/>
        </w:tcBorders>
        <w:shd w:val="clear" w:color="auto" w:fill="E4E4E5" w:themeFill="accent2" w:themeFillTint="3F"/>
      </w:tcPr>
    </w:tblStylePr>
    <w:tblStylePr w:type="band1Horz">
      <w:tblPr/>
      <w:tcPr>
        <w:tcBorders>
          <w:top w:val="single" w:sz="8" w:space="0" w:color="939598" w:themeColor="accent2"/>
          <w:left w:val="single" w:sz="8" w:space="0" w:color="939598" w:themeColor="accent2"/>
          <w:bottom w:val="single" w:sz="8" w:space="0" w:color="939598" w:themeColor="accent2"/>
          <w:right w:val="single" w:sz="8" w:space="0" w:color="939598" w:themeColor="accent2"/>
          <w:insideV w:val="single" w:sz="8" w:space="0" w:color="939598" w:themeColor="accent2"/>
        </w:tcBorders>
        <w:shd w:val="clear" w:color="auto" w:fill="E4E4E5" w:themeFill="accent2" w:themeFillTint="3F"/>
      </w:tcPr>
    </w:tblStylePr>
    <w:tblStylePr w:type="band2Horz">
      <w:tblPr/>
      <w:tcPr>
        <w:tcBorders>
          <w:top w:val="single" w:sz="8" w:space="0" w:color="939598" w:themeColor="accent2"/>
          <w:left w:val="single" w:sz="8" w:space="0" w:color="939598" w:themeColor="accent2"/>
          <w:bottom w:val="single" w:sz="8" w:space="0" w:color="939598" w:themeColor="accent2"/>
          <w:right w:val="single" w:sz="8" w:space="0" w:color="939598" w:themeColor="accent2"/>
          <w:insideV w:val="single" w:sz="8" w:space="0" w:color="939598" w:themeColor="accent2"/>
        </w:tcBorders>
      </w:tcPr>
    </w:tblStylePr>
  </w:style>
  <w:style w:type="table" w:styleId="-37">
    <w:name w:val="Light Grid Accent 3"/>
    <w:basedOn w:val="a4"/>
    <w:uiPriority w:val="62"/>
    <w:semiHidden/>
    <w:unhideWhenUsed/>
    <w:rsid w:val="00F527CC"/>
    <w:pPr>
      <w:spacing w:after="0" w:line="240" w:lineRule="auto"/>
    </w:pPr>
    <w:tblPr>
      <w:tblStyleRowBandSize w:val="1"/>
      <w:tblStyleColBandSize w:val="1"/>
      <w:tblBorders>
        <w:top w:val="single" w:sz="8" w:space="0" w:color="636466" w:themeColor="accent3"/>
        <w:left w:val="single" w:sz="8" w:space="0" w:color="636466" w:themeColor="accent3"/>
        <w:bottom w:val="single" w:sz="8" w:space="0" w:color="636466" w:themeColor="accent3"/>
        <w:right w:val="single" w:sz="8" w:space="0" w:color="636466" w:themeColor="accent3"/>
        <w:insideH w:val="single" w:sz="8" w:space="0" w:color="636466" w:themeColor="accent3"/>
        <w:insideV w:val="single" w:sz="8" w:space="0" w:color="63646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6466" w:themeColor="accent3"/>
          <w:left w:val="single" w:sz="8" w:space="0" w:color="636466" w:themeColor="accent3"/>
          <w:bottom w:val="single" w:sz="18" w:space="0" w:color="636466" w:themeColor="accent3"/>
          <w:right w:val="single" w:sz="8" w:space="0" w:color="636466" w:themeColor="accent3"/>
          <w:insideH w:val="nil"/>
          <w:insideV w:val="single" w:sz="8" w:space="0" w:color="63646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6466" w:themeColor="accent3"/>
          <w:left w:val="single" w:sz="8" w:space="0" w:color="636466" w:themeColor="accent3"/>
          <w:bottom w:val="single" w:sz="8" w:space="0" w:color="636466" w:themeColor="accent3"/>
          <w:right w:val="single" w:sz="8" w:space="0" w:color="636466" w:themeColor="accent3"/>
          <w:insideH w:val="nil"/>
          <w:insideV w:val="single" w:sz="8" w:space="0" w:color="63646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6466" w:themeColor="accent3"/>
          <w:left w:val="single" w:sz="8" w:space="0" w:color="636466" w:themeColor="accent3"/>
          <w:bottom w:val="single" w:sz="8" w:space="0" w:color="636466" w:themeColor="accent3"/>
          <w:right w:val="single" w:sz="8" w:space="0" w:color="636466" w:themeColor="accent3"/>
        </w:tcBorders>
      </w:tcPr>
    </w:tblStylePr>
    <w:tblStylePr w:type="band1Vert">
      <w:tblPr/>
      <w:tcPr>
        <w:tcBorders>
          <w:top w:val="single" w:sz="8" w:space="0" w:color="636466" w:themeColor="accent3"/>
          <w:left w:val="single" w:sz="8" w:space="0" w:color="636466" w:themeColor="accent3"/>
          <w:bottom w:val="single" w:sz="8" w:space="0" w:color="636466" w:themeColor="accent3"/>
          <w:right w:val="single" w:sz="8" w:space="0" w:color="636466" w:themeColor="accent3"/>
        </w:tcBorders>
        <w:shd w:val="clear" w:color="auto" w:fill="D8D8D9" w:themeFill="accent3" w:themeFillTint="3F"/>
      </w:tcPr>
    </w:tblStylePr>
    <w:tblStylePr w:type="band1Horz">
      <w:tblPr/>
      <w:tcPr>
        <w:tcBorders>
          <w:top w:val="single" w:sz="8" w:space="0" w:color="636466" w:themeColor="accent3"/>
          <w:left w:val="single" w:sz="8" w:space="0" w:color="636466" w:themeColor="accent3"/>
          <w:bottom w:val="single" w:sz="8" w:space="0" w:color="636466" w:themeColor="accent3"/>
          <w:right w:val="single" w:sz="8" w:space="0" w:color="636466" w:themeColor="accent3"/>
          <w:insideV w:val="single" w:sz="8" w:space="0" w:color="636466" w:themeColor="accent3"/>
        </w:tcBorders>
        <w:shd w:val="clear" w:color="auto" w:fill="D8D8D9" w:themeFill="accent3" w:themeFillTint="3F"/>
      </w:tcPr>
    </w:tblStylePr>
    <w:tblStylePr w:type="band2Horz">
      <w:tblPr/>
      <w:tcPr>
        <w:tcBorders>
          <w:top w:val="single" w:sz="8" w:space="0" w:color="636466" w:themeColor="accent3"/>
          <w:left w:val="single" w:sz="8" w:space="0" w:color="636466" w:themeColor="accent3"/>
          <w:bottom w:val="single" w:sz="8" w:space="0" w:color="636466" w:themeColor="accent3"/>
          <w:right w:val="single" w:sz="8" w:space="0" w:color="636466" w:themeColor="accent3"/>
          <w:insideV w:val="single" w:sz="8" w:space="0" w:color="636466" w:themeColor="accent3"/>
        </w:tcBorders>
      </w:tcPr>
    </w:tblStylePr>
  </w:style>
  <w:style w:type="table" w:styleId="-47">
    <w:name w:val="Light Grid Accent 4"/>
    <w:basedOn w:val="a4"/>
    <w:uiPriority w:val="62"/>
    <w:semiHidden/>
    <w:unhideWhenUsed/>
    <w:rsid w:val="00F527CC"/>
    <w:pPr>
      <w:spacing w:after="0" w:line="240" w:lineRule="auto"/>
    </w:pPr>
    <w:tblPr>
      <w:tblStyleRowBandSize w:val="1"/>
      <w:tblStyleColBandSize w:val="1"/>
      <w:tblBorders>
        <w:top w:val="single" w:sz="8" w:space="0" w:color="CD202C" w:themeColor="accent4"/>
        <w:left w:val="single" w:sz="8" w:space="0" w:color="CD202C" w:themeColor="accent4"/>
        <w:bottom w:val="single" w:sz="8" w:space="0" w:color="CD202C" w:themeColor="accent4"/>
        <w:right w:val="single" w:sz="8" w:space="0" w:color="CD202C" w:themeColor="accent4"/>
        <w:insideH w:val="single" w:sz="8" w:space="0" w:color="CD202C" w:themeColor="accent4"/>
        <w:insideV w:val="single" w:sz="8" w:space="0" w:color="CD202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202C" w:themeColor="accent4"/>
          <w:left w:val="single" w:sz="8" w:space="0" w:color="CD202C" w:themeColor="accent4"/>
          <w:bottom w:val="single" w:sz="18" w:space="0" w:color="CD202C" w:themeColor="accent4"/>
          <w:right w:val="single" w:sz="8" w:space="0" w:color="CD202C" w:themeColor="accent4"/>
          <w:insideH w:val="nil"/>
          <w:insideV w:val="single" w:sz="8" w:space="0" w:color="CD202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202C" w:themeColor="accent4"/>
          <w:left w:val="single" w:sz="8" w:space="0" w:color="CD202C" w:themeColor="accent4"/>
          <w:bottom w:val="single" w:sz="8" w:space="0" w:color="CD202C" w:themeColor="accent4"/>
          <w:right w:val="single" w:sz="8" w:space="0" w:color="CD202C" w:themeColor="accent4"/>
          <w:insideH w:val="nil"/>
          <w:insideV w:val="single" w:sz="8" w:space="0" w:color="CD202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202C" w:themeColor="accent4"/>
          <w:left w:val="single" w:sz="8" w:space="0" w:color="CD202C" w:themeColor="accent4"/>
          <w:bottom w:val="single" w:sz="8" w:space="0" w:color="CD202C" w:themeColor="accent4"/>
          <w:right w:val="single" w:sz="8" w:space="0" w:color="CD202C" w:themeColor="accent4"/>
        </w:tcBorders>
      </w:tcPr>
    </w:tblStylePr>
    <w:tblStylePr w:type="band1Vert">
      <w:tblPr/>
      <w:tcPr>
        <w:tcBorders>
          <w:top w:val="single" w:sz="8" w:space="0" w:color="CD202C" w:themeColor="accent4"/>
          <w:left w:val="single" w:sz="8" w:space="0" w:color="CD202C" w:themeColor="accent4"/>
          <w:bottom w:val="single" w:sz="8" w:space="0" w:color="CD202C" w:themeColor="accent4"/>
          <w:right w:val="single" w:sz="8" w:space="0" w:color="CD202C" w:themeColor="accent4"/>
        </w:tcBorders>
        <w:shd w:val="clear" w:color="auto" w:fill="F6C4C7" w:themeFill="accent4" w:themeFillTint="3F"/>
      </w:tcPr>
    </w:tblStylePr>
    <w:tblStylePr w:type="band1Horz">
      <w:tblPr/>
      <w:tcPr>
        <w:tcBorders>
          <w:top w:val="single" w:sz="8" w:space="0" w:color="CD202C" w:themeColor="accent4"/>
          <w:left w:val="single" w:sz="8" w:space="0" w:color="CD202C" w:themeColor="accent4"/>
          <w:bottom w:val="single" w:sz="8" w:space="0" w:color="CD202C" w:themeColor="accent4"/>
          <w:right w:val="single" w:sz="8" w:space="0" w:color="CD202C" w:themeColor="accent4"/>
          <w:insideV w:val="single" w:sz="8" w:space="0" w:color="CD202C" w:themeColor="accent4"/>
        </w:tcBorders>
        <w:shd w:val="clear" w:color="auto" w:fill="F6C4C7" w:themeFill="accent4" w:themeFillTint="3F"/>
      </w:tcPr>
    </w:tblStylePr>
    <w:tblStylePr w:type="band2Horz">
      <w:tblPr/>
      <w:tcPr>
        <w:tcBorders>
          <w:top w:val="single" w:sz="8" w:space="0" w:color="CD202C" w:themeColor="accent4"/>
          <w:left w:val="single" w:sz="8" w:space="0" w:color="CD202C" w:themeColor="accent4"/>
          <w:bottom w:val="single" w:sz="8" w:space="0" w:color="CD202C" w:themeColor="accent4"/>
          <w:right w:val="single" w:sz="8" w:space="0" w:color="CD202C" w:themeColor="accent4"/>
          <w:insideV w:val="single" w:sz="8" w:space="0" w:color="CD202C" w:themeColor="accent4"/>
        </w:tcBorders>
      </w:tcPr>
    </w:tblStylePr>
  </w:style>
  <w:style w:type="table" w:styleId="-57">
    <w:name w:val="Light Grid Accent 5"/>
    <w:basedOn w:val="a4"/>
    <w:uiPriority w:val="62"/>
    <w:semiHidden/>
    <w:unhideWhenUsed/>
    <w:rsid w:val="00F527CC"/>
    <w:pPr>
      <w:spacing w:after="0" w:line="240" w:lineRule="auto"/>
    </w:pPr>
    <w:tblPr>
      <w:tblStyleRowBandSize w:val="1"/>
      <w:tblStyleColBandSize w:val="1"/>
      <w:tblBorders>
        <w:top w:val="single" w:sz="8" w:space="0" w:color="0055AA" w:themeColor="accent5"/>
        <w:left w:val="single" w:sz="8" w:space="0" w:color="0055AA" w:themeColor="accent5"/>
        <w:bottom w:val="single" w:sz="8" w:space="0" w:color="0055AA" w:themeColor="accent5"/>
        <w:right w:val="single" w:sz="8" w:space="0" w:color="0055AA" w:themeColor="accent5"/>
        <w:insideH w:val="single" w:sz="8" w:space="0" w:color="0055AA" w:themeColor="accent5"/>
        <w:insideV w:val="single" w:sz="8" w:space="0" w:color="0055A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AA" w:themeColor="accent5"/>
          <w:left w:val="single" w:sz="8" w:space="0" w:color="0055AA" w:themeColor="accent5"/>
          <w:bottom w:val="single" w:sz="18" w:space="0" w:color="0055AA" w:themeColor="accent5"/>
          <w:right w:val="single" w:sz="8" w:space="0" w:color="0055AA" w:themeColor="accent5"/>
          <w:insideH w:val="nil"/>
          <w:insideV w:val="single" w:sz="8" w:space="0" w:color="0055A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AA" w:themeColor="accent5"/>
          <w:left w:val="single" w:sz="8" w:space="0" w:color="0055AA" w:themeColor="accent5"/>
          <w:bottom w:val="single" w:sz="8" w:space="0" w:color="0055AA" w:themeColor="accent5"/>
          <w:right w:val="single" w:sz="8" w:space="0" w:color="0055AA" w:themeColor="accent5"/>
          <w:insideH w:val="nil"/>
          <w:insideV w:val="single" w:sz="8" w:space="0" w:color="0055A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AA" w:themeColor="accent5"/>
          <w:left w:val="single" w:sz="8" w:space="0" w:color="0055AA" w:themeColor="accent5"/>
          <w:bottom w:val="single" w:sz="8" w:space="0" w:color="0055AA" w:themeColor="accent5"/>
          <w:right w:val="single" w:sz="8" w:space="0" w:color="0055AA" w:themeColor="accent5"/>
        </w:tcBorders>
      </w:tcPr>
    </w:tblStylePr>
    <w:tblStylePr w:type="band1Vert">
      <w:tblPr/>
      <w:tcPr>
        <w:tcBorders>
          <w:top w:val="single" w:sz="8" w:space="0" w:color="0055AA" w:themeColor="accent5"/>
          <w:left w:val="single" w:sz="8" w:space="0" w:color="0055AA" w:themeColor="accent5"/>
          <w:bottom w:val="single" w:sz="8" w:space="0" w:color="0055AA" w:themeColor="accent5"/>
          <w:right w:val="single" w:sz="8" w:space="0" w:color="0055AA" w:themeColor="accent5"/>
        </w:tcBorders>
        <w:shd w:val="clear" w:color="auto" w:fill="ABD4FF" w:themeFill="accent5" w:themeFillTint="3F"/>
      </w:tcPr>
    </w:tblStylePr>
    <w:tblStylePr w:type="band1Horz">
      <w:tblPr/>
      <w:tcPr>
        <w:tcBorders>
          <w:top w:val="single" w:sz="8" w:space="0" w:color="0055AA" w:themeColor="accent5"/>
          <w:left w:val="single" w:sz="8" w:space="0" w:color="0055AA" w:themeColor="accent5"/>
          <w:bottom w:val="single" w:sz="8" w:space="0" w:color="0055AA" w:themeColor="accent5"/>
          <w:right w:val="single" w:sz="8" w:space="0" w:color="0055AA" w:themeColor="accent5"/>
          <w:insideV w:val="single" w:sz="8" w:space="0" w:color="0055AA" w:themeColor="accent5"/>
        </w:tcBorders>
        <w:shd w:val="clear" w:color="auto" w:fill="ABD4FF" w:themeFill="accent5" w:themeFillTint="3F"/>
      </w:tcPr>
    </w:tblStylePr>
    <w:tblStylePr w:type="band2Horz">
      <w:tblPr/>
      <w:tcPr>
        <w:tcBorders>
          <w:top w:val="single" w:sz="8" w:space="0" w:color="0055AA" w:themeColor="accent5"/>
          <w:left w:val="single" w:sz="8" w:space="0" w:color="0055AA" w:themeColor="accent5"/>
          <w:bottom w:val="single" w:sz="8" w:space="0" w:color="0055AA" w:themeColor="accent5"/>
          <w:right w:val="single" w:sz="8" w:space="0" w:color="0055AA" w:themeColor="accent5"/>
          <w:insideV w:val="single" w:sz="8" w:space="0" w:color="0055AA" w:themeColor="accent5"/>
        </w:tcBorders>
      </w:tcPr>
    </w:tblStylePr>
  </w:style>
  <w:style w:type="table" w:styleId="-67">
    <w:name w:val="Light Grid Accent 6"/>
    <w:basedOn w:val="a4"/>
    <w:uiPriority w:val="62"/>
    <w:semiHidden/>
    <w:unhideWhenUsed/>
    <w:rsid w:val="00F527CC"/>
    <w:pPr>
      <w:spacing w:after="0" w:line="240" w:lineRule="auto"/>
    </w:pPr>
    <w:tblPr>
      <w:tblStyleRowBandSize w:val="1"/>
      <w:tblStyleColBandSize w:val="1"/>
      <w:tblBorders>
        <w:top w:val="single" w:sz="8" w:space="0" w:color="FFAA22" w:themeColor="accent6"/>
        <w:left w:val="single" w:sz="8" w:space="0" w:color="FFAA22" w:themeColor="accent6"/>
        <w:bottom w:val="single" w:sz="8" w:space="0" w:color="FFAA22" w:themeColor="accent6"/>
        <w:right w:val="single" w:sz="8" w:space="0" w:color="FFAA22" w:themeColor="accent6"/>
        <w:insideH w:val="single" w:sz="8" w:space="0" w:color="FFAA22" w:themeColor="accent6"/>
        <w:insideV w:val="single" w:sz="8" w:space="0" w:color="FFAA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A22" w:themeColor="accent6"/>
          <w:left w:val="single" w:sz="8" w:space="0" w:color="FFAA22" w:themeColor="accent6"/>
          <w:bottom w:val="single" w:sz="18" w:space="0" w:color="FFAA22" w:themeColor="accent6"/>
          <w:right w:val="single" w:sz="8" w:space="0" w:color="FFAA22" w:themeColor="accent6"/>
          <w:insideH w:val="nil"/>
          <w:insideV w:val="single" w:sz="8" w:space="0" w:color="FFAA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A22" w:themeColor="accent6"/>
          <w:left w:val="single" w:sz="8" w:space="0" w:color="FFAA22" w:themeColor="accent6"/>
          <w:bottom w:val="single" w:sz="8" w:space="0" w:color="FFAA22" w:themeColor="accent6"/>
          <w:right w:val="single" w:sz="8" w:space="0" w:color="FFAA22" w:themeColor="accent6"/>
          <w:insideH w:val="nil"/>
          <w:insideV w:val="single" w:sz="8" w:space="0" w:color="FFAA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A22" w:themeColor="accent6"/>
          <w:left w:val="single" w:sz="8" w:space="0" w:color="FFAA22" w:themeColor="accent6"/>
          <w:bottom w:val="single" w:sz="8" w:space="0" w:color="FFAA22" w:themeColor="accent6"/>
          <w:right w:val="single" w:sz="8" w:space="0" w:color="FFAA22" w:themeColor="accent6"/>
        </w:tcBorders>
      </w:tcPr>
    </w:tblStylePr>
    <w:tblStylePr w:type="band1Vert">
      <w:tblPr/>
      <w:tcPr>
        <w:tcBorders>
          <w:top w:val="single" w:sz="8" w:space="0" w:color="FFAA22" w:themeColor="accent6"/>
          <w:left w:val="single" w:sz="8" w:space="0" w:color="FFAA22" w:themeColor="accent6"/>
          <w:bottom w:val="single" w:sz="8" w:space="0" w:color="FFAA22" w:themeColor="accent6"/>
          <w:right w:val="single" w:sz="8" w:space="0" w:color="FFAA22" w:themeColor="accent6"/>
        </w:tcBorders>
        <w:shd w:val="clear" w:color="auto" w:fill="FFE9C8" w:themeFill="accent6" w:themeFillTint="3F"/>
      </w:tcPr>
    </w:tblStylePr>
    <w:tblStylePr w:type="band1Horz">
      <w:tblPr/>
      <w:tcPr>
        <w:tcBorders>
          <w:top w:val="single" w:sz="8" w:space="0" w:color="FFAA22" w:themeColor="accent6"/>
          <w:left w:val="single" w:sz="8" w:space="0" w:color="FFAA22" w:themeColor="accent6"/>
          <w:bottom w:val="single" w:sz="8" w:space="0" w:color="FFAA22" w:themeColor="accent6"/>
          <w:right w:val="single" w:sz="8" w:space="0" w:color="FFAA22" w:themeColor="accent6"/>
          <w:insideV w:val="single" w:sz="8" w:space="0" w:color="FFAA22" w:themeColor="accent6"/>
        </w:tcBorders>
        <w:shd w:val="clear" w:color="auto" w:fill="FFE9C8" w:themeFill="accent6" w:themeFillTint="3F"/>
      </w:tcPr>
    </w:tblStylePr>
    <w:tblStylePr w:type="band2Horz">
      <w:tblPr/>
      <w:tcPr>
        <w:tcBorders>
          <w:top w:val="single" w:sz="8" w:space="0" w:color="FFAA22" w:themeColor="accent6"/>
          <w:left w:val="single" w:sz="8" w:space="0" w:color="FFAA22" w:themeColor="accent6"/>
          <w:bottom w:val="single" w:sz="8" w:space="0" w:color="FFAA22" w:themeColor="accent6"/>
          <w:right w:val="single" w:sz="8" w:space="0" w:color="FFAA22" w:themeColor="accent6"/>
          <w:insideV w:val="single" w:sz="8" w:space="0" w:color="FFAA22" w:themeColor="accent6"/>
        </w:tcBorders>
      </w:tcPr>
    </w:tblStylePr>
  </w:style>
  <w:style w:type="table" w:styleId="afffe">
    <w:name w:val="Light List"/>
    <w:basedOn w:val="a4"/>
    <w:uiPriority w:val="61"/>
    <w:semiHidden/>
    <w:unhideWhenUsed/>
    <w:rsid w:val="00F527CC"/>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pPr>
        <w:spacing w:before="0" w:after="0" w:line="240" w:lineRule="auto"/>
      </w:pPr>
      <w:rPr>
        <w:b/>
        <w:bCs/>
        <w:color w:val="FFFFFF" w:themeColor="background1"/>
      </w:rPr>
      <w:tblPr/>
      <w:tcPr>
        <w:shd w:val="clear" w:color="auto" w:fill="404040" w:themeFill="text1"/>
      </w:tcPr>
    </w:tblStylePr>
    <w:tblStylePr w:type="lastRow">
      <w:pPr>
        <w:spacing w:before="0" w:after="0" w:line="240" w:lineRule="auto"/>
      </w:pPr>
      <w:rPr>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tcBorders>
      </w:tcPr>
    </w:tblStylePr>
    <w:tblStylePr w:type="firstCol">
      <w:rPr>
        <w:b/>
        <w:bCs/>
      </w:rPr>
    </w:tblStylePr>
    <w:tblStylePr w:type="lastCol">
      <w:rPr>
        <w:b/>
        <w:bCs/>
      </w:r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style>
  <w:style w:type="table" w:styleId="-18">
    <w:name w:val="Light List Accent 1"/>
    <w:basedOn w:val="a4"/>
    <w:uiPriority w:val="61"/>
    <w:semiHidden/>
    <w:unhideWhenUsed/>
    <w:rsid w:val="00F527CC"/>
    <w:pPr>
      <w:spacing w:after="0" w:line="240" w:lineRule="auto"/>
    </w:pPr>
    <w:tblPr>
      <w:tblStyleRowBandSize w:val="1"/>
      <w:tblStyleColBandSize w:val="1"/>
      <w:tblBorders>
        <w:top w:val="single" w:sz="8" w:space="0" w:color="C7C8CA" w:themeColor="accent1"/>
        <w:left w:val="single" w:sz="8" w:space="0" w:color="C7C8CA" w:themeColor="accent1"/>
        <w:bottom w:val="single" w:sz="8" w:space="0" w:color="C7C8CA" w:themeColor="accent1"/>
        <w:right w:val="single" w:sz="8" w:space="0" w:color="C7C8CA" w:themeColor="accent1"/>
      </w:tblBorders>
    </w:tblPr>
    <w:tblStylePr w:type="firstRow">
      <w:pPr>
        <w:spacing w:before="0" w:after="0" w:line="240" w:lineRule="auto"/>
      </w:pPr>
      <w:rPr>
        <w:b/>
        <w:bCs/>
        <w:color w:val="FFFFFF" w:themeColor="background1"/>
      </w:rPr>
      <w:tblPr/>
      <w:tcPr>
        <w:shd w:val="clear" w:color="auto" w:fill="C7C8CA" w:themeFill="accent1"/>
      </w:tcPr>
    </w:tblStylePr>
    <w:tblStylePr w:type="lastRow">
      <w:pPr>
        <w:spacing w:before="0" w:after="0" w:line="240" w:lineRule="auto"/>
      </w:pPr>
      <w:rPr>
        <w:b/>
        <w:bCs/>
      </w:rPr>
      <w:tblPr/>
      <w:tcPr>
        <w:tcBorders>
          <w:top w:val="double" w:sz="6" w:space="0" w:color="C7C8CA" w:themeColor="accent1"/>
          <w:left w:val="single" w:sz="8" w:space="0" w:color="C7C8CA" w:themeColor="accent1"/>
          <w:bottom w:val="single" w:sz="8" w:space="0" w:color="C7C8CA" w:themeColor="accent1"/>
          <w:right w:val="single" w:sz="8" w:space="0" w:color="C7C8CA" w:themeColor="accent1"/>
        </w:tcBorders>
      </w:tcPr>
    </w:tblStylePr>
    <w:tblStylePr w:type="firstCol">
      <w:rPr>
        <w:b/>
        <w:bCs/>
      </w:rPr>
    </w:tblStylePr>
    <w:tblStylePr w:type="lastCol">
      <w:rPr>
        <w:b/>
        <w:bCs/>
      </w:rPr>
    </w:tblStylePr>
    <w:tblStylePr w:type="band1Vert">
      <w:tblPr/>
      <w:tcPr>
        <w:tcBorders>
          <w:top w:val="single" w:sz="8" w:space="0" w:color="C7C8CA" w:themeColor="accent1"/>
          <w:left w:val="single" w:sz="8" w:space="0" w:color="C7C8CA" w:themeColor="accent1"/>
          <w:bottom w:val="single" w:sz="8" w:space="0" w:color="C7C8CA" w:themeColor="accent1"/>
          <w:right w:val="single" w:sz="8" w:space="0" w:color="C7C8CA" w:themeColor="accent1"/>
        </w:tcBorders>
      </w:tcPr>
    </w:tblStylePr>
    <w:tblStylePr w:type="band1Horz">
      <w:tblPr/>
      <w:tcPr>
        <w:tcBorders>
          <w:top w:val="single" w:sz="8" w:space="0" w:color="C7C8CA" w:themeColor="accent1"/>
          <w:left w:val="single" w:sz="8" w:space="0" w:color="C7C8CA" w:themeColor="accent1"/>
          <w:bottom w:val="single" w:sz="8" w:space="0" w:color="C7C8CA" w:themeColor="accent1"/>
          <w:right w:val="single" w:sz="8" w:space="0" w:color="C7C8CA" w:themeColor="accent1"/>
        </w:tcBorders>
      </w:tcPr>
    </w:tblStylePr>
  </w:style>
  <w:style w:type="table" w:styleId="-28">
    <w:name w:val="Light List Accent 2"/>
    <w:basedOn w:val="a4"/>
    <w:uiPriority w:val="61"/>
    <w:semiHidden/>
    <w:unhideWhenUsed/>
    <w:rsid w:val="00F527CC"/>
    <w:pPr>
      <w:spacing w:after="0" w:line="240" w:lineRule="auto"/>
    </w:pPr>
    <w:tblPr>
      <w:tblStyleRowBandSize w:val="1"/>
      <w:tblStyleColBandSize w:val="1"/>
      <w:tblBorders>
        <w:top w:val="single" w:sz="8" w:space="0" w:color="939598" w:themeColor="accent2"/>
        <w:left w:val="single" w:sz="8" w:space="0" w:color="939598" w:themeColor="accent2"/>
        <w:bottom w:val="single" w:sz="8" w:space="0" w:color="939598" w:themeColor="accent2"/>
        <w:right w:val="single" w:sz="8" w:space="0" w:color="939598" w:themeColor="accent2"/>
      </w:tblBorders>
    </w:tblPr>
    <w:tblStylePr w:type="firstRow">
      <w:pPr>
        <w:spacing w:before="0" w:after="0" w:line="240" w:lineRule="auto"/>
      </w:pPr>
      <w:rPr>
        <w:b/>
        <w:bCs/>
        <w:color w:val="FFFFFF" w:themeColor="background1"/>
      </w:rPr>
      <w:tblPr/>
      <w:tcPr>
        <w:shd w:val="clear" w:color="auto" w:fill="939598" w:themeFill="accent2"/>
      </w:tcPr>
    </w:tblStylePr>
    <w:tblStylePr w:type="lastRow">
      <w:pPr>
        <w:spacing w:before="0" w:after="0" w:line="240" w:lineRule="auto"/>
      </w:pPr>
      <w:rPr>
        <w:b/>
        <w:bCs/>
      </w:rPr>
      <w:tblPr/>
      <w:tcPr>
        <w:tcBorders>
          <w:top w:val="double" w:sz="6" w:space="0" w:color="939598" w:themeColor="accent2"/>
          <w:left w:val="single" w:sz="8" w:space="0" w:color="939598" w:themeColor="accent2"/>
          <w:bottom w:val="single" w:sz="8" w:space="0" w:color="939598" w:themeColor="accent2"/>
          <w:right w:val="single" w:sz="8" w:space="0" w:color="939598" w:themeColor="accent2"/>
        </w:tcBorders>
      </w:tcPr>
    </w:tblStylePr>
    <w:tblStylePr w:type="firstCol">
      <w:rPr>
        <w:b/>
        <w:bCs/>
      </w:rPr>
    </w:tblStylePr>
    <w:tblStylePr w:type="lastCol">
      <w:rPr>
        <w:b/>
        <w:bCs/>
      </w:rPr>
    </w:tblStylePr>
    <w:tblStylePr w:type="band1Vert">
      <w:tblPr/>
      <w:tcPr>
        <w:tcBorders>
          <w:top w:val="single" w:sz="8" w:space="0" w:color="939598" w:themeColor="accent2"/>
          <w:left w:val="single" w:sz="8" w:space="0" w:color="939598" w:themeColor="accent2"/>
          <w:bottom w:val="single" w:sz="8" w:space="0" w:color="939598" w:themeColor="accent2"/>
          <w:right w:val="single" w:sz="8" w:space="0" w:color="939598" w:themeColor="accent2"/>
        </w:tcBorders>
      </w:tcPr>
    </w:tblStylePr>
    <w:tblStylePr w:type="band1Horz">
      <w:tblPr/>
      <w:tcPr>
        <w:tcBorders>
          <w:top w:val="single" w:sz="8" w:space="0" w:color="939598" w:themeColor="accent2"/>
          <w:left w:val="single" w:sz="8" w:space="0" w:color="939598" w:themeColor="accent2"/>
          <w:bottom w:val="single" w:sz="8" w:space="0" w:color="939598" w:themeColor="accent2"/>
          <w:right w:val="single" w:sz="8" w:space="0" w:color="939598" w:themeColor="accent2"/>
        </w:tcBorders>
      </w:tcPr>
    </w:tblStylePr>
  </w:style>
  <w:style w:type="table" w:styleId="-38">
    <w:name w:val="Light List Accent 3"/>
    <w:basedOn w:val="a4"/>
    <w:uiPriority w:val="61"/>
    <w:semiHidden/>
    <w:unhideWhenUsed/>
    <w:rsid w:val="00F527CC"/>
    <w:pPr>
      <w:spacing w:after="0" w:line="240" w:lineRule="auto"/>
    </w:pPr>
    <w:tblPr>
      <w:tblStyleRowBandSize w:val="1"/>
      <w:tblStyleColBandSize w:val="1"/>
      <w:tblBorders>
        <w:top w:val="single" w:sz="8" w:space="0" w:color="636466" w:themeColor="accent3"/>
        <w:left w:val="single" w:sz="8" w:space="0" w:color="636466" w:themeColor="accent3"/>
        <w:bottom w:val="single" w:sz="8" w:space="0" w:color="636466" w:themeColor="accent3"/>
        <w:right w:val="single" w:sz="8" w:space="0" w:color="636466" w:themeColor="accent3"/>
      </w:tblBorders>
    </w:tblPr>
    <w:tblStylePr w:type="firstRow">
      <w:pPr>
        <w:spacing w:before="0" w:after="0" w:line="240" w:lineRule="auto"/>
      </w:pPr>
      <w:rPr>
        <w:b/>
        <w:bCs/>
        <w:color w:val="FFFFFF" w:themeColor="background1"/>
      </w:rPr>
      <w:tblPr/>
      <w:tcPr>
        <w:shd w:val="clear" w:color="auto" w:fill="636466" w:themeFill="accent3"/>
      </w:tcPr>
    </w:tblStylePr>
    <w:tblStylePr w:type="lastRow">
      <w:pPr>
        <w:spacing w:before="0" w:after="0" w:line="240" w:lineRule="auto"/>
      </w:pPr>
      <w:rPr>
        <w:b/>
        <w:bCs/>
      </w:rPr>
      <w:tblPr/>
      <w:tcPr>
        <w:tcBorders>
          <w:top w:val="double" w:sz="6" w:space="0" w:color="636466" w:themeColor="accent3"/>
          <w:left w:val="single" w:sz="8" w:space="0" w:color="636466" w:themeColor="accent3"/>
          <w:bottom w:val="single" w:sz="8" w:space="0" w:color="636466" w:themeColor="accent3"/>
          <w:right w:val="single" w:sz="8" w:space="0" w:color="636466" w:themeColor="accent3"/>
        </w:tcBorders>
      </w:tcPr>
    </w:tblStylePr>
    <w:tblStylePr w:type="firstCol">
      <w:rPr>
        <w:b/>
        <w:bCs/>
      </w:rPr>
    </w:tblStylePr>
    <w:tblStylePr w:type="lastCol">
      <w:rPr>
        <w:b/>
        <w:bCs/>
      </w:rPr>
    </w:tblStylePr>
    <w:tblStylePr w:type="band1Vert">
      <w:tblPr/>
      <w:tcPr>
        <w:tcBorders>
          <w:top w:val="single" w:sz="8" w:space="0" w:color="636466" w:themeColor="accent3"/>
          <w:left w:val="single" w:sz="8" w:space="0" w:color="636466" w:themeColor="accent3"/>
          <w:bottom w:val="single" w:sz="8" w:space="0" w:color="636466" w:themeColor="accent3"/>
          <w:right w:val="single" w:sz="8" w:space="0" w:color="636466" w:themeColor="accent3"/>
        </w:tcBorders>
      </w:tcPr>
    </w:tblStylePr>
    <w:tblStylePr w:type="band1Horz">
      <w:tblPr/>
      <w:tcPr>
        <w:tcBorders>
          <w:top w:val="single" w:sz="8" w:space="0" w:color="636466" w:themeColor="accent3"/>
          <w:left w:val="single" w:sz="8" w:space="0" w:color="636466" w:themeColor="accent3"/>
          <w:bottom w:val="single" w:sz="8" w:space="0" w:color="636466" w:themeColor="accent3"/>
          <w:right w:val="single" w:sz="8" w:space="0" w:color="636466" w:themeColor="accent3"/>
        </w:tcBorders>
      </w:tcPr>
    </w:tblStylePr>
  </w:style>
  <w:style w:type="table" w:styleId="-48">
    <w:name w:val="Light List Accent 4"/>
    <w:basedOn w:val="a4"/>
    <w:uiPriority w:val="61"/>
    <w:semiHidden/>
    <w:unhideWhenUsed/>
    <w:rsid w:val="00F527CC"/>
    <w:pPr>
      <w:spacing w:after="0" w:line="240" w:lineRule="auto"/>
    </w:pPr>
    <w:tblPr>
      <w:tblStyleRowBandSize w:val="1"/>
      <w:tblStyleColBandSize w:val="1"/>
      <w:tblBorders>
        <w:top w:val="single" w:sz="8" w:space="0" w:color="CD202C" w:themeColor="accent4"/>
        <w:left w:val="single" w:sz="8" w:space="0" w:color="CD202C" w:themeColor="accent4"/>
        <w:bottom w:val="single" w:sz="8" w:space="0" w:color="CD202C" w:themeColor="accent4"/>
        <w:right w:val="single" w:sz="8" w:space="0" w:color="CD202C" w:themeColor="accent4"/>
      </w:tblBorders>
    </w:tblPr>
    <w:tblStylePr w:type="firstRow">
      <w:pPr>
        <w:spacing w:before="0" w:after="0" w:line="240" w:lineRule="auto"/>
      </w:pPr>
      <w:rPr>
        <w:b/>
        <w:bCs/>
        <w:color w:val="FFFFFF" w:themeColor="background1"/>
      </w:rPr>
      <w:tblPr/>
      <w:tcPr>
        <w:shd w:val="clear" w:color="auto" w:fill="CD202C" w:themeFill="accent4"/>
      </w:tcPr>
    </w:tblStylePr>
    <w:tblStylePr w:type="lastRow">
      <w:pPr>
        <w:spacing w:before="0" w:after="0" w:line="240" w:lineRule="auto"/>
      </w:pPr>
      <w:rPr>
        <w:b/>
        <w:bCs/>
      </w:rPr>
      <w:tblPr/>
      <w:tcPr>
        <w:tcBorders>
          <w:top w:val="double" w:sz="6" w:space="0" w:color="CD202C" w:themeColor="accent4"/>
          <w:left w:val="single" w:sz="8" w:space="0" w:color="CD202C" w:themeColor="accent4"/>
          <w:bottom w:val="single" w:sz="8" w:space="0" w:color="CD202C" w:themeColor="accent4"/>
          <w:right w:val="single" w:sz="8" w:space="0" w:color="CD202C" w:themeColor="accent4"/>
        </w:tcBorders>
      </w:tcPr>
    </w:tblStylePr>
    <w:tblStylePr w:type="firstCol">
      <w:rPr>
        <w:b/>
        <w:bCs/>
      </w:rPr>
    </w:tblStylePr>
    <w:tblStylePr w:type="lastCol">
      <w:rPr>
        <w:b/>
        <w:bCs/>
      </w:rPr>
    </w:tblStylePr>
    <w:tblStylePr w:type="band1Vert">
      <w:tblPr/>
      <w:tcPr>
        <w:tcBorders>
          <w:top w:val="single" w:sz="8" w:space="0" w:color="CD202C" w:themeColor="accent4"/>
          <w:left w:val="single" w:sz="8" w:space="0" w:color="CD202C" w:themeColor="accent4"/>
          <w:bottom w:val="single" w:sz="8" w:space="0" w:color="CD202C" w:themeColor="accent4"/>
          <w:right w:val="single" w:sz="8" w:space="0" w:color="CD202C" w:themeColor="accent4"/>
        </w:tcBorders>
      </w:tcPr>
    </w:tblStylePr>
    <w:tblStylePr w:type="band1Horz">
      <w:tblPr/>
      <w:tcPr>
        <w:tcBorders>
          <w:top w:val="single" w:sz="8" w:space="0" w:color="CD202C" w:themeColor="accent4"/>
          <w:left w:val="single" w:sz="8" w:space="0" w:color="CD202C" w:themeColor="accent4"/>
          <w:bottom w:val="single" w:sz="8" w:space="0" w:color="CD202C" w:themeColor="accent4"/>
          <w:right w:val="single" w:sz="8" w:space="0" w:color="CD202C" w:themeColor="accent4"/>
        </w:tcBorders>
      </w:tcPr>
    </w:tblStylePr>
  </w:style>
  <w:style w:type="table" w:styleId="-58">
    <w:name w:val="Light List Accent 5"/>
    <w:basedOn w:val="a4"/>
    <w:uiPriority w:val="61"/>
    <w:semiHidden/>
    <w:unhideWhenUsed/>
    <w:rsid w:val="00F527CC"/>
    <w:pPr>
      <w:spacing w:after="0" w:line="240" w:lineRule="auto"/>
    </w:pPr>
    <w:tblPr>
      <w:tblStyleRowBandSize w:val="1"/>
      <w:tblStyleColBandSize w:val="1"/>
      <w:tblBorders>
        <w:top w:val="single" w:sz="8" w:space="0" w:color="0055AA" w:themeColor="accent5"/>
        <w:left w:val="single" w:sz="8" w:space="0" w:color="0055AA" w:themeColor="accent5"/>
        <w:bottom w:val="single" w:sz="8" w:space="0" w:color="0055AA" w:themeColor="accent5"/>
        <w:right w:val="single" w:sz="8" w:space="0" w:color="0055AA" w:themeColor="accent5"/>
      </w:tblBorders>
    </w:tblPr>
    <w:tblStylePr w:type="firstRow">
      <w:pPr>
        <w:spacing w:before="0" w:after="0" w:line="240" w:lineRule="auto"/>
      </w:pPr>
      <w:rPr>
        <w:b/>
        <w:bCs/>
        <w:color w:val="FFFFFF" w:themeColor="background1"/>
      </w:rPr>
      <w:tblPr/>
      <w:tcPr>
        <w:shd w:val="clear" w:color="auto" w:fill="0055AA" w:themeFill="accent5"/>
      </w:tcPr>
    </w:tblStylePr>
    <w:tblStylePr w:type="lastRow">
      <w:pPr>
        <w:spacing w:before="0" w:after="0" w:line="240" w:lineRule="auto"/>
      </w:pPr>
      <w:rPr>
        <w:b/>
        <w:bCs/>
      </w:rPr>
      <w:tblPr/>
      <w:tcPr>
        <w:tcBorders>
          <w:top w:val="double" w:sz="6" w:space="0" w:color="0055AA" w:themeColor="accent5"/>
          <w:left w:val="single" w:sz="8" w:space="0" w:color="0055AA" w:themeColor="accent5"/>
          <w:bottom w:val="single" w:sz="8" w:space="0" w:color="0055AA" w:themeColor="accent5"/>
          <w:right w:val="single" w:sz="8" w:space="0" w:color="0055AA" w:themeColor="accent5"/>
        </w:tcBorders>
      </w:tcPr>
    </w:tblStylePr>
    <w:tblStylePr w:type="firstCol">
      <w:rPr>
        <w:b/>
        <w:bCs/>
      </w:rPr>
    </w:tblStylePr>
    <w:tblStylePr w:type="lastCol">
      <w:rPr>
        <w:b/>
        <w:bCs/>
      </w:rPr>
    </w:tblStylePr>
    <w:tblStylePr w:type="band1Vert">
      <w:tblPr/>
      <w:tcPr>
        <w:tcBorders>
          <w:top w:val="single" w:sz="8" w:space="0" w:color="0055AA" w:themeColor="accent5"/>
          <w:left w:val="single" w:sz="8" w:space="0" w:color="0055AA" w:themeColor="accent5"/>
          <w:bottom w:val="single" w:sz="8" w:space="0" w:color="0055AA" w:themeColor="accent5"/>
          <w:right w:val="single" w:sz="8" w:space="0" w:color="0055AA" w:themeColor="accent5"/>
        </w:tcBorders>
      </w:tcPr>
    </w:tblStylePr>
    <w:tblStylePr w:type="band1Horz">
      <w:tblPr/>
      <w:tcPr>
        <w:tcBorders>
          <w:top w:val="single" w:sz="8" w:space="0" w:color="0055AA" w:themeColor="accent5"/>
          <w:left w:val="single" w:sz="8" w:space="0" w:color="0055AA" w:themeColor="accent5"/>
          <w:bottom w:val="single" w:sz="8" w:space="0" w:color="0055AA" w:themeColor="accent5"/>
          <w:right w:val="single" w:sz="8" w:space="0" w:color="0055AA" w:themeColor="accent5"/>
        </w:tcBorders>
      </w:tcPr>
    </w:tblStylePr>
  </w:style>
  <w:style w:type="table" w:styleId="-68">
    <w:name w:val="Light List Accent 6"/>
    <w:basedOn w:val="a4"/>
    <w:uiPriority w:val="61"/>
    <w:semiHidden/>
    <w:unhideWhenUsed/>
    <w:rsid w:val="00F527CC"/>
    <w:pPr>
      <w:spacing w:after="0" w:line="240" w:lineRule="auto"/>
    </w:pPr>
    <w:tblPr>
      <w:tblStyleRowBandSize w:val="1"/>
      <w:tblStyleColBandSize w:val="1"/>
      <w:tblBorders>
        <w:top w:val="single" w:sz="8" w:space="0" w:color="FFAA22" w:themeColor="accent6"/>
        <w:left w:val="single" w:sz="8" w:space="0" w:color="FFAA22" w:themeColor="accent6"/>
        <w:bottom w:val="single" w:sz="8" w:space="0" w:color="FFAA22" w:themeColor="accent6"/>
        <w:right w:val="single" w:sz="8" w:space="0" w:color="FFAA22" w:themeColor="accent6"/>
      </w:tblBorders>
    </w:tblPr>
    <w:tblStylePr w:type="firstRow">
      <w:pPr>
        <w:spacing w:before="0" w:after="0" w:line="240" w:lineRule="auto"/>
      </w:pPr>
      <w:rPr>
        <w:b/>
        <w:bCs/>
        <w:color w:val="FFFFFF" w:themeColor="background1"/>
      </w:rPr>
      <w:tblPr/>
      <w:tcPr>
        <w:shd w:val="clear" w:color="auto" w:fill="FFAA22" w:themeFill="accent6"/>
      </w:tcPr>
    </w:tblStylePr>
    <w:tblStylePr w:type="lastRow">
      <w:pPr>
        <w:spacing w:before="0" w:after="0" w:line="240" w:lineRule="auto"/>
      </w:pPr>
      <w:rPr>
        <w:b/>
        <w:bCs/>
      </w:rPr>
      <w:tblPr/>
      <w:tcPr>
        <w:tcBorders>
          <w:top w:val="double" w:sz="6" w:space="0" w:color="FFAA22" w:themeColor="accent6"/>
          <w:left w:val="single" w:sz="8" w:space="0" w:color="FFAA22" w:themeColor="accent6"/>
          <w:bottom w:val="single" w:sz="8" w:space="0" w:color="FFAA22" w:themeColor="accent6"/>
          <w:right w:val="single" w:sz="8" w:space="0" w:color="FFAA22" w:themeColor="accent6"/>
        </w:tcBorders>
      </w:tcPr>
    </w:tblStylePr>
    <w:tblStylePr w:type="firstCol">
      <w:rPr>
        <w:b/>
        <w:bCs/>
      </w:rPr>
    </w:tblStylePr>
    <w:tblStylePr w:type="lastCol">
      <w:rPr>
        <w:b/>
        <w:bCs/>
      </w:rPr>
    </w:tblStylePr>
    <w:tblStylePr w:type="band1Vert">
      <w:tblPr/>
      <w:tcPr>
        <w:tcBorders>
          <w:top w:val="single" w:sz="8" w:space="0" w:color="FFAA22" w:themeColor="accent6"/>
          <w:left w:val="single" w:sz="8" w:space="0" w:color="FFAA22" w:themeColor="accent6"/>
          <w:bottom w:val="single" w:sz="8" w:space="0" w:color="FFAA22" w:themeColor="accent6"/>
          <w:right w:val="single" w:sz="8" w:space="0" w:color="FFAA22" w:themeColor="accent6"/>
        </w:tcBorders>
      </w:tcPr>
    </w:tblStylePr>
    <w:tblStylePr w:type="band1Horz">
      <w:tblPr/>
      <w:tcPr>
        <w:tcBorders>
          <w:top w:val="single" w:sz="8" w:space="0" w:color="FFAA22" w:themeColor="accent6"/>
          <w:left w:val="single" w:sz="8" w:space="0" w:color="FFAA22" w:themeColor="accent6"/>
          <w:bottom w:val="single" w:sz="8" w:space="0" w:color="FFAA22" w:themeColor="accent6"/>
          <w:right w:val="single" w:sz="8" w:space="0" w:color="FFAA22" w:themeColor="accent6"/>
        </w:tcBorders>
      </w:tcPr>
    </w:tblStylePr>
  </w:style>
  <w:style w:type="table" w:styleId="affff">
    <w:name w:val="Light Shading"/>
    <w:basedOn w:val="a4"/>
    <w:uiPriority w:val="60"/>
    <w:semiHidden/>
    <w:unhideWhenUsed/>
    <w:rsid w:val="00F527CC"/>
    <w:pPr>
      <w:spacing w:after="0" w:line="240" w:lineRule="auto"/>
    </w:pPr>
    <w:rPr>
      <w:color w:val="2F2F2F" w:themeColor="text1" w:themeShade="BF"/>
    </w:rPr>
    <w:tblPr>
      <w:tblStyleRowBandSize w:val="1"/>
      <w:tblStyleColBandSize w:val="1"/>
      <w:tblBorders>
        <w:top w:val="single" w:sz="8" w:space="0" w:color="404040" w:themeColor="text1"/>
        <w:bottom w:val="single" w:sz="8" w:space="0" w:color="404040" w:themeColor="text1"/>
      </w:tblBorders>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19">
    <w:name w:val="Light Shading Accent 1"/>
    <w:basedOn w:val="a4"/>
    <w:uiPriority w:val="60"/>
    <w:semiHidden/>
    <w:unhideWhenUsed/>
    <w:rsid w:val="00F527CC"/>
    <w:pPr>
      <w:spacing w:after="0" w:line="240" w:lineRule="auto"/>
    </w:pPr>
    <w:rPr>
      <w:color w:val="939599" w:themeColor="accent1" w:themeShade="BF"/>
    </w:rPr>
    <w:tblPr>
      <w:tblStyleRowBandSize w:val="1"/>
      <w:tblStyleColBandSize w:val="1"/>
      <w:tblBorders>
        <w:top w:val="single" w:sz="8" w:space="0" w:color="C7C8CA" w:themeColor="accent1"/>
        <w:bottom w:val="single" w:sz="8" w:space="0" w:color="C7C8CA" w:themeColor="accent1"/>
      </w:tblBorders>
    </w:tblPr>
    <w:tblStylePr w:type="firstRow">
      <w:pPr>
        <w:spacing w:before="0" w:after="0" w:line="240" w:lineRule="auto"/>
      </w:pPr>
      <w:rPr>
        <w:b/>
        <w:bCs/>
      </w:rPr>
      <w:tblPr/>
      <w:tcPr>
        <w:tcBorders>
          <w:top w:val="single" w:sz="8" w:space="0" w:color="C7C8CA" w:themeColor="accent1"/>
          <w:left w:val="nil"/>
          <w:bottom w:val="single" w:sz="8" w:space="0" w:color="C7C8CA" w:themeColor="accent1"/>
          <w:right w:val="nil"/>
          <w:insideH w:val="nil"/>
          <w:insideV w:val="nil"/>
        </w:tcBorders>
      </w:tcPr>
    </w:tblStylePr>
    <w:tblStylePr w:type="lastRow">
      <w:pPr>
        <w:spacing w:before="0" w:after="0" w:line="240" w:lineRule="auto"/>
      </w:pPr>
      <w:rPr>
        <w:b/>
        <w:bCs/>
      </w:rPr>
      <w:tblPr/>
      <w:tcPr>
        <w:tcBorders>
          <w:top w:val="single" w:sz="8" w:space="0" w:color="C7C8CA" w:themeColor="accent1"/>
          <w:left w:val="nil"/>
          <w:bottom w:val="single" w:sz="8" w:space="0" w:color="C7C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2" w:themeFill="accent1" w:themeFillTint="3F"/>
      </w:tcPr>
    </w:tblStylePr>
    <w:tblStylePr w:type="band1Horz">
      <w:tblPr/>
      <w:tcPr>
        <w:tcBorders>
          <w:left w:val="nil"/>
          <w:right w:val="nil"/>
          <w:insideH w:val="nil"/>
          <w:insideV w:val="nil"/>
        </w:tcBorders>
        <w:shd w:val="clear" w:color="auto" w:fill="F1F1F2" w:themeFill="accent1" w:themeFillTint="3F"/>
      </w:tcPr>
    </w:tblStylePr>
  </w:style>
  <w:style w:type="table" w:styleId="-29">
    <w:name w:val="Light Shading Accent 2"/>
    <w:basedOn w:val="a4"/>
    <w:uiPriority w:val="60"/>
    <w:semiHidden/>
    <w:unhideWhenUsed/>
    <w:rsid w:val="00F527CC"/>
    <w:pPr>
      <w:spacing w:after="0" w:line="240" w:lineRule="auto"/>
    </w:pPr>
    <w:rPr>
      <w:color w:val="6D6F72" w:themeColor="accent2" w:themeShade="BF"/>
    </w:rPr>
    <w:tblPr>
      <w:tblStyleRowBandSize w:val="1"/>
      <w:tblStyleColBandSize w:val="1"/>
      <w:tblBorders>
        <w:top w:val="single" w:sz="8" w:space="0" w:color="939598" w:themeColor="accent2"/>
        <w:bottom w:val="single" w:sz="8" w:space="0" w:color="939598" w:themeColor="accent2"/>
      </w:tblBorders>
    </w:tblPr>
    <w:tblStylePr w:type="firstRow">
      <w:pPr>
        <w:spacing w:before="0" w:after="0" w:line="240" w:lineRule="auto"/>
      </w:pPr>
      <w:rPr>
        <w:b/>
        <w:bCs/>
      </w:rPr>
      <w:tblPr/>
      <w:tcPr>
        <w:tcBorders>
          <w:top w:val="single" w:sz="8" w:space="0" w:color="939598" w:themeColor="accent2"/>
          <w:left w:val="nil"/>
          <w:bottom w:val="single" w:sz="8" w:space="0" w:color="939598" w:themeColor="accent2"/>
          <w:right w:val="nil"/>
          <w:insideH w:val="nil"/>
          <w:insideV w:val="nil"/>
        </w:tcBorders>
      </w:tcPr>
    </w:tblStylePr>
    <w:tblStylePr w:type="lastRow">
      <w:pPr>
        <w:spacing w:before="0" w:after="0" w:line="240" w:lineRule="auto"/>
      </w:pPr>
      <w:rPr>
        <w:b/>
        <w:bCs/>
      </w:rPr>
      <w:tblPr/>
      <w:tcPr>
        <w:tcBorders>
          <w:top w:val="single" w:sz="8" w:space="0" w:color="939598" w:themeColor="accent2"/>
          <w:left w:val="nil"/>
          <w:bottom w:val="single" w:sz="8" w:space="0" w:color="93959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4E5" w:themeFill="accent2" w:themeFillTint="3F"/>
      </w:tcPr>
    </w:tblStylePr>
    <w:tblStylePr w:type="band1Horz">
      <w:tblPr/>
      <w:tcPr>
        <w:tcBorders>
          <w:left w:val="nil"/>
          <w:right w:val="nil"/>
          <w:insideH w:val="nil"/>
          <w:insideV w:val="nil"/>
        </w:tcBorders>
        <w:shd w:val="clear" w:color="auto" w:fill="E4E4E5" w:themeFill="accent2" w:themeFillTint="3F"/>
      </w:tcPr>
    </w:tblStylePr>
  </w:style>
  <w:style w:type="table" w:styleId="-39">
    <w:name w:val="Light Shading Accent 3"/>
    <w:basedOn w:val="a4"/>
    <w:uiPriority w:val="60"/>
    <w:semiHidden/>
    <w:unhideWhenUsed/>
    <w:rsid w:val="00F527CC"/>
    <w:pPr>
      <w:spacing w:after="0" w:line="240" w:lineRule="auto"/>
    </w:pPr>
    <w:rPr>
      <w:color w:val="4A4A4C" w:themeColor="accent3" w:themeShade="BF"/>
    </w:rPr>
    <w:tblPr>
      <w:tblStyleRowBandSize w:val="1"/>
      <w:tblStyleColBandSize w:val="1"/>
      <w:tblBorders>
        <w:top w:val="single" w:sz="8" w:space="0" w:color="636466" w:themeColor="accent3"/>
        <w:bottom w:val="single" w:sz="8" w:space="0" w:color="636466" w:themeColor="accent3"/>
      </w:tblBorders>
    </w:tblPr>
    <w:tblStylePr w:type="firstRow">
      <w:pPr>
        <w:spacing w:before="0" w:after="0" w:line="240" w:lineRule="auto"/>
      </w:pPr>
      <w:rPr>
        <w:b/>
        <w:bCs/>
      </w:rPr>
      <w:tblPr/>
      <w:tcPr>
        <w:tcBorders>
          <w:top w:val="single" w:sz="8" w:space="0" w:color="636466" w:themeColor="accent3"/>
          <w:left w:val="nil"/>
          <w:bottom w:val="single" w:sz="8" w:space="0" w:color="636466" w:themeColor="accent3"/>
          <w:right w:val="nil"/>
          <w:insideH w:val="nil"/>
          <w:insideV w:val="nil"/>
        </w:tcBorders>
      </w:tcPr>
    </w:tblStylePr>
    <w:tblStylePr w:type="lastRow">
      <w:pPr>
        <w:spacing w:before="0" w:after="0" w:line="240" w:lineRule="auto"/>
      </w:pPr>
      <w:rPr>
        <w:b/>
        <w:bCs/>
      </w:rPr>
      <w:tblPr/>
      <w:tcPr>
        <w:tcBorders>
          <w:top w:val="single" w:sz="8" w:space="0" w:color="636466" w:themeColor="accent3"/>
          <w:left w:val="nil"/>
          <w:bottom w:val="single" w:sz="8" w:space="0" w:color="63646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8D9" w:themeFill="accent3" w:themeFillTint="3F"/>
      </w:tcPr>
    </w:tblStylePr>
    <w:tblStylePr w:type="band1Horz">
      <w:tblPr/>
      <w:tcPr>
        <w:tcBorders>
          <w:left w:val="nil"/>
          <w:right w:val="nil"/>
          <w:insideH w:val="nil"/>
          <w:insideV w:val="nil"/>
        </w:tcBorders>
        <w:shd w:val="clear" w:color="auto" w:fill="D8D8D9" w:themeFill="accent3" w:themeFillTint="3F"/>
      </w:tcPr>
    </w:tblStylePr>
  </w:style>
  <w:style w:type="table" w:styleId="-49">
    <w:name w:val="Light Shading Accent 4"/>
    <w:basedOn w:val="a4"/>
    <w:uiPriority w:val="60"/>
    <w:semiHidden/>
    <w:unhideWhenUsed/>
    <w:rsid w:val="00F527CC"/>
    <w:pPr>
      <w:spacing w:after="0" w:line="240" w:lineRule="auto"/>
    </w:pPr>
    <w:rPr>
      <w:color w:val="991820" w:themeColor="accent4" w:themeShade="BF"/>
    </w:rPr>
    <w:tblPr>
      <w:tblStyleRowBandSize w:val="1"/>
      <w:tblStyleColBandSize w:val="1"/>
      <w:tblBorders>
        <w:top w:val="single" w:sz="8" w:space="0" w:color="CD202C" w:themeColor="accent4"/>
        <w:bottom w:val="single" w:sz="8" w:space="0" w:color="CD202C" w:themeColor="accent4"/>
      </w:tblBorders>
    </w:tblPr>
    <w:tblStylePr w:type="firstRow">
      <w:pPr>
        <w:spacing w:before="0" w:after="0" w:line="240" w:lineRule="auto"/>
      </w:pPr>
      <w:rPr>
        <w:b/>
        <w:bCs/>
      </w:rPr>
      <w:tblPr/>
      <w:tcPr>
        <w:tcBorders>
          <w:top w:val="single" w:sz="8" w:space="0" w:color="CD202C" w:themeColor="accent4"/>
          <w:left w:val="nil"/>
          <w:bottom w:val="single" w:sz="8" w:space="0" w:color="CD202C" w:themeColor="accent4"/>
          <w:right w:val="nil"/>
          <w:insideH w:val="nil"/>
          <w:insideV w:val="nil"/>
        </w:tcBorders>
      </w:tcPr>
    </w:tblStylePr>
    <w:tblStylePr w:type="lastRow">
      <w:pPr>
        <w:spacing w:before="0" w:after="0" w:line="240" w:lineRule="auto"/>
      </w:pPr>
      <w:rPr>
        <w:b/>
        <w:bCs/>
      </w:rPr>
      <w:tblPr/>
      <w:tcPr>
        <w:tcBorders>
          <w:top w:val="single" w:sz="8" w:space="0" w:color="CD202C" w:themeColor="accent4"/>
          <w:left w:val="nil"/>
          <w:bottom w:val="single" w:sz="8" w:space="0" w:color="CD20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C4C7" w:themeFill="accent4" w:themeFillTint="3F"/>
      </w:tcPr>
    </w:tblStylePr>
    <w:tblStylePr w:type="band1Horz">
      <w:tblPr/>
      <w:tcPr>
        <w:tcBorders>
          <w:left w:val="nil"/>
          <w:right w:val="nil"/>
          <w:insideH w:val="nil"/>
          <w:insideV w:val="nil"/>
        </w:tcBorders>
        <w:shd w:val="clear" w:color="auto" w:fill="F6C4C7" w:themeFill="accent4" w:themeFillTint="3F"/>
      </w:tcPr>
    </w:tblStylePr>
  </w:style>
  <w:style w:type="table" w:styleId="-59">
    <w:name w:val="Light Shading Accent 5"/>
    <w:basedOn w:val="a4"/>
    <w:uiPriority w:val="60"/>
    <w:semiHidden/>
    <w:unhideWhenUsed/>
    <w:rsid w:val="00F527CC"/>
    <w:pPr>
      <w:spacing w:after="0" w:line="240" w:lineRule="auto"/>
    </w:pPr>
    <w:rPr>
      <w:color w:val="003F7F" w:themeColor="accent5" w:themeShade="BF"/>
    </w:rPr>
    <w:tblPr>
      <w:tblStyleRowBandSize w:val="1"/>
      <w:tblStyleColBandSize w:val="1"/>
      <w:tblBorders>
        <w:top w:val="single" w:sz="8" w:space="0" w:color="0055AA" w:themeColor="accent5"/>
        <w:bottom w:val="single" w:sz="8" w:space="0" w:color="0055AA" w:themeColor="accent5"/>
      </w:tblBorders>
    </w:tblPr>
    <w:tblStylePr w:type="firstRow">
      <w:pPr>
        <w:spacing w:before="0" w:after="0" w:line="240" w:lineRule="auto"/>
      </w:pPr>
      <w:rPr>
        <w:b/>
        <w:bCs/>
      </w:rPr>
      <w:tblPr/>
      <w:tcPr>
        <w:tcBorders>
          <w:top w:val="single" w:sz="8" w:space="0" w:color="0055AA" w:themeColor="accent5"/>
          <w:left w:val="nil"/>
          <w:bottom w:val="single" w:sz="8" w:space="0" w:color="0055AA" w:themeColor="accent5"/>
          <w:right w:val="nil"/>
          <w:insideH w:val="nil"/>
          <w:insideV w:val="nil"/>
        </w:tcBorders>
      </w:tcPr>
    </w:tblStylePr>
    <w:tblStylePr w:type="lastRow">
      <w:pPr>
        <w:spacing w:before="0" w:after="0" w:line="240" w:lineRule="auto"/>
      </w:pPr>
      <w:rPr>
        <w:b/>
        <w:bCs/>
      </w:rPr>
      <w:tblPr/>
      <w:tcPr>
        <w:tcBorders>
          <w:top w:val="single" w:sz="8" w:space="0" w:color="0055AA" w:themeColor="accent5"/>
          <w:left w:val="nil"/>
          <w:bottom w:val="single" w:sz="8" w:space="0" w:color="0055A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D4FF" w:themeFill="accent5" w:themeFillTint="3F"/>
      </w:tcPr>
    </w:tblStylePr>
    <w:tblStylePr w:type="band1Horz">
      <w:tblPr/>
      <w:tcPr>
        <w:tcBorders>
          <w:left w:val="nil"/>
          <w:right w:val="nil"/>
          <w:insideH w:val="nil"/>
          <w:insideV w:val="nil"/>
        </w:tcBorders>
        <w:shd w:val="clear" w:color="auto" w:fill="ABD4FF" w:themeFill="accent5" w:themeFillTint="3F"/>
      </w:tcPr>
    </w:tblStylePr>
  </w:style>
  <w:style w:type="table" w:styleId="-69">
    <w:name w:val="Light Shading Accent 6"/>
    <w:basedOn w:val="a4"/>
    <w:uiPriority w:val="60"/>
    <w:semiHidden/>
    <w:unhideWhenUsed/>
    <w:rsid w:val="00F527CC"/>
    <w:pPr>
      <w:spacing w:after="0" w:line="240" w:lineRule="auto"/>
    </w:pPr>
    <w:rPr>
      <w:color w:val="D88400" w:themeColor="accent6" w:themeShade="BF"/>
    </w:rPr>
    <w:tblPr>
      <w:tblStyleRowBandSize w:val="1"/>
      <w:tblStyleColBandSize w:val="1"/>
      <w:tblBorders>
        <w:top w:val="single" w:sz="8" w:space="0" w:color="FFAA22" w:themeColor="accent6"/>
        <w:bottom w:val="single" w:sz="8" w:space="0" w:color="FFAA22" w:themeColor="accent6"/>
      </w:tblBorders>
    </w:tblPr>
    <w:tblStylePr w:type="firstRow">
      <w:pPr>
        <w:spacing w:before="0" w:after="0" w:line="240" w:lineRule="auto"/>
      </w:pPr>
      <w:rPr>
        <w:b/>
        <w:bCs/>
      </w:rPr>
      <w:tblPr/>
      <w:tcPr>
        <w:tcBorders>
          <w:top w:val="single" w:sz="8" w:space="0" w:color="FFAA22" w:themeColor="accent6"/>
          <w:left w:val="nil"/>
          <w:bottom w:val="single" w:sz="8" w:space="0" w:color="FFAA22" w:themeColor="accent6"/>
          <w:right w:val="nil"/>
          <w:insideH w:val="nil"/>
          <w:insideV w:val="nil"/>
        </w:tcBorders>
      </w:tcPr>
    </w:tblStylePr>
    <w:tblStylePr w:type="lastRow">
      <w:pPr>
        <w:spacing w:before="0" w:after="0" w:line="240" w:lineRule="auto"/>
      </w:pPr>
      <w:rPr>
        <w:b/>
        <w:bCs/>
      </w:rPr>
      <w:tblPr/>
      <w:tcPr>
        <w:tcBorders>
          <w:top w:val="single" w:sz="8" w:space="0" w:color="FFAA22" w:themeColor="accent6"/>
          <w:left w:val="nil"/>
          <w:bottom w:val="single" w:sz="8" w:space="0" w:color="FFAA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C8" w:themeFill="accent6" w:themeFillTint="3F"/>
      </w:tcPr>
    </w:tblStylePr>
    <w:tblStylePr w:type="band1Horz">
      <w:tblPr/>
      <w:tcPr>
        <w:tcBorders>
          <w:left w:val="nil"/>
          <w:right w:val="nil"/>
          <w:insideH w:val="nil"/>
          <w:insideV w:val="nil"/>
        </w:tcBorders>
        <w:shd w:val="clear" w:color="auto" w:fill="FFE9C8" w:themeFill="accent6" w:themeFillTint="3F"/>
      </w:tcPr>
    </w:tblStylePr>
  </w:style>
  <w:style w:type="character" w:styleId="affff0">
    <w:name w:val="line number"/>
    <w:basedOn w:val="a3"/>
    <w:uiPriority w:val="99"/>
    <w:semiHidden/>
    <w:unhideWhenUsed/>
    <w:rsid w:val="00F527CC"/>
    <w:rPr>
      <w:lang w:val="en-US"/>
    </w:rPr>
  </w:style>
  <w:style w:type="paragraph" w:styleId="affff1">
    <w:name w:val="List"/>
    <w:basedOn w:val="a2"/>
    <w:uiPriority w:val="99"/>
    <w:semiHidden/>
    <w:unhideWhenUsed/>
    <w:rsid w:val="00F527CC"/>
    <w:pPr>
      <w:ind w:left="283" w:hanging="283"/>
      <w:contextualSpacing/>
    </w:pPr>
  </w:style>
  <w:style w:type="paragraph" w:styleId="2e">
    <w:name w:val="List 2"/>
    <w:basedOn w:val="a2"/>
    <w:uiPriority w:val="99"/>
    <w:semiHidden/>
    <w:unhideWhenUsed/>
    <w:rsid w:val="00F527CC"/>
    <w:pPr>
      <w:ind w:left="566" w:hanging="283"/>
      <w:contextualSpacing/>
    </w:pPr>
  </w:style>
  <w:style w:type="paragraph" w:styleId="39">
    <w:name w:val="List 3"/>
    <w:basedOn w:val="a2"/>
    <w:uiPriority w:val="99"/>
    <w:semiHidden/>
    <w:unhideWhenUsed/>
    <w:rsid w:val="00F527CC"/>
    <w:pPr>
      <w:ind w:left="849" w:hanging="283"/>
      <w:contextualSpacing/>
    </w:pPr>
  </w:style>
  <w:style w:type="paragraph" w:styleId="45">
    <w:name w:val="List 4"/>
    <w:basedOn w:val="a2"/>
    <w:uiPriority w:val="99"/>
    <w:semiHidden/>
    <w:unhideWhenUsed/>
    <w:rsid w:val="00F527CC"/>
    <w:pPr>
      <w:ind w:left="1132" w:hanging="283"/>
      <w:contextualSpacing/>
    </w:pPr>
  </w:style>
  <w:style w:type="paragraph" w:styleId="54">
    <w:name w:val="List 5"/>
    <w:basedOn w:val="a2"/>
    <w:uiPriority w:val="99"/>
    <w:semiHidden/>
    <w:unhideWhenUsed/>
    <w:rsid w:val="00F527CC"/>
    <w:pPr>
      <w:ind w:left="1415" w:hanging="283"/>
      <w:contextualSpacing/>
    </w:pPr>
  </w:style>
  <w:style w:type="paragraph" w:styleId="a0">
    <w:name w:val="List Bullet"/>
    <w:basedOn w:val="a2"/>
    <w:uiPriority w:val="99"/>
    <w:semiHidden/>
    <w:unhideWhenUsed/>
    <w:rsid w:val="00F527CC"/>
    <w:pPr>
      <w:numPr>
        <w:numId w:val="1"/>
      </w:numPr>
      <w:contextualSpacing/>
    </w:pPr>
  </w:style>
  <w:style w:type="paragraph" w:styleId="20">
    <w:name w:val="List Bullet 2"/>
    <w:basedOn w:val="a2"/>
    <w:uiPriority w:val="99"/>
    <w:semiHidden/>
    <w:unhideWhenUsed/>
    <w:rsid w:val="00F527CC"/>
    <w:pPr>
      <w:numPr>
        <w:numId w:val="2"/>
      </w:numPr>
      <w:contextualSpacing/>
    </w:pPr>
  </w:style>
  <w:style w:type="paragraph" w:styleId="30">
    <w:name w:val="List Bullet 3"/>
    <w:basedOn w:val="a2"/>
    <w:uiPriority w:val="99"/>
    <w:semiHidden/>
    <w:unhideWhenUsed/>
    <w:rsid w:val="00F527CC"/>
    <w:pPr>
      <w:numPr>
        <w:numId w:val="3"/>
      </w:numPr>
      <w:contextualSpacing/>
    </w:pPr>
  </w:style>
  <w:style w:type="paragraph" w:styleId="40">
    <w:name w:val="List Bullet 4"/>
    <w:basedOn w:val="a2"/>
    <w:uiPriority w:val="99"/>
    <w:semiHidden/>
    <w:unhideWhenUsed/>
    <w:rsid w:val="00F527CC"/>
    <w:pPr>
      <w:numPr>
        <w:numId w:val="4"/>
      </w:numPr>
      <w:contextualSpacing/>
    </w:pPr>
  </w:style>
  <w:style w:type="paragraph" w:styleId="50">
    <w:name w:val="List Bullet 5"/>
    <w:basedOn w:val="a2"/>
    <w:uiPriority w:val="99"/>
    <w:semiHidden/>
    <w:unhideWhenUsed/>
    <w:rsid w:val="00F527CC"/>
    <w:pPr>
      <w:numPr>
        <w:numId w:val="5"/>
      </w:numPr>
      <w:contextualSpacing/>
    </w:pPr>
  </w:style>
  <w:style w:type="paragraph" w:styleId="affff2">
    <w:name w:val="List Continue"/>
    <w:basedOn w:val="a2"/>
    <w:uiPriority w:val="99"/>
    <w:semiHidden/>
    <w:unhideWhenUsed/>
    <w:rsid w:val="00F527CC"/>
    <w:pPr>
      <w:ind w:left="283"/>
      <w:contextualSpacing/>
    </w:pPr>
  </w:style>
  <w:style w:type="paragraph" w:styleId="2f">
    <w:name w:val="List Continue 2"/>
    <w:basedOn w:val="a2"/>
    <w:uiPriority w:val="99"/>
    <w:semiHidden/>
    <w:unhideWhenUsed/>
    <w:rsid w:val="00F527CC"/>
    <w:pPr>
      <w:ind w:left="566"/>
      <w:contextualSpacing/>
    </w:pPr>
  </w:style>
  <w:style w:type="paragraph" w:styleId="3a">
    <w:name w:val="List Continue 3"/>
    <w:basedOn w:val="a2"/>
    <w:uiPriority w:val="99"/>
    <w:semiHidden/>
    <w:unhideWhenUsed/>
    <w:rsid w:val="00F527CC"/>
    <w:pPr>
      <w:ind w:left="849"/>
      <w:contextualSpacing/>
    </w:pPr>
  </w:style>
  <w:style w:type="paragraph" w:styleId="46">
    <w:name w:val="List Continue 4"/>
    <w:basedOn w:val="a2"/>
    <w:uiPriority w:val="99"/>
    <w:semiHidden/>
    <w:unhideWhenUsed/>
    <w:rsid w:val="00F527CC"/>
    <w:pPr>
      <w:ind w:left="1132"/>
      <w:contextualSpacing/>
    </w:pPr>
  </w:style>
  <w:style w:type="paragraph" w:styleId="55">
    <w:name w:val="List Continue 5"/>
    <w:basedOn w:val="a2"/>
    <w:uiPriority w:val="99"/>
    <w:semiHidden/>
    <w:unhideWhenUsed/>
    <w:rsid w:val="00F527CC"/>
    <w:pPr>
      <w:ind w:left="1415"/>
      <w:contextualSpacing/>
    </w:pPr>
  </w:style>
  <w:style w:type="paragraph" w:styleId="a">
    <w:name w:val="List Number"/>
    <w:basedOn w:val="a2"/>
    <w:uiPriority w:val="99"/>
    <w:semiHidden/>
    <w:unhideWhenUsed/>
    <w:rsid w:val="00F527CC"/>
    <w:pPr>
      <w:numPr>
        <w:numId w:val="6"/>
      </w:numPr>
      <w:contextualSpacing/>
    </w:pPr>
  </w:style>
  <w:style w:type="paragraph" w:styleId="2">
    <w:name w:val="List Number 2"/>
    <w:basedOn w:val="a2"/>
    <w:uiPriority w:val="99"/>
    <w:semiHidden/>
    <w:unhideWhenUsed/>
    <w:rsid w:val="00F527CC"/>
    <w:pPr>
      <w:numPr>
        <w:numId w:val="7"/>
      </w:numPr>
      <w:contextualSpacing/>
    </w:pPr>
  </w:style>
  <w:style w:type="paragraph" w:styleId="3">
    <w:name w:val="List Number 3"/>
    <w:basedOn w:val="a2"/>
    <w:uiPriority w:val="99"/>
    <w:semiHidden/>
    <w:unhideWhenUsed/>
    <w:rsid w:val="00F527CC"/>
    <w:pPr>
      <w:numPr>
        <w:numId w:val="8"/>
      </w:numPr>
      <w:contextualSpacing/>
    </w:pPr>
  </w:style>
  <w:style w:type="paragraph" w:styleId="4">
    <w:name w:val="List Number 4"/>
    <w:basedOn w:val="a2"/>
    <w:uiPriority w:val="99"/>
    <w:semiHidden/>
    <w:unhideWhenUsed/>
    <w:rsid w:val="00F527CC"/>
    <w:pPr>
      <w:numPr>
        <w:numId w:val="9"/>
      </w:numPr>
      <w:contextualSpacing/>
    </w:pPr>
  </w:style>
  <w:style w:type="paragraph" w:styleId="5">
    <w:name w:val="List Number 5"/>
    <w:basedOn w:val="a2"/>
    <w:uiPriority w:val="99"/>
    <w:semiHidden/>
    <w:unhideWhenUsed/>
    <w:rsid w:val="00F527CC"/>
    <w:pPr>
      <w:numPr>
        <w:numId w:val="10"/>
      </w:numPr>
      <w:contextualSpacing/>
    </w:pPr>
  </w:style>
  <w:style w:type="paragraph" w:styleId="affff3">
    <w:name w:val="List Paragraph"/>
    <w:aliases w:val="Paragraph,Header 2,Head1.1,References,Paragraphe de liste1,List Paragraph1,Liste couleur - Accent 11,Liste couleur - Accent 111,Paragraphe de liste3,List Paragraph2,Bullets,List Paragraph nowy,Numbered List Paragraph,titre_kely,Liste 1"/>
    <w:basedOn w:val="a2"/>
    <w:link w:val="affff4"/>
    <w:uiPriority w:val="34"/>
    <w:qFormat/>
    <w:rsid w:val="00F527CC"/>
    <w:pPr>
      <w:ind w:left="720"/>
      <w:contextualSpacing/>
    </w:pPr>
  </w:style>
  <w:style w:type="table" w:styleId="-1a">
    <w:name w:val="List Table 1 Light"/>
    <w:basedOn w:val="a4"/>
    <w:uiPriority w:val="46"/>
    <w:rsid w:val="00F527CC"/>
    <w:pPr>
      <w:spacing w:after="0" w:line="240" w:lineRule="auto"/>
    </w:pPr>
    <w:tblPr>
      <w:tblStyleRowBandSize w:val="1"/>
      <w:tblStyleColBandSize w:val="1"/>
    </w:tblPr>
    <w:tblStylePr w:type="firstRow">
      <w:rPr>
        <w:b/>
        <w:bCs/>
      </w:rPr>
      <w:tblPr/>
      <w:tcPr>
        <w:tcBorders>
          <w:bottom w:val="single" w:sz="4" w:space="0" w:color="8C8C8C" w:themeColor="text1" w:themeTint="99"/>
        </w:tcBorders>
      </w:tcPr>
    </w:tblStylePr>
    <w:tblStylePr w:type="lastRow">
      <w:rPr>
        <w:b/>
        <w:bCs/>
      </w:rPr>
      <w:tblPr/>
      <w:tcPr>
        <w:tcBorders>
          <w:top w:val="sing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111">
    <w:name w:val="List Table 1 Light Accent 1"/>
    <w:basedOn w:val="a4"/>
    <w:uiPriority w:val="46"/>
    <w:rsid w:val="00F527CC"/>
    <w:pPr>
      <w:spacing w:after="0" w:line="240" w:lineRule="auto"/>
    </w:pPr>
    <w:tblPr>
      <w:tblStyleRowBandSize w:val="1"/>
      <w:tblStyleColBandSize w:val="1"/>
    </w:tblPr>
    <w:tblStylePr w:type="firstRow">
      <w:rPr>
        <w:b/>
        <w:bCs/>
      </w:rPr>
      <w:tblPr/>
      <w:tcPr>
        <w:tcBorders>
          <w:bottom w:val="single" w:sz="4" w:space="0" w:color="DDDDDF" w:themeColor="accent1" w:themeTint="99"/>
        </w:tcBorders>
      </w:tcPr>
    </w:tblStylePr>
    <w:tblStylePr w:type="lastRow">
      <w:rPr>
        <w:b/>
        <w:bCs/>
      </w:rPr>
      <w:tblPr/>
      <w:tcPr>
        <w:tcBorders>
          <w:top w:val="single" w:sz="4" w:space="0" w:color="DDDDDF" w:themeColor="accent1" w:themeTint="99"/>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121">
    <w:name w:val="List Table 1 Light Accent 2"/>
    <w:basedOn w:val="a4"/>
    <w:uiPriority w:val="46"/>
    <w:rsid w:val="00F527CC"/>
    <w:pPr>
      <w:spacing w:after="0" w:line="240" w:lineRule="auto"/>
    </w:pPr>
    <w:tblPr>
      <w:tblStyleRowBandSize w:val="1"/>
      <w:tblStyleColBandSize w:val="1"/>
    </w:tblPr>
    <w:tblStylePr w:type="firstRow">
      <w:rPr>
        <w:b/>
        <w:bCs/>
      </w:rPr>
      <w:tblPr/>
      <w:tcPr>
        <w:tcBorders>
          <w:bottom w:val="single" w:sz="4" w:space="0" w:color="BEBFC1" w:themeColor="accent2" w:themeTint="99"/>
        </w:tcBorders>
      </w:tcPr>
    </w:tblStylePr>
    <w:tblStylePr w:type="lastRow">
      <w:rPr>
        <w:b/>
        <w:bCs/>
      </w:rPr>
      <w:tblPr/>
      <w:tcPr>
        <w:tcBorders>
          <w:top w:val="single" w:sz="4" w:space="0" w:color="BEBFC1" w:themeColor="accent2" w:themeTint="99"/>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131">
    <w:name w:val="List Table 1 Light Accent 3"/>
    <w:basedOn w:val="a4"/>
    <w:uiPriority w:val="46"/>
    <w:rsid w:val="00F527CC"/>
    <w:pPr>
      <w:spacing w:after="0" w:line="240" w:lineRule="auto"/>
    </w:pPr>
    <w:tblPr>
      <w:tblStyleRowBandSize w:val="1"/>
      <w:tblStyleColBandSize w:val="1"/>
    </w:tblPr>
    <w:tblStylePr w:type="firstRow">
      <w:rPr>
        <w:b/>
        <w:bCs/>
      </w:rPr>
      <w:tblPr/>
      <w:tcPr>
        <w:tcBorders>
          <w:bottom w:val="single" w:sz="4" w:space="0" w:color="A0A1A3" w:themeColor="accent3" w:themeTint="99"/>
        </w:tcBorders>
      </w:tcPr>
    </w:tblStylePr>
    <w:tblStylePr w:type="lastRow">
      <w:rPr>
        <w:b/>
        <w:bCs/>
      </w:rPr>
      <w:tblPr/>
      <w:tcPr>
        <w:tcBorders>
          <w:top w:val="single" w:sz="4" w:space="0" w:color="A0A1A3" w:themeColor="accent3" w:themeTint="99"/>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140">
    <w:name w:val="List Table 1 Light Accent 4"/>
    <w:basedOn w:val="a4"/>
    <w:uiPriority w:val="46"/>
    <w:rsid w:val="00F527CC"/>
    <w:pPr>
      <w:spacing w:after="0" w:line="240" w:lineRule="auto"/>
    </w:pPr>
    <w:tblPr>
      <w:tblStyleRowBandSize w:val="1"/>
      <w:tblStyleColBandSize w:val="1"/>
    </w:tblPr>
    <w:tblStylePr w:type="firstRow">
      <w:rPr>
        <w:b/>
        <w:bCs/>
      </w:rPr>
      <w:tblPr/>
      <w:tcPr>
        <w:tcBorders>
          <w:bottom w:val="single" w:sz="4" w:space="0" w:color="E87179" w:themeColor="accent4" w:themeTint="99"/>
        </w:tcBorders>
      </w:tcPr>
    </w:tblStylePr>
    <w:tblStylePr w:type="lastRow">
      <w:rPr>
        <w:b/>
        <w:bCs/>
      </w:rPr>
      <w:tblPr/>
      <w:tcPr>
        <w:tcBorders>
          <w:top w:val="single" w:sz="4" w:space="0" w:color="E87179" w:themeColor="accent4" w:themeTint="99"/>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150">
    <w:name w:val="List Table 1 Light Accent 5"/>
    <w:basedOn w:val="a4"/>
    <w:uiPriority w:val="46"/>
    <w:rsid w:val="00F527CC"/>
    <w:pPr>
      <w:spacing w:after="0" w:line="240" w:lineRule="auto"/>
    </w:pPr>
    <w:tblPr>
      <w:tblStyleRowBandSize w:val="1"/>
      <w:tblStyleColBandSize w:val="1"/>
    </w:tblPr>
    <w:tblStylePr w:type="firstRow">
      <w:rPr>
        <w:b/>
        <w:bCs/>
      </w:rPr>
      <w:tblPr/>
      <w:tcPr>
        <w:tcBorders>
          <w:bottom w:val="single" w:sz="4" w:space="0" w:color="3398FF" w:themeColor="accent5" w:themeTint="99"/>
        </w:tcBorders>
      </w:tcPr>
    </w:tblStylePr>
    <w:tblStylePr w:type="lastRow">
      <w:rPr>
        <w:b/>
        <w:bCs/>
      </w:rPr>
      <w:tblPr/>
      <w:tcPr>
        <w:tcBorders>
          <w:top w:val="single" w:sz="4" w:space="0" w:color="3398FF" w:themeColor="accent5" w:themeTint="99"/>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160">
    <w:name w:val="List Table 1 Light Accent 6"/>
    <w:basedOn w:val="a4"/>
    <w:uiPriority w:val="46"/>
    <w:rsid w:val="00F527CC"/>
    <w:pPr>
      <w:spacing w:after="0" w:line="240" w:lineRule="auto"/>
    </w:pPr>
    <w:tblPr>
      <w:tblStyleRowBandSize w:val="1"/>
      <w:tblStyleColBandSize w:val="1"/>
    </w:tblPr>
    <w:tblStylePr w:type="firstRow">
      <w:rPr>
        <w:b/>
        <w:bCs/>
      </w:rPr>
      <w:tblPr/>
      <w:tcPr>
        <w:tcBorders>
          <w:bottom w:val="single" w:sz="4" w:space="0" w:color="FFCB7A" w:themeColor="accent6" w:themeTint="99"/>
        </w:tcBorders>
      </w:tcPr>
    </w:tblStylePr>
    <w:tblStylePr w:type="lastRow">
      <w:rPr>
        <w:b/>
        <w:bCs/>
      </w:rPr>
      <w:tblPr/>
      <w:tcPr>
        <w:tcBorders>
          <w:top w:val="single" w:sz="4" w:space="0" w:color="FFCB7A" w:themeColor="accent6" w:themeTint="99"/>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2a">
    <w:name w:val="List Table 2"/>
    <w:basedOn w:val="a4"/>
    <w:uiPriority w:val="47"/>
    <w:rsid w:val="00F527CC"/>
    <w:pPr>
      <w:spacing w:after="0" w:line="240" w:lineRule="auto"/>
    </w:pPr>
    <w:tblPr>
      <w:tblStyleRowBandSize w:val="1"/>
      <w:tblStyleColBandSize w:val="1"/>
      <w:tblBorders>
        <w:top w:val="single" w:sz="4" w:space="0" w:color="8C8C8C" w:themeColor="text1" w:themeTint="99"/>
        <w:bottom w:val="single" w:sz="4" w:space="0" w:color="8C8C8C" w:themeColor="text1" w:themeTint="99"/>
        <w:insideH w:val="single" w:sz="4" w:space="0" w:color="8C8C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211">
    <w:name w:val="List Table 2 Accent 1"/>
    <w:basedOn w:val="a4"/>
    <w:uiPriority w:val="47"/>
    <w:rsid w:val="00F527CC"/>
    <w:pPr>
      <w:spacing w:after="0" w:line="240" w:lineRule="auto"/>
    </w:pPr>
    <w:tblPr>
      <w:tblStyleRowBandSize w:val="1"/>
      <w:tblStyleColBandSize w:val="1"/>
      <w:tblBorders>
        <w:top w:val="single" w:sz="4" w:space="0" w:color="DDDDDF" w:themeColor="accent1" w:themeTint="99"/>
        <w:bottom w:val="single" w:sz="4" w:space="0" w:color="DDDDDF" w:themeColor="accent1" w:themeTint="99"/>
        <w:insideH w:val="single" w:sz="4" w:space="0" w:color="DDDD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221">
    <w:name w:val="List Table 2 Accent 2"/>
    <w:basedOn w:val="a4"/>
    <w:uiPriority w:val="47"/>
    <w:rsid w:val="00F527CC"/>
    <w:pPr>
      <w:spacing w:after="0" w:line="240" w:lineRule="auto"/>
    </w:pPr>
    <w:tblPr>
      <w:tblStyleRowBandSize w:val="1"/>
      <w:tblStyleColBandSize w:val="1"/>
      <w:tblBorders>
        <w:top w:val="single" w:sz="4" w:space="0" w:color="BEBFC1" w:themeColor="accent2" w:themeTint="99"/>
        <w:bottom w:val="single" w:sz="4" w:space="0" w:color="BEBFC1" w:themeColor="accent2" w:themeTint="99"/>
        <w:insideH w:val="single" w:sz="4" w:space="0" w:color="BEBFC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231">
    <w:name w:val="List Table 2 Accent 3"/>
    <w:basedOn w:val="a4"/>
    <w:uiPriority w:val="47"/>
    <w:rsid w:val="00F527CC"/>
    <w:pPr>
      <w:spacing w:after="0" w:line="240" w:lineRule="auto"/>
    </w:pPr>
    <w:tblPr>
      <w:tblStyleRowBandSize w:val="1"/>
      <w:tblStyleColBandSize w:val="1"/>
      <w:tblBorders>
        <w:top w:val="single" w:sz="4" w:space="0" w:color="A0A1A3" w:themeColor="accent3" w:themeTint="99"/>
        <w:bottom w:val="single" w:sz="4" w:space="0" w:color="A0A1A3" w:themeColor="accent3" w:themeTint="99"/>
        <w:insideH w:val="single" w:sz="4" w:space="0" w:color="A0A1A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240">
    <w:name w:val="List Table 2 Accent 4"/>
    <w:basedOn w:val="a4"/>
    <w:uiPriority w:val="47"/>
    <w:rsid w:val="00F527CC"/>
    <w:pPr>
      <w:spacing w:after="0" w:line="240" w:lineRule="auto"/>
    </w:pPr>
    <w:tblPr>
      <w:tblStyleRowBandSize w:val="1"/>
      <w:tblStyleColBandSize w:val="1"/>
      <w:tblBorders>
        <w:top w:val="single" w:sz="4" w:space="0" w:color="E87179" w:themeColor="accent4" w:themeTint="99"/>
        <w:bottom w:val="single" w:sz="4" w:space="0" w:color="E87179" w:themeColor="accent4" w:themeTint="99"/>
        <w:insideH w:val="single" w:sz="4" w:space="0" w:color="E8717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250">
    <w:name w:val="List Table 2 Accent 5"/>
    <w:basedOn w:val="a4"/>
    <w:uiPriority w:val="47"/>
    <w:rsid w:val="00F527CC"/>
    <w:pPr>
      <w:spacing w:after="0" w:line="240" w:lineRule="auto"/>
    </w:pPr>
    <w:tblPr>
      <w:tblStyleRowBandSize w:val="1"/>
      <w:tblStyleColBandSize w:val="1"/>
      <w:tblBorders>
        <w:top w:val="single" w:sz="4" w:space="0" w:color="3398FF" w:themeColor="accent5" w:themeTint="99"/>
        <w:bottom w:val="single" w:sz="4" w:space="0" w:color="3398FF" w:themeColor="accent5" w:themeTint="99"/>
        <w:insideH w:val="single" w:sz="4" w:space="0" w:color="3398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260">
    <w:name w:val="List Table 2 Accent 6"/>
    <w:basedOn w:val="a4"/>
    <w:uiPriority w:val="47"/>
    <w:rsid w:val="00F527CC"/>
    <w:pPr>
      <w:spacing w:after="0" w:line="240" w:lineRule="auto"/>
    </w:pPr>
    <w:tblPr>
      <w:tblStyleRowBandSize w:val="1"/>
      <w:tblStyleColBandSize w:val="1"/>
      <w:tblBorders>
        <w:top w:val="single" w:sz="4" w:space="0" w:color="FFCB7A" w:themeColor="accent6" w:themeTint="99"/>
        <w:bottom w:val="single" w:sz="4" w:space="0" w:color="FFCB7A" w:themeColor="accent6" w:themeTint="99"/>
        <w:insideH w:val="single" w:sz="4" w:space="0" w:color="FFCB7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3a">
    <w:name w:val="List Table 3"/>
    <w:basedOn w:val="a4"/>
    <w:uiPriority w:val="48"/>
    <w:rsid w:val="00F527CC"/>
    <w:pPr>
      <w:spacing w:after="0" w:line="240" w:lineRule="auto"/>
    </w:pPr>
    <w:tblPr>
      <w:tblStyleRowBandSize w:val="1"/>
      <w:tblStyleColBandSize w:val="1"/>
      <w:tblBorders>
        <w:top w:val="single" w:sz="4" w:space="0" w:color="404040" w:themeColor="text1"/>
        <w:left w:val="single" w:sz="4" w:space="0" w:color="404040" w:themeColor="text1"/>
        <w:bottom w:val="single" w:sz="4" w:space="0" w:color="404040" w:themeColor="text1"/>
        <w:right w:val="single" w:sz="4" w:space="0" w:color="404040" w:themeColor="text1"/>
      </w:tblBorders>
    </w:tblPr>
    <w:tblStylePr w:type="firstRow">
      <w:rPr>
        <w:b/>
        <w:bCs/>
        <w:color w:val="FFFFFF" w:themeColor="background1"/>
      </w:rPr>
      <w:tblPr/>
      <w:tcPr>
        <w:shd w:val="clear" w:color="auto" w:fill="404040" w:themeFill="text1"/>
      </w:tcPr>
    </w:tblStylePr>
    <w:tblStylePr w:type="lastRow">
      <w:rPr>
        <w:b/>
        <w:bCs/>
      </w:rPr>
      <w:tblPr/>
      <w:tcPr>
        <w:tcBorders>
          <w:top w:val="double" w:sz="4" w:space="0" w:color="4040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40" w:themeColor="text1"/>
          <w:right w:val="single" w:sz="4" w:space="0" w:color="404040" w:themeColor="text1"/>
        </w:tcBorders>
      </w:tcPr>
    </w:tblStylePr>
    <w:tblStylePr w:type="band1Horz">
      <w:tblPr/>
      <w:tcPr>
        <w:tcBorders>
          <w:top w:val="single" w:sz="4" w:space="0" w:color="404040" w:themeColor="text1"/>
          <w:bottom w:val="single" w:sz="4" w:space="0" w:color="4040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40" w:themeColor="text1"/>
          <w:left w:val="nil"/>
        </w:tcBorders>
      </w:tcPr>
    </w:tblStylePr>
    <w:tblStylePr w:type="swCell">
      <w:tblPr/>
      <w:tcPr>
        <w:tcBorders>
          <w:top w:val="double" w:sz="4" w:space="0" w:color="404040" w:themeColor="text1"/>
          <w:right w:val="nil"/>
        </w:tcBorders>
      </w:tcPr>
    </w:tblStylePr>
  </w:style>
  <w:style w:type="table" w:styleId="-311">
    <w:name w:val="List Table 3 Accent 1"/>
    <w:basedOn w:val="a4"/>
    <w:uiPriority w:val="48"/>
    <w:rsid w:val="00F527CC"/>
    <w:pPr>
      <w:spacing w:after="0" w:line="240" w:lineRule="auto"/>
    </w:pPr>
    <w:tblPr>
      <w:tblStyleRowBandSize w:val="1"/>
      <w:tblStyleColBandSize w:val="1"/>
      <w:tblBorders>
        <w:top w:val="single" w:sz="4" w:space="0" w:color="C7C8CA" w:themeColor="accent1"/>
        <w:left w:val="single" w:sz="4" w:space="0" w:color="C7C8CA" w:themeColor="accent1"/>
        <w:bottom w:val="single" w:sz="4" w:space="0" w:color="C7C8CA" w:themeColor="accent1"/>
        <w:right w:val="single" w:sz="4" w:space="0" w:color="C7C8CA" w:themeColor="accent1"/>
      </w:tblBorders>
    </w:tblPr>
    <w:tblStylePr w:type="firstRow">
      <w:rPr>
        <w:b/>
        <w:bCs/>
        <w:color w:val="FFFFFF" w:themeColor="background1"/>
      </w:rPr>
      <w:tblPr/>
      <w:tcPr>
        <w:shd w:val="clear" w:color="auto" w:fill="C7C8CA" w:themeFill="accent1"/>
      </w:tcPr>
    </w:tblStylePr>
    <w:tblStylePr w:type="lastRow">
      <w:rPr>
        <w:b/>
        <w:bCs/>
      </w:rPr>
      <w:tblPr/>
      <w:tcPr>
        <w:tcBorders>
          <w:top w:val="double" w:sz="4" w:space="0" w:color="C7C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C8CA" w:themeColor="accent1"/>
          <w:right w:val="single" w:sz="4" w:space="0" w:color="C7C8CA" w:themeColor="accent1"/>
        </w:tcBorders>
      </w:tcPr>
    </w:tblStylePr>
    <w:tblStylePr w:type="band1Horz">
      <w:tblPr/>
      <w:tcPr>
        <w:tcBorders>
          <w:top w:val="single" w:sz="4" w:space="0" w:color="C7C8CA" w:themeColor="accent1"/>
          <w:bottom w:val="single" w:sz="4" w:space="0" w:color="C7C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8CA" w:themeColor="accent1"/>
          <w:left w:val="nil"/>
        </w:tcBorders>
      </w:tcPr>
    </w:tblStylePr>
    <w:tblStylePr w:type="swCell">
      <w:tblPr/>
      <w:tcPr>
        <w:tcBorders>
          <w:top w:val="double" w:sz="4" w:space="0" w:color="C7C8CA" w:themeColor="accent1"/>
          <w:right w:val="nil"/>
        </w:tcBorders>
      </w:tcPr>
    </w:tblStylePr>
  </w:style>
  <w:style w:type="table" w:styleId="-321">
    <w:name w:val="List Table 3 Accent 2"/>
    <w:basedOn w:val="a4"/>
    <w:uiPriority w:val="48"/>
    <w:rsid w:val="00F527CC"/>
    <w:pPr>
      <w:spacing w:after="0" w:line="240" w:lineRule="auto"/>
    </w:pPr>
    <w:tblPr>
      <w:tblStyleRowBandSize w:val="1"/>
      <w:tblStyleColBandSize w:val="1"/>
      <w:tblBorders>
        <w:top w:val="single" w:sz="4" w:space="0" w:color="939598" w:themeColor="accent2"/>
        <w:left w:val="single" w:sz="4" w:space="0" w:color="939598" w:themeColor="accent2"/>
        <w:bottom w:val="single" w:sz="4" w:space="0" w:color="939598" w:themeColor="accent2"/>
        <w:right w:val="single" w:sz="4" w:space="0" w:color="939598" w:themeColor="accent2"/>
      </w:tblBorders>
    </w:tblPr>
    <w:tblStylePr w:type="firstRow">
      <w:rPr>
        <w:b/>
        <w:bCs/>
        <w:color w:val="FFFFFF" w:themeColor="background1"/>
      </w:rPr>
      <w:tblPr/>
      <w:tcPr>
        <w:shd w:val="clear" w:color="auto" w:fill="939598" w:themeFill="accent2"/>
      </w:tcPr>
    </w:tblStylePr>
    <w:tblStylePr w:type="lastRow">
      <w:rPr>
        <w:b/>
        <w:bCs/>
      </w:rPr>
      <w:tblPr/>
      <w:tcPr>
        <w:tcBorders>
          <w:top w:val="double" w:sz="4" w:space="0" w:color="93959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39598" w:themeColor="accent2"/>
          <w:right w:val="single" w:sz="4" w:space="0" w:color="939598" w:themeColor="accent2"/>
        </w:tcBorders>
      </w:tcPr>
    </w:tblStylePr>
    <w:tblStylePr w:type="band1Horz">
      <w:tblPr/>
      <w:tcPr>
        <w:tcBorders>
          <w:top w:val="single" w:sz="4" w:space="0" w:color="939598" w:themeColor="accent2"/>
          <w:bottom w:val="single" w:sz="4" w:space="0" w:color="93959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39598" w:themeColor="accent2"/>
          <w:left w:val="nil"/>
        </w:tcBorders>
      </w:tcPr>
    </w:tblStylePr>
    <w:tblStylePr w:type="swCell">
      <w:tblPr/>
      <w:tcPr>
        <w:tcBorders>
          <w:top w:val="double" w:sz="4" w:space="0" w:color="939598" w:themeColor="accent2"/>
          <w:right w:val="nil"/>
        </w:tcBorders>
      </w:tcPr>
    </w:tblStylePr>
  </w:style>
  <w:style w:type="table" w:styleId="-331">
    <w:name w:val="List Table 3 Accent 3"/>
    <w:basedOn w:val="a4"/>
    <w:uiPriority w:val="48"/>
    <w:rsid w:val="00F527CC"/>
    <w:pPr>
      <w:spacing w:after="0" w:line="240" w:lineRule="auto"/>
    </w:pPr>
    <w:tblPr>
      <w:tblStyleRowBandSize w:val="1"/>
      <w:tblStyleColBandSize w:val="1"/>
      <w:tblBorders>
        <w:top w:val="single" w:sz="4" w:space="0" w:color="636466" w:themeColor="accent3"/>
        <w:left w:val="single" w:sz="4" w:space="0" w:color="636466" w:themeColor="accent3"/>
        <w:bottom w:val="single" w:sz="4" w:space="0" w:color="636466" w:themeColor="accent3"/>
        <w:right w:val="single" w:sz="4" w:space="0" w:color="636466" w:themeColor="accent3"/>
      </w:tblBorders>
    </w:tblPr>
    <w:tblStylePr w:type="firstRow">
      <w:rPr>
        <w:b/>
        <w:bCs/>
        <w:color w:val="FFFFFF" w:themeColor="background1"/>
      </w:rPr>
      <w:tblPr/>
      <w:tcPr>
        <w:shd w:val="clear" w:color="auto" w:fill="636466" w:themeFill="accent3"/>
      </w:tcPr>
    </w:tblStylePr>
    <w:tblStylePr w:type="lastRow">
      <w:rPr>
        <w:b/>
        <w:bCs/>
      </w:rPr>
      <w:tblPr/>
      <w:tcPr>
        <w:tcBorders>
          <w:top w:val="double" w:sz="4" w:space="0" w:color="63646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6466" w:themeColor="accent3"/>
          <w:right w:val="single" w:sz="4" w:space="0" w:color="636466" w:themeColor="accent3"/>
        </w:tcBorders>
      </w:tcPr>
    </w:tblStylePr>
    <w:tblStylePr w:type="band1Horz">
      <w:tblPr/>
      <w:tcPr>
        <w:tcBorders>
          <w:top w:val="single" w:sz="4" w:space="0" w:color="636466" w:themeColor="accent3"/>
          <w:bottom w:val="single" w:sz="4" w:space="0" w:color="63646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6466" w:themeColor="accent3"/>
          <w:left w:val="nil"/>
        </w:tcBorders>
      </w:tcPr>
    </w:tblStylePr>
    <w:tblStylePr w:type="swCell">
      <w:tblPr/>
      <w:tcPr>
        <w:tcBorders>
          <w:top w:val="double" w:sz="4" w:space="0" w:color="636466" w:themeColor="accent3"/>
          <w:right w:val="nil"/>
        </w:tcBorders>
      </w:tcPr>
    </w:tblStylePr>
  </w:style>
  <w:style w:type="table" w:styleId="-340">
    <w:name w:val="List Table 3 Accent 4"/>
    <w:basedOn w:val="a4"/>
    <w:uiPriority w:val="48"/>
    <w:rsid w:val="00F527CC"/>
    <w:pPr>
      <w:spacing w:after="0" w:line="240" w:lineRule="auto"/>
    </w:pPr>
    <w:tblPr>
      <w:tblStyleRowBandSize w:val="1"/>
      <w:tblStyleColBandSize w:val="1"/>
      <w:tblBorders>
        <w:top w:val="single" w:sz="4" w:space="0" w:color="CD202C" w:themeColor="accent4"/>
        <w:left w:val="single" w:sz="4" w:space="0" w:color="CD202C" w:themeColor="accent4"/>
        <w:bottom w:val="single" w:sz="4" w:space="0" w:color="CD202C" w:themeColor="accent4"/>
        <w:right w:val="single" w:sz="4" w:space="0" w:color="CD202C" w:themeColor="accent4"/>
      </w:tblBorders>
    </w:tblPr>
    <w:tblStylePr w:type="firstRow">
      <w:rPr>
        <w:b/>
        <w:bCs/>
        <w:color w:val="FFFFFF" w:themeColor="background1"/>
      </w:rPr>
      <w:tblPr/>
      <w:tcPr>
        <w:shd w:val="clear" w:color="auto" w:fill="CD202C" w:themeFill="accent4"/>
      </w:tcPr>
    </w:tblStylePr>
    <w:tblStylePr w:type="lastRow">
      <w:rPr>
        <w:b/>
        <w:bCs/>
      </w:rPr>
      <w:tblPr/>
      <w:tcPr>
        <w:tcBorders>
          <w:top w:val="double" w:sz="4" w:space="0" w:color="CD202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202C" w:themeColor="accent4"/>
          <w:right w:val="single" w:sz="4" w:space="0" w:color="CD202C" w:themeColor="accent4"/>
        </w:tcBorders>
      </w:tcPr>
    </w:tblStylePr>
    <w:tblStylePr w:type="band1Horz">
      <w:tblPr/>
      <w:tcPr>
        <w:tcBorders>
          <w:top w:val="single" w:sz="4" w:space="0" w:color="CD202C" w:themeColor="accent4"/>
          <w:bottom w:val="single" w:sz="4" w:space="0" w:color="CD202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202C" w:themeColor="accent4"/>
          <w:left w:val="nil"/>
        </w:tcBorders>
      </w:tcPr>
    </w:tblStylePr>
    <w:tblStylePr w:type="swCell">
      <w:tblPr/>
      <w:tcPr>
        <w:tcBorders>
          <w:top w:val="double" w:sz="4" w:space="0" w:color="CD202C" w:themeColor="accent4"/>
          <w:right w:val="nil"/>
        </w:tcBorders>
      </w:tcPr>
    </w:tblStylePr>
  </w:style>
  <w:style w:type="table" w:styleId="-350">
    <w:name w:val="List Table 3 Accent 5"/>
    <w:basedOn w:val="a4"/>
    <w:uiPriority w:val="48"/>
    <w:rsid w:val="00F527CC"/>
    <w:pPr>
      <w:spacing w:after="0" w:line="240" w:lineRule="auto"/>
    </w:pPr>
    <w:tblPr>
      <w:tblStyleRowBandSize w:val="1"/>
      <w:tblStyleColBandSize w:val="1"/>
      <w:tblBorders>
        <w:top w:val="single" w:sz="4" w:space="0" w:color="0055AA" w:themeColor="accent5"/>
        <w:left w:val="single" w:sz="4" w:space="0" w:color="0055AA" w:themeColor="accent5"/>
        <w:bottom w:val="single" w:sz="4" w:space="0" w:color="0055AA" w:themeColor="accent5"/>
        <w:right w:val="single" w:sz="4" w:space="0" w:color="0055AA" w:themeColor="accent5"/>
      </w:tblBorders>
    </w:tblPr>
    <w:tblStylePr w:type="firstRow">
      <w:rPr>
        <w:b/>
        <w:bCs/>
        <w:color w:val="FFFFFF" w:themeColor="background1"/>
      </w:rPr>
      <w:tblPr/>
      <w:tcPr>
        <w:shd w:val="clear" w:color="auto" w:fill="0055AA" w:themeFill="accent5"/>
      </w:tcPr>
    </w:tblStylePr>
    <w:tblStylePr w:type="lastRow">
      <w:rPr>
        <w:b/>
        <w:bCs/>
      </w:rPr>
      <w:tblPr/>
      <w:tcPr>
        <w:tcBorders>
          <w:top w:val="double" w:sz="4" w:space="0" w:color="0055A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AA" w:themeColor="accent5"/>
          <w:right w:val="single" w:sz="4" w:space="0" w:color="0055AA" w:themeColor="accent5"/>
        </w:tcBorders>
      </w:tcPr>
    </w:tblStylePr>
    <w:tblStylePr w:type="band1Horz">
      <w:tblPr/>
      <w:tcPr>
        <w:tcBorders>
          <w:top w:val="single" w:sz="4" w:space="0" w:color="0055AA" w:themeColor="accent5"/>
          <w:bottom w:val="single" w:sz="4" w:space="0" w:color="0055A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AA" w:themeColor="accent5"/>
          <w:left w:val="nil"/>
        </w:tcBorders>
      </w:tcPr>
    </w:tblStylePr>
    <w:tblStylePr w:type="swCell">
      <w:tblPr/>
      <w:tcPr>
        <w:tcBorders>
          <w:top w:val="double" w:sz="4" w:space="0" w:color="0055AA" w:themeColor="accent5"/>
          <w:right w:val="nil"/>
        </w:tcBorders>
      </w:tcPr>
    </w:tblStylePr>
  </w:style>
  <w:style w:type="table" w:styleId="-360">
    <w:name w:val="List Table 3 Accent 6"/>
    <w:basedOn w:val="a4"/>
    <w:uiPriority w:val="48"/>
    <w:rsid w:val="00F527CC"/>
    <w:pPr>
      <w:spacing w:after="0" w:line="240" w:lineRule="auto"/>
    </w:pPr>
    <w:tblPr>
      <w:tblStyleRowBandSize w:val="1"/>
      <w:tblStyleColBandSize w:val="1"/>
      <w:tblBorders>
        <w:top w:val="single" w:sz="4" w:space="0" w:color="FFAA22" w:themeColor="accent6"/>
        <w:left w:val="single" w:sz="4" w:space="0" w:color="FFAA22" w:themeColor="accent6"/>
        <w:bottom w:val="single" w:sz="4" w:space="0" w:color="FFAA22" w:themeColor="accent6"/>
        <w:right w:val="single" w:sz="4" w:space="0" w:color="FFAA22" w:themeColor="accent6"/>
      </w:tblBorders>
    </w:tblPr>
    <w:tblStylePr w:type="firstRow">
      <w:rPr>
        <w:b/>
        <w:bCs/>
        <w:color w:val="FFFFFF" w:themeColor="background1"/>
      </w:rPr>
      <w:tblPr/>
      <w:tcPr>
        <w:shd w:val="clear" w:color="auto" w:fill="FFAA22" w:themeFill="accent6"/>
      </w:tcPr>
    </w:tblStylePr>
    <w:tblStylePr w:type="lastRow">
      <w:rPr>
        <w:b/>
        <w:bCs/>
      </w:rPr>
      <w:tblPr/>
      <w:tcPr>
        <w:tcBorders>
          <w:top w:val="double" w:sz="4" w:space="0" w:color="FFAA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A22" w:themeColor="accent6"/>
          <w:right w:val="single" w:sz="4" w:space="0" w:color="FFAA22" w:themeColor="accent6"/>
        </w:tcBorders>
      </w:tcPr>
    </w:tblStylePr>
    <w:tblStylePr w:type="band1Horz">
      <w:tblPr/>
      <w:tcPr>
        <w:tcBorders>
          <w:top w:val="single" w:sz="4" w:space="0" w:color="FFAA22" w:themeColor="accent6"/>
          <w:bottom w:val="single" w:sz="4" w:space="0" w:color="FFAA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A22" w:themeColor="accent6"/>
          <w:left w:val="nil"/>
        </w:tcBorders>
      </w:tcPr>
    </w:tblStylePr>
    <w:tblStylePr w:type="swCell">
      <w:tblPr/>
      <w:tcPr>
        <w:tcBorders>
          <w:top w:val="double" w:sz="4" w:space="0" w:color="FFAA22" w:themeColor="accent6"/>
          <w:right w:val="nil"/>
        </w:tcBorders>
      </w:tcPr>
    </w:tblStylePr>
  </w:style>
  <w:style w:type="table" w:styleId="-4a">
    <w:name w:val="List Table 4"/>
    <w:basedOn w:val="a4"/>
    <w:uiPriority w:val="49"/>
    <w:rsid w:val="00F527CC"/>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tcBorders>
        <w:shd w:val="clear" w:color="auto" w:fill="404040" w:themeFill="text1"/>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411">
    <w:name w:val="List Table 4 Accent 1"/>
    <w:basedOn w:val="a4"/>
    <w:uiPriority w:val="49"/>
    <w:rsid w:val="00F527CC"/>
    <w:pPr>
      <w:spacing w:after="0" w:line="240" w:lineRule="auto"/>
    </w:p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tblBorders>
    </w:tblPr>
    <w:tblStylePr w:type="firstRow">
      <w:rPr>
        <w:b/>
        <w:bCs/>
        <w:color w:val="FFFFFF" w:themeColor="background1"/>
      </w:rPr>
      <w:tblPr/>
      <w:tcPr>
        <w:tcBorders>
          <w:top w:val="single" w:sz="4" w:space="0" w:color="C7C8CA" w:themeColor="accent1"/>
          <w:left w:val="single" w:sz="4" w:space="0" w:color="C7C8CA" w:themeColor="accent1"/>
          <w:bottom w:val="single" w:sz="4" w:space="0" w:color="C7C8CA" w:themeColor="accent1"/>
          <w:right w:val="single" w:sz="4" w:space="0" w:color="C7C8CA" w:themeColor="accent1"/>
          <w:insideH w:val="nil"/>
        </w:tcBorders>
        <w:shd w:val="clear" w:color="auto" w:fill="C7C8CA" w:themeFill="accent1"/>
      </w:tcPr>
    </w:tblStylePr>
    <w:tblStylePr w:type="lastRow">
      <w:rPr>
        <w:b/>
        <w:bCs/>
      </w:rPr>
      <w:tblPr/>
      <w:tcPr>
        <w:tcBorders>
          <w:top w:val="double" w:sz="4" w:space="0" w:color="DDDDDF" w:themeColor="accent1" w:themeTint="99"/>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421">
    <w:name w:val="List Table 4 Accent 2"/>
    <w:basedOn w:val="a4"/>
    <w:uiPriority w:val="49"/>
    <w:rsid w:val="00F527CC"/>
    <w:pPr>
      <w:spacing w:after="0" w:line="240" w:lineRule="auto"/>
    </w:p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tblBorders>
    </w:tblPr>
    <w:tblStylePr w:type="firstRow">
      <w:rPr>
        <w:b/>
        <w:bCs/>
        <w:color w:val="FFFFFF" w:themeColor="background1"/>
      </w:rPr>
      <w:tblPr/>
      <w:tcPr>
        <w:tcBorders>
          <w:top w:val="single" w:sz="4" w:space="0" w:color="939598" w:themeColor="accent2"/>
          <w:left w:val="single" w:sz="4" w:space="0" w:color="939598" w:themeColor="accent2"/>
          <w:bottom w:val="single" w:sz="4" w:space="0" w:color="939598" w:themeColor="accent2"/>
          <w:right w:val="single" w:sz="4" w:space="0" w:color="939598" w:themeColor="accent2"/>
          <w:insideH w:val="nil"/>
        </w:tcBorders>
        <w:shd w:val="clear" w:color="auto" w:fill="939598" w:themeFill="accent2"/>
      </w:tcPr>
    </w:tblStylePr>
    <w:tblStylePr w:type="lastRow">
      <w:rPr>
        <w:b/>
        <w:bCs/>
      </w:rPr>
      <w:tblPr/>
      <w:tcPr>
        <w:tcBorders>
          <w:top w:val="double" w:sz="4" w:space="0" w:color="BEBFC1" w:themeColor="accent2" w:themeTint="99"/>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431">
    <w:name w:val="List Table 4 Accent 3"/>
    <w:basedOn w:val="a4"/>
    <w:uiPriority w:val="49"/>
    <w:rsid w:val="00F527CC"/>
    <w:pPr>
      <w:spacing w:after="0" w:line="240" w:lineRule="auto"/>
    </w:p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tblBorders>
    </w:tblPr>
    <w:tblStylePr w:type="firstRow">
      <w:rPr>
        <w:b/>
        <w:bCs/>
        <w:color w:val="FFFFFF" w:themeColor="background1"/>
      </w:rPr>
      <w:tblPr/>
      <w:tcPr>
        <w:tcBorders>
          <w:top w:val="single" w:sz="4" w:space="0" w:color="636466" w:themeColor="accent3"/>
          <w:left w:val="single" w:sz="4" w:space="0" w:color="636466" w:themeColor="accent3"/>
          <w:bottom w:val="single" w:sz="4" w:space="0" w:color="636466" w:themeColor="accent3"/>
          <w:right w:val="single" w:sz="4" w:space="0" w:color="636466" w:themeColor="accent3"/>
          <w:insideH w:val="nil"/>
        </w:tcBorders>
        <w:shd w:val="clear" w:color="auto" w:fill="636466" w:themeFill="accent3"/>
      </w:tcPr>
    </w:tblStylePr>
    <w:tblStylePr w:type="lastRow">
      <w:rPr>
        <w:b/>
        <w:bCs/>
      </w:rPr>
      <w:tblPr/>
      <w:tcPr>
        <w:tcBorders>
          <w:top w:val="double" w:sz="4" w:space="0" w:color="A0A1A3" w:themeColor="accent3" w:themeTint="99"/>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440">
    <w:name w:val="List Table 4 Accent 4"/>
    <w:basedOn w:val="a4"/>
    <w:uiPriority w:val="49"/>
    <w:rsid w:val="00F527CC"/>
    <w:pPr>
      <w:spacing w:after="0" w:line="240" w:lineRule="auto"/>
    </w:p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tblBorders>
    </w:tblPr>
    <w:tblStylePr w:type="firstRow">
      <w:rPr>
        <w:b/>
        <w:bCs/>
        <w:color w:val="FFFFFF" w:themeColor="background1"/>
      </w:rPr>
      <w:tblPr/>
      <w:tcPr>
        <w:tcBorders>
          <w:top w:val="single" w:sz="4" w:space="0" w:color="CD202C" w:themeColor="accent4"/>
          <w:left w:val="single" w:sz="4" w:space="0" w:color="CD202C" w:themeColor="accent4"/>
          <w:bottom w:val="single" w:sz="4" w:space="0" w:color="CD202C" w:themeColor="accent4"/>
          <w:right w:val="single" w:sz="4" w:space="0" w:color="CD202C" w:themeColor="accent4"/>
          <w:insideH w:val="nil"/>
        </w:tcBorders>
        <w:shd w:val="clear" w:color="auto" w:fill="CD202C" w:themeFill="accent4"/>
      </w:tcPr>
    </w:tblStylePr>
    <w:tblStylePr w:type="lastRow">
      <w:rPr>
        <w:b/>
        <w:bCs/>
      </w:rPr>
      <w:tblPr/>
      <w:tcPr>
        <w:tcBorders>
          <w:top w:val="double" w:sz="4" w:space="0" w:color="E87179" w:themeColor="accent4" w:themeTint="99"/>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450">
    <w:name w:val="List Table 4 Accent 5"/>
    <w:basedOn w:val="a4"/>
    <w:uiPriority w:val="49"/>
    <w:rsid w:val="00F527CC"/>
    <w:pPr>
      <w:spacing w:after="0" w:line="240" w:lineRule="auto"/>
    </w:p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tblBorders>
    </w:tblPr>
    <w:tblStylePr w:type="firstRow">
      <w:rPr>
        <w:b/>
        <w:bCs/>
        <w:color w:val="FFFFFF" w:themeColor="background1"/>
      </w:rPr>
      <w:tblPr/>
      <w:tcPr>
        <w:tcBorders>
          <w:top w:val="single" w:sz="4" w:space="0" w:color="0055AA" w:themeColor="accent5"/>
          <w:left w:val="single" w:sz="4" w:space="0" w:color="0055AA" w:themeColor="accent5"/>
          <w:bottom w:val="single" w:sz="4" w:space="0" w:color="0055AA" w:themeColor="accent5"/>
          <w:right w:val="single" w:sz="4" w:space="0" w:color="0055AA" w:themeColor="accent5"/>
          <w:insideH w:val="nil"/>
        </w:tcBorders>
        <w:shd w:val="clear" w:color="auto" w:fill="0055AA" w:themeFill="accent5"/>
      </w:tcPr>
    </w:tblStylePr>
    <w:tblStylePr w:type="lastRow">
      <w:rPr>
        <w:b/>
        <w:bCs/>
      </w:rPr>
      <w:tblPr/>
      <w:tcPr>
        <w:tcBorders>
          <w:top w:val="double" w:sz="4" w:space="0" w:color="3398FF" w:themeColor="accent5" w:themeTint="99"/>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460">
    <w:name w:val="List Table 4 Accent 6"/>
    <w:basedOn w:val="a4"/>
    <w:uiPriority w:val="49"/>
    <w:rsid w:val="00F527CC"/>
    <w:pPr>
      <w:spacing w:after="0" w:line="240" w:lineRule="auto"/>
    </w:p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tblBorders>
    </w:tblPr>
    <w:tblStylePr w:type="firstRow">
      <w:rPr>
        <w:b/>
        <w:bCs/>
        <w:color w:val="FFFFFF" w:themeColor="background1"/>
      </w:rPr>
      <w:tblPr/>
      <w:tcPr>
        <w:tcBorders>
          <w:top w:val="single" w:sz="4" w:space="0" w:color="FFAA22" w:themeColor="accent6"/>
          <w:left w:val="single" w:sz="4" w:space="0" w:color="FFAA22" w:themeColor="accent6"/>
          <w:bottom w:val="single" w:sz="4" w:space="0" w:color="FFAA22" w:themeColor="accent6"/>
          <w:right w:val="single" w:sz="4" w:space="0" w:color="FFAA22" w:themeColor="accent6"/>
          <w:insideH w:val="nil"/>
        </w:tcBorders>
        <w:shd w:val="clear" w:color="auto" w:fill="FFAA22" w:themeFill="accent6"/>
      </w:tcPr>
    </w:tblStylePr>
    <w:tblStylePr w:type="lastRow">
      <w:rPr>
        <w:b/>
        <w:bCs/>
      </w:rPr>
      <w:tblPr/>
      <w:tcPr>
        <w:tcBorders>
          <w:top w:val="double" w:sz="4" w:space="0" w:color="FFCB7A" w:themeColor="accent6" w:themeTint="99"/>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5a">
    <w:name w:val="List Table 5 Dark"/>
    <w:basedOn w:val="a4"/>
    <w:uiPriority w:val="50"/>
    <w:rsid w:val="00F527CC"/>
    <w:pPr>
      <w:spacing w:after="0" w:line="240" w:lineRule="auto"/>
    </w:pPr>
    <w:rPr>
      <w:color w:val="FFFFFF" w:themeColor="background1"/>
    </w:rPr>
    <w:tblPr>
      <w:tblStyleRowBandSize w:val="1"/>
      <w:tblStyleColBandSize w:val="1"/>
      <w:tblBorders>
        <w:top w:val="single" w:sz="24" w:space="0" w:color="404040" w:themeColor="text1"/>
        <w:left w:val="single" w:sz="24" w:space="0" w:color="404040" w:themeColor="text1"/>
        <w:bottom w:val="single" w:sz="24" w:space="0" w:color="404040" w:themeColor="text1"/>
        <w:right w:val="single" w:sz="24" w:space="0" w:color="404040" w:themeColor="text1"/>
      </w:tblBorders>
    </w:tblPr>
    <w:tcPr>
      <w:shd w:val="clear" w:color="auto" w:fill="40404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1">
    <w:name w:val="List Table 5 Dark Accent 1"/>
    <w:basedOn w:val="a4"/>
    <w:uiPriority w:val="50"/>
    <w:rsid w:val="00F527CC"/>
    <w:pPr>
      <w:spacing w:after="0" w:line="240" w:lineRule="auto"/>
    </w:pPr>
    <w:rPr>
      <w:color w:val="FFFFFF" w:themeColor="background1"/>
    </w:rPr>
    <w:tblPr>
      <w:tblStyleRowBandSize w:val="1"/>
      <w:tblStyleColBandSize w:val="1"/>
      <w:tblBorders>
        <w:top w:val="single" w:sz="24" w:space="0" w:color="C7C8CA" w:themeColor="accent1"/>
        <w:left w:val="single" w:sz="24" w:space="0" w:color="C7C8CA" w:themeColor="accent1"/>
        <w:bottom w:val="single" w:sz="24" w:space="0" w:color="C7C8CA" w:themeColor="accent1"/>
        <w:right w:val="single" w:sz="24" w:space="0" w:color="C7C8CA" w:themeColor="accent1"/>
      </w:tblBorders>
    </w:tblPr>
    <w:tcPr>
      <w:shd w:val="clear" w:color="auto" w:fill="C7C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1">
    <w:name w:val="List Table 5 Dark Accent 2"/>
    <w:basedOn w:val="a4"/>
    <w:uiPriority w:val="50"/>
    <w:rsid w:val="00F527CC"/>
    <w:pPr>
      <w:spacing w:after="0" w:line="240" w:lineRule="auto"/>
    </w:pPr>
    <w:rPr>
      <w:color w:val="FFFFFF" w:themeColor="background1"/>
    </w:rPr>
    <w:tblPr>
      <w:tblStyleRowBandSize w:val="1"/>
      <w:tblStyleColBandSize w:val="1"/>
      <w:tblBorders>
        <w:top w:val="single" w:sz="24" w:space="0" w:color="939598" w:themeColor="accent2"/>
        <w:left w:val="single" w:sz="24" w:space="0" w:color="939598" w:themeColor="accent2"/>
        <w:bottom w:val="single" w:sz="24" w:space="0" w:color="939598" w:themeColor="accent2"/>
        <w:right w:val="single" w:sz="24" w:space="0" w:color="939598" w:themeColor="accent2"/>
      </w:tblBorders>
    </w:tblPr>
    <w:tcPr>
      <w:shd w:val="clear" w:color="auto" w:fill="93959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1">
    <w:name w:val="List Table 5 Dark Accent 3"/>
    <w:basedOn w:val="a4"/>
    <w:uiPriority w:val="50"/>
    <w:rsid w:val="00F527CC"/>
    <w:pPr>
      <w:spacing w:after="0" w:line="240" w:lineRule="auto"/>
    </w:pPr>
    <w:rPr>
      <w:color w:val="FFFFFF" w:themeColor="background1"/>
    </w:rPr>
    <w:tblPr>
      <w:tblStyleRowBandSize w:val="1"/>
      <w:tblStyleColBandSize w:val="1"/>
      <w:tblBorders>
        <w:top w:val="single" w:sz="24" w:space="0" w:color="636466" w:themeColor="accent3"/>
        <w:left w:val="single" w:sz="24" w:space="0" w:color="636466" w:themeColor="accent3"/>
        <w:bottom w:val="single" w:sz="24" w:space="0" w:color="636466" w:themeColor="accent3"/>
        <w:right w:val="single" w:sz="24" w:space="0" w:color="636466" w:themeColor="accent3"/>
      </w:tblBorders>
    </w:tblPr>
    <w:tcPr>
      <w:shd w:val="clear" w:color="auto" w:fill="63646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4"/>
    <w:uiPriority w:val="50"/>
    <w:rsid w:val="00F527CC"/>
    <w:pPr>
      <w:spacing w:after="0" w:line="240" w:lineRule="auto"/>
    </w:pPr>
    <w:rPr>
      <w:color w:val="FFFFFF" w:themeColor="background1"/>
    </w:rPr>
    <w:tblPr>
      <w:tblStyleRowBandSize w:val="1"/>
      <w:tblStyleColBandSize w:val="1"/>
      <w:tblBorders>
        <w:top w:val="single" w:sz="24" w:space="0" w:color="CD202C" w:themeColor="accent4"/>
        <w:left w:val="single" w:sz="24" w:space="0" w:color="CD202C" w:themeColor="accent4"/>
        <w:bottom w:val="single" w:sz="24" w:space="0" w:color="CD202C" w:themeColor="accent4"/>
        <w:right w:val="single" w:sz="24" w:space="0" w:color="CD202C" w:themeColor="accent4"/>
      </w:tblBorders>
    </w:tblPr>
    <w:tcPr>
      <w:shd w:val="clear" w:color="auto" w:fill="CD202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4"/>
    <w:uiPriority w:val="50"/>
    <w:rsid w:val="00F527CC"/>
    <w:pPr>
      <w:spacing w:after="0" w:line="240" w:lineRule="auto"/>
    </w:pPr>
    <w:rPr>
      <w:color w:val="FFFFFF" w:themeColor="background1"/>
    </w:rPr>
    <w:tblPr>
      <w:tblStyleRowBandSize w:val="1"/>
      <w:tblStyleColBandSize w:val="1"/>
      <w:tblBorders>
        <w:top w:val="single" w:sz="24" w:space="0" w:color="0055AA" w:themeColor="accent5"/>
        <w:left w:val="single" w:sz="24" w:space="0" w:color="0055AA" w:themeColor="accent5"/>
        <w:bottom w:val="single" w:sz="24" w:space="0" w:color="0055AA" w:themeColor="accent5"/>
        <w:right w:val="single" w:sz="24" w:space="0" w:color="0055AA" w:themeColor="accent5"/>
      </w:tblBorders>
    </w:tblPr>
    <w:tcPr>
      <w:shd w:val="clear" w:color="auto" w:fill="0055A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4"/>
    <w:uiPriority w:val="50"/>
    <w:rsid w:val="00F527CC"/>
    <w:pPr>
      <w:spacing w:after="0" w:line="240" w:lineRule="auto"/>
    </w:pPr>
    <w:rPr>
      <w:color w:val="FFFFFF" w:themeColor="background1"/>
    </w:rPr>
    <w:tblPr>
      <w:tblStyleRowBandSize w:val="1"/>
      <w:tblStyleColBandSize w:val="1"/>
      <w:tblBorders>
        <w:top w:val="single" w:sz="24" w:space="0" w:color="FFAA22" w:themeColor="accent6"/>
        <w:left w:val="single" w:sz="24" w:space="0" w:color="FFAA22" w:themeColor="accent6"/>
        <w:bottom w:val="single" w:sz="24" w:space="0" w:color="FFAA22" w:themeColor="accent6"/>
        <w:right w:val="single" w:sz="24" w:space="0" w:color="FFAA22" w:themeColor="accent6"/>
      </w:tblBorders>
    </w:tblPr>
    <w:tcPr>
      <w:shd w:val="clear" w:color="auto" w:fill="FFAA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F527CC"/>
    <w:pPr>
      <w:spacing w:after="0" w:line="240" w:lineRule="auto"/>
    </w:pPr>
    <w:rPr>
      <w:color w:val="404040" w:themeColor="text1"/>
    </w:rPr>
    <w:tblPr>
      <w:tblStyleRowBandSize w:val="1"/>
      <w:tblStyleColBandSize w:val="1"/>
      <w:tblBorders>
        <w:top w:val="single" w:sz="4" w:space="0" w:color="404040" w:themeColor="text1"/>
        <w:bottom w:val="single" w:sz="4" w:space="0" w:color="404040" w:themeColor="text1"/>
      </w:tblBorders>
    </w:tblPr>
    <w:tblStylePr w:type="firstRow">
      <w:rPr>
        <w:b/>
        <w:bCs/>
      </w:rPr>
      <w:tblPr/>
      <w:tcPr>
        <w:tcBorders>
          <w:bottom w:val="single" w:sz="4" w:space="0" w:color="404040" w:themeColor="text1"/>
        </w:tcBorders>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611">
    <w:name w:val="List Table 6 Colorful Accent 1"/>
    <w:basedOn w:val="a4"/>
    <w:uiPriority w:val="51"/>
    <w:rsid w:val="00F527CC"/>
    <w:pPr>
      <w:spacing w:after="0" w:line="240" w:lineRule="auto"/>
    </w:pPr>
    <w:rPr>
      <w:color w:val="939599" w:themeColor="accent1" w:themeShade="BF"/>
    </w:rPr>
    <w:tblPr>
      <w:tblStyleRowBandSize w:val="1"/>
      <w:tblStyleColBandSize w:val="1"/>
      <w:tblBorders>
        <w:top w:val="single" w:sz="4" w:space="0" w:color="C7C8CA" w:themeColor="accent1"/>
        <w:bottom w:val="single" w:sz="4" w:space="0" w:color="C7C8CA" w:themeColor="accent1"/>
      </w:tblBorders>
    </w:tblPr>
    <w:tblStylePr w:type="firstRow">
      <w:rPr>
        <w:b/>
        <w:bCs/>
      </w:rPr>
      <w:tblPr/>
      <w:tcPr>
        <w:tcBorders>
          <w:bottom w:val="single" w:sz="4" w:space="0" w:color="C7C8CA" w:themeColor="accent1"/>
        </w:tcBorders>
      </w:tcPr>
    </w:tblStylePr>
    <w:tblStylePr w:type="lastRow">
      <w:rPr>
        <w:b/>
        <w:bCs/>
      </w:rPr>
      <w:tblPr/>
      <w:tcPr>
        <w:tcBorders>
          <w:top w:val="double" w:sz="4" w:space="0" w:color="C7C8CA" w:themeColor="accent1"/>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621">
    <w:name w:val="List Table 6 Colorful Accent 2"/>
    <w:basedOn w:val="a4"/>
    <w:uiPriority w:val="51"/>
    <w:rsid w:val="00F527CC"/>
    <w:pPr>
      <w:spacing w:after="0" w:line="240" w:lineRule="auto"/>
    </w:pPr>
    <w:rPr>
      <w:color w:val="6D6F72" w:themeColor="accent2" w:themeShade="BF"/>
    </w:rPr>
    <w:tblPr>
      <w:tblStyleRowBandSize w:val="1"/>
      <w:tblStyleColBandSize w:val="1"/>
      <w:tblBorders>
        <w:top w:val="single" w:sz="4" w:space="0" w:color="939598" w:themeColor="accent2"/>
        <w:bottom w:val="single" w:sz="4" w:space="0" w:color="939598" w:themeColor="accent2"/>
      </w:tblBorders>
    </w:tblPr>
    <w:tblStylePr w:type="firstRow">
      <w:rPr>
        <w:b/>
        <w:bCs/>
      </w:rPr>
      <w:tblPr/>
      <w:tcPr>
        <w:tcBorders>
          <w:bottom w:val="single" w:sz="4" w:space="0" w:color="939598" w:themeColor="accent2"/>
        </w:tcBorders>
      </w:tcPr>
    </w:tblStylePr>
    <w:tblStylePr w:type="lastRow">
      <w:rPr>
        <w:b/>
        <w:bCs/>
      </w:rPr>
      <w:tblPr/>
      <w:tcPr>
        <w:tcBorders>
          <w:top w:val="double" w:sz="4" w:space="0" w:color="939598" w:themeColor="accent2"/>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631">
    <w:name w:val="List Table 6 Colorful Accent 3"/>
    <w:basedOn w:val="a4"/>
    <w:uiPriority w:val="51"/>
    <w:rsid w:val="00F527CC"/>
    <w:pPr>
      <w:spacing w:after="0" w:line="240" w:lineRule="auto"/>
    </w:pPr>
    <w:rPr>
      <w:color w:val="4A4A4C" w:themeColor="accent3" w:themeShade="BF"/>
    </w:rPr>
    <w:tblPr>
      <w:tblStyleRowBandSize w:val="1"/>
      <w:tblStyleColBandSize w:val="1"/>
      <w:tblBorders>
        <w:top w:val="single" w:sz="4" w:space="0" w:color="636466" w:themeColor="accent3"/>
        <w:bottom w:val="single" w:sz="4" w:space="0" w:color="636466" w:themeColor="accent3"/>
      </w:tblBorders>
    </w:tblPr>
    <w:tblStylePr w:type="firstRow">
      <w:rPr>
        <w:b/>
        <w:bCs/>
      </w:rPr>
      <w:tblPr/>
      <w:tcPr>
        <w:tcBorders>
          <w:bottom w:val="single" w:sz="4" w:space="0" w:color="636466" w:themeColor="accent3"/>
        </w:tcBorders>
      </w:tcPr>
    </w:tblStylePr>
    <w:tblStylePr w:type="lastRow">
      <w:rPr>
        <w:b/>
        <w:bCs/>
      </w:rPr>
      <w:tblPr/>
      <w:tcPr>
        <w:tcBorders>
          <w:top w:val="double" w:sz="4" w:space="0" w:color="636466" w:themeColor="accent3"/>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640">
    <w:name w:val="List Table 6 Colorful Accent 4"/>
    <w:basedOn w:val="a4"/>
    <w:uiPriority w:val="51"/>
    <w:rsid w:val="00F527CC"/>
    <w:pPr>
      <w:spacing w:after="0" w:line="240" w:lineRule="auto"/>
    </w:pPr>
    <w:rPr>
      <w:color w:val="991820" w:themeColor="accent4" w:themeShade="BF"/>
    </w:rPr>
    <w:tblPr>
      <w:tblStyleRowBandSize w:val="1"/>
      <w:tblStyleColBandSize w:val="1"/>
      <w:tblBorders>
        <w:top w:val="single" w:sz="4" w:space="0" w:color="CD202C" w:themeColor="accent4"/>
        <w:bottom w:val="single" w:sz="4" w:space="0" w:color="CD202C" w:themeColor="accent4"/>
      </w:tblBorders>
    </w:tblPr>
    <w:tblStylePr w:type="firstRow">
      <w:rPr>
        <w:b/>
        <w:bCs/>
      </w:rPr>
      <w:tblPr/>
      <w:tcPr>
        <w:tcBorders>
          <w:bottom w:val="single" w:sz="4" w:space="0" w:color="CD202C" w:themeColor="accent4"/>
        </w:tcBorders>
      </w:tcPr>
    </w:tblStylePr>
    <w:tblStylePr w:type="lastRow">
      <w:rPr>
        <w:b/>
        <w:bCs/>
      </w:rPr>
      <w:tblPr/>
      <w:tcPr>
        <w:tcBorders>
          <w:top w:val="double" w:sz="4" w:space="0" w:color="CD202C" w:themeColor="accent4"/>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650">
    <w:name w:val="List Table 6 Colorful Accent 5"/>
    <w:basedOn w:val="a4"/>
    <w:uiPriority w:val="51"/>
    <w:rsid w:val="00F527CC"/>
    <w:pPr>
      <w:spacing w:after="0" w:line="240" w:lineRule="auto"/>
    </w:pPr>
    <w:rPr>
      <w:color w:val="003F7F" w:themeColor="accent5" w:themeShade="BF"/>
    </w:rPr>
    <w:tblPr>
      <w:tblStyleRowBandSize w:val="1"/>
      <w:tblStyleColBandSize w:val="1"/>
      <w:tblBorders>
        <w:top w:val="single" w:sz="4" w:space="0" w:color="0055AA" w:themeColor="accent5"/>
        <w:bottom w:val="single" w:sz="4" w:space="0" w:color="0055AA" w:themeColor="accent5"/>
      </w:tblBorders>
    </w:tblPr>
    <w:tblStylePr w:type="firstRow">
      <w:rPr>
        <w:b/>
        <w:bCs/>
      </w:rPr>
      <w:tblPr/>
      <w:tcPr>
        <w:tcBorders>
          <w:bottom w:val="single" w:sz="4" w:space="0" w:color="0055AA" w:themeColor="accent5"/>
        </w:tcBorders>
      </w:tcPr>
    </w:tblStylePr>
    <w:tblStylePr w:type="lastRow">
      <w:rPr>
        <w:b/>
        <w:bCs/>
      </w:rPr>
      <w:tblPr/>
      <w:tcPr>
        <w:tcBorders>
          <w:top w:val="double" w:sz="4" w:space="0" w:color="0055AA" w:themeColor="accent5"/>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660">
    <w:name w:val="List Table 6 Colorful Accent 6"/>
    <w:basedOn w:val="a4"/>
    <w:uiPriority w:val="51"/>
    <w:rsid w:val="00F527CC"/>
    <w:pPr>
      <w:spacing w:after="0" w:line="240" w:lineRule="auto"/>
    </w:pPr>
    <w:rPr>
      <w:color w:val="D88400" w:themeColor="accent6" w:themeShade="BF"/>
    </w:rPr>
    <w:tblPr>
      <w:tblStyleRowBandSize w:val="1"/>
      <w:tblStyleColBandSize w:val="1"/>
      <w:tblBorders>
        <w:top w:val="single" w:sz="4" w:space="0" w:color="FFAA22" w:themeColor="accent6"/>
        <w:bottom w:val="single" w:sz="4" w:space="0" w:color="FFAA22" w:themeColor="accent6"/>
      </w:tblBorders>
    </w:tblPr>
    <w:tblStylePr w:type="firstRow">
      <w:rPr>
        <w:b/>
        <w:bCs/>
      </w:rPr>
      <w:tblPr/>
      <w:tcPr>
        <w:tcBorders>
          <w:bottom w:val="single" w:sz="4" w:space="0" w:color="FFAA22" w:themeColor="accent6"/>
        </w:tcBorders>
      </w:tcPr>
    </w:tblStylePr>
    <w:tblStylePr w:type="lastRow">
      <w:rPr>
        <w:b/>
        <w:bCs/>
      </w:rPr>
      <w:tblPr/>
      <w:tcPr>
        <w:tcBorders>
          <w:top w:val="double" w:sz="4" w:space="0" w:color="FFAA22" w:themeColor="accent6"/>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70">
    <w:name w:val="List Table 7 Colorful"/>
    <w:basedOn w:val="a4"/>
    <w:uiPriority w:val="52"/>
    <w:rsid w:val="00F527CC"/>
    <w:pPr>
      <w:spacing w:after="0" w:line="240" w:lineRule="auto"/>
    </w:pPr>
    <w:rPr>
      <w:color w:val="40404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4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4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4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40" w:themeColor="text1"/>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4"/>
    <w:uiPriority w:val="52"/>
    <w:rsid w:val="00F527CC"/>
    <w:pPr>
      <w:spacing w:after="0" w:line="240" w:lineRule="auto"/>
    </w:pPr>
    <w:rPr>
      <w:color w:val="93959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7C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7C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7C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7C8CA" w:themeColor="accent1"/>
        </w:tcBorders>
        <w:shd w:val="clear" w:color="auto" w:fill="FFFFFF" w:themeFill="background1"/>
      </w:tcPr>
    </w:tblStylePr>
    <w:tblStylePr w:type="band1Vert">
      <w:tblPr/>
      <w:tcPr>
        <w:shd w:val="clear" w:color="auto" w:fill="F3F3F4" w:themeFill="accent1" w:themeFillTint="33"/>
      </w:tcPr>
    </w:tblStylePr>
    <w:tblStylePr w:type="band1Horz">
      <w:tblPr/>
      <w:tcPr>
        <w:shd w:val="clear" w:color="auto" w:fill="F3F3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4"/>
    <w:uiPriority w:val="52"/>
    <w:rsid w:val="00F527CC"/>
    <w:pPr>
      <w:spacing w:after="0" w:line="240" w:lineRule="auto"/>
    </w:pPr>
    <w:rPr>
      <w:color w:val="6D6F7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3959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3959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3959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39598" w:themeColor="accent2"/>
        </w:tcBorders>
        <w:shd w:val="clear" w:color="auto" w:fill="FFFFFF" w:themeFill="background1"/>
      </w:tcPr>
    </w:tblStylePr>
    <w:tblStylePr w:type="band1Vert">
      <w:tblPr/>
      <w:tcPr>
        <w:shd w:val="clear" w:color="auto" w:fill="E9E9EA" w:themeFill="accent2" w:themeFillTint="33"/>
      </w:tcPr>
    </w:tblStylePr>
    <w:tblStylePr w:type="band1Horz">
      <w:tblPr/>
      <w:tcPr>
        <w:shd w:val="clear" w:color="auto" w:fill="E9E9E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4"/>
    <w:uiPriority w:val="52"/>
    <w:rsid w:val="00F527CC"/>
    <w:pPr>
      <w:spacing w:after="0" w:line="240" w:lineRule="auto"/>
    </w:pPr>
    <w:rPr>
      <w:color w:val="4A4A4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646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646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646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6466" w:themeColor="accent3"/>
        </w:tcBorders>
        <w:shd w:val="clear" w:color="auto" w:fill="FFFFFF" w:themeFill="background1"/>
      </w:tcPr>
    </w:tblStylePr>
    <w:tblStylePr w:type="band1Vert">
      <w:tblPr/>
      <w:tcPr>
        <w:shd w:val="clear" w:color="auto" w:fill="DFDFE0" w:themeFill="accent3" w:themeFillTint="33"/>
      </w:tcPr>
    </w:tblStylePr>
    <w:tblStylePr w:type="band1Horz">
      <w:tblPr/>
      <w:tcPr>
        <w:shd w:val="clear" w:color="auto" w:fill="DFDFE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4"/>
    <w:uiPriority w:val="52"/>
    <w:rsid w:val="00F527CC"/>
    <w:pPr>
      <w:spacing w:after="0" w:line="240" w:lineRule="auto"/>
    </w:pPr>
    <w:rPr>
      <w:color w:val="99182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202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202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202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202C" w:themeColor="accent4"/>
        </w:tcBorders>
        <w:shd w:val="clear" w:color="auto" w:fill="FFFFFF" w:themeFill="background1"/>
      </w:tcPr>
    </w:tblStylePr>
    <w:tblStylePr w:type="band1Vert">
      <w:tblPr/>
      <w:tcPr>
        <w:shd w:val="clear" w:color="auto" w:fill="F7CFD2" w:themeFill="accent4" w:themeFillTint="33"/>
      </w:tcPr>
    </w:tblStylePr>
    <w:tblStylePr w:type="band1Horz">
      <w:tblPr/>
      <w:tcPr>
        <w:shd w:val="clear" w:color="auto" w:fill="F7CFD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4"/>
    <w:uiPriority w:val="52"/>
    <w:rsid w:val="00F527CC"/>
    <w:pPr>
      <w:spacing w:after="0" w:line="240" w:lineRule="auto"/>
    </w:pPr>
    <w:rPr>
      <w:color w:val="003F7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A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A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A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AA" w:themeColor="accent5"/>
        </w:tcBorders>
        <w:shd w:val="clear" w:color="auto" w:fill="FFFFFF" w:themeFill="background1"/>
      </w:tcPr>
    </w:tblStylePr>
    <w:tblStylePr w:type="band1Vert">
      <w:tblPr/>
      <w:tcPr>
        <w:shd w:val="clear" w:color="auto" w:fill="BBDCFF" w:themeFill="accent5" w:themeFillTint="33"/>
      </w:tcPr>
    </w:tblStylePr>
    <w:tblStylePr w:type="band1Horz">
      <w:tblPr/>
      <w:tcPr>
        <w:shd w:val="clear" w:color="auto" w:fill="BBDC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4"/>
    <w:uiPriority w:val="52"/>
    <w:rsid w:val="00F527CC"/>
    <w:pPr>
      <w:spacing w:after="0" w:line="240" w:lineRule="auto"/>
    </w:pPr>
    <w:rPr>
      <w:color w:val="D88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A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A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A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A22" w:themeColor="accent6"/>
        </w:tcBorders>
        <w:shd w:val="clear" w:color="auto" w:fill="FFFFFF" w:themeFill="background1"/>
      </w:tcPr>
    </w:tblStylePr>
    <w:tblStylePr w:type="band1Vert">
      <w:tblPr/>
      <w:tcPr>
        <w:shd w:val="clear" w:color="auto" w:fill="FFEDD2" w:themeFill="accent6" w:themeFillTint="33"/>
      </w:tcPr>
    </w:tblStylePr>
    <w:tblStylePr w:type="band1Horz">
      <w:tblPr/>
      <w:tcPr>
        <w:shd w:val="clear" w:color="auto" w:fill="FFEDD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5">
    <w:name w:val="macro"/>
    <w:link w:val="affff6"/>
    <w:uiPriority w:val="99"/>
    <w:semiHidden/>
    <w:unhideWhenUsed/>
    <w:rsid w:val="00F527CC"/>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lang w:val="en-US"/>
    </w:rPr>
  </w:style>
  <w:style w:type="character" w:customStyle="1" w:styleId="affff6">
    <w:name w:val="Текст макроса Знак"/>
    <w:basedOn w:val="a3"/>
    <w:link w:val="affff5"/>
    <w:uiPriority w:val="99"/>
    <w:semiHidden/>
    <w:rsid w:val="00F527CC"/>
    <w:rPr>
      <w:rFonts w:ascii="Consolas" w:hAnsi="Consolas"/>
      <w:sz w:val="20"/>
      <w:szCs w:val="20"/>
      <w:lang w:val="en-US"/>
    </w:rPr>
  </w:style>
  <w:style w:type="table" w:styleId="13">
    <w:name w:val="Medium Grid 1"/>
    <w:basedOn w:val="a4"/>
    <w:uiPriority w:val="67"/>
    <w:semiHidden/>
    <w:unhideWhenUsed/>
    <w:rsid w:val="00F527CC"/>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insideV w:val="single" w:sz="8" w:space="0" w:color="6F6F6F" w:themeColor="text1" w:themeTint="BF"/>
      </w:tblBorders>
    </w:tblPr>
    <w:tcPr>
      <w:shd w:val="clear" w:color="auto" w:fill="CFCFCF" w:themeFill="text1" w:themeFillTint="3F"/>
    </w:tcPr>
    <w:tblStylePr w:type="firstRow">
      <w:rPr>
        <w:b/>
        <w:bCs/>
      </w:rPr>
    </w:tblStylePr>
    <w:tblStylePr w:type="lastRow">
      <w:rPr>
        <w:b/>
        <w:bCs/>
      </w:rPr>
      <w:tblPr/>
      <w:tcPr>
        <w:tcBorders>
          <w:top w:val="single" w:sz="18" w:space="0" w:color="6F6F6F" w:themeColor="text1" w:themeTint="BF"/>
        </w:tcBorders>
      </w:tcPr>
    </w:tblStylePr>
    <w:tblStylePr w:type="firstCol">
      <w:rPr>
        <w:b/>
        <w:bCs/>
      </w:rPr>
    </w:tblStylePr>
    <w:tblStylePr w:type="lastCol">
      <w:rPr>
        <w:b/>
        <w:bCs/>
      </w:r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1-1">
    <w:name w:val="Medium Grid 1 Accent 1"/>
    <w:basedOn w:val="a4"/>
    <w:uiPriority w:val="67"/>
    <w:semiHidden/>
    <w:unhideWhenUsed/>
    <w:rsid w:val="00F527CC"/>
    <w:pPr>
      <w:spacing w:after="0" w:line="240" w:lineRule="auto"/>
    </w:pPr>
    <w:tblPr>
      <w:tblStyleRowBandSize w:val="1"/>
      <w:tblStyleColBandSize w:val="1"/>
      <w:tblBorders>
        <w:top w:val="single" w:sz="8" w:space="0" w:color="D5D5D7" w:themeColor="accent1" w:themeTint="BF"/>
        <w:left w:val="single" w:sz="8" w:space="0" w:color="D5D5D7" w:themeColor="accent1" w:themeTint="BF"/>
        <w:bottom w:val="single" w:sz="8" w:space="0" w:color="D5D5D7" w:themeColor="accent1" w:themeTint="BF"/>
        <w:right w:val="single" w:sz="8" w:space="0" w:color="D5D5D7" w:themeColor="accent1" w:themeTint="BF"/>
        <w:insideH w:val="single" w:sz="8" w:space="0" w:color="D5D5D7" w:themeColor="accent1" w:themeTint="BF"/>
        <w:insideV w:val="single" w:sz="8" w:space="0" w:color="D5D5D7" w:themeColor="accent1" w:themeTint="BF"/>
      </w:tblBorders>
    </w:tblPr>
    <w:tcPr>
      <w:shd w:val="clear" w:color="auto" w:fill="F1F1F2" w:themeFill="accent1" w:themeFillTint="3F"/>
    </w:tcPr>
    <w:tblStylePr w:type="firstRow">
      <w:rPr>
        <w:b/>
        <w:bCs/>
      </w:rPr>
    </w:tblStylePr>
    <w:tblStylePr w:type="lastRow">
      <w:rPr>
        <w:b/>
        <w:bCs/>
      </w:rPr>
      <w:tblPr/>
      <w:tcPr>
        <w:tcBorders>
          <w:top w:val="single" w:sz="18" w:space="0" w:color="D5D5D7" w:themeColor="accent1" w:themeTint="BF"/>
        </w:tcBorders>
      </w:tcPr>
    </w:tblStylePr>
    <w:tblStylePr w:type="firstCol">
      <w:rPr>
        <w:b/>
        <w:bCs/>
      </w:rPr>
    </w:tblStylePr>
    <w:tblStylePr w:type="lastCol">
      <w:rPr>
        <w:b/>
        <w:bCs/>
      </w:rPr>
    </w:tblStylePr>
    <w:tblStylePr w:type="band1Vert">
      <w:tblPr/>
      <w:tcPr>
        <w:shd w:val="clear" w:color="auto" w:fill="E3E3E4" w:themeFill="accent1" w:themeFillTint="7F"/>
      </w:tcPr>
    </w:tblStylePr>
    <w:tblStylePr w:type="band1Horz">
      <w:tblPr/>
      <w:tcPr>
        <w:shd w:val="clear" w:color="auto" w:fill="E3E3E4" w:themeFill="accent1" w:themeFillTint="7F"/>
      </w:tcPr>
    </w:tblStylePr>
  </w:style>
  <w:style w:type="table" w:styleId="1-2">
    <w:name w:val="Medium Grid 1 Accent 2"/>
    <w:basedOn w:val="a4"/>
    <w:uiPriority w:val="67"/>
    <w:semiHidden/>
    <w:unhideWhenUsed/>
    <w:rsid w:val="00F527CC"/>
    <w:pPr>
      <w:spacing w:after="0" w:line="240" w:lineRule="auto"/>
    </w:pPr>
    <w:tblPr>
      <w:tblStyleRowBandSize w:val="1"/>
      <w:tblStyleColBandSize w:val="1"/>
      <w:tblBorders>
        <w:top w:val="single" w:sz="8" w:space="0" w:color="ADAFB1" w:themeColor="accent2" w:themeTint="BF"/>
        <w:left w:val="single" w:sz="8" w:space="0" w:color="ADAFB1" w:themeColor="accent2" w:themeTint="BF"/>
        <w:bottom w:val="single" w:sz="8" w:space="0" w:color="ADAFB1" w:themeColor="accent2" w:themeTint="BF"/>
        <w:right w:val="single" w:sz="8" w:space="0" w:color="ADAFB1" w:themeColor="accent2" w:themeTint="BF"/>
        <w:insideH w:val="single" w:sz="8" w:space="0" w:color="ADAFB1" w:themeColor="accent2" w:themeTint="BF"/>
        <w:insideV w:val="single" w:sz="8" w:space="0" w:color="ADAFB1" w:themeColor="accent2" w:themeTint="BF"/>
      </w:tblBorders>
    </w:tblPr>
    <w:tcPr>
      <w:shd w:val="clear" w:color="auto" w:fill="E4E4E5" w:themeFill="accent2" w:themeFillTint="3F"/>
    </w:tcPr>
    <w:tblStylePr w:type="firstRow">
      <w:rPr>
        <w:b/>
        <w:bCs/>
      </w:rPr>
    </w:tblStylePr>
    <w:tblStylePr w:type="lastRow">
      <w:rPr>
        <w:b/>
        <w:bCs/>
      </w:rPr>
      <w:tblPr/>
      <w:tcPr>
        <w:tcBorders>
          <w:top w:val="single" w:sz="18" w:space="0" w:color="ADAFB1" w:themeColor="accent2" w:themeTint="BF"/>
        </w:tcBorders>
      </w:tcPr>
    </w:tblStylePr>
    <w:tblStylePr w:type="firstCol">
      <w:rPr>
        <w:b/>
        <w:bCs/>
      </w:rPr>
    </w:tblStylePr>
    <w:tblStylePr w:type="lastCol">
      <w:rPr>
        <w:b/>
        <w:bCs/>
      </w:rPr>
    </w:tblStylePr>
    <w:tblStylePr w:type="band1Vert">
      <w:tblPr/>
      <w:tcPr>
        <w:shd w:val="clear" w:color="auto" w:fill="C9CACB" w:themeFill="accent2" w:themeFillTint="7F"/>
      </w:tcPr>
    </w:tblStylePr>
    <w:tblStylePr w:type="band1Horz">
      <w:tblPr/>
      <w:tcPr>
        <w:shd w:val="clear" w:color="auto" w:fill="C9CACB" w:themeFill="accent2" w:themeFillTint="7F"/>
      </w:tcPr>
    </w:tblStylePr>
  </w:style>
  <w:style w:type="table" w:styleId="1-3">
    <w:name w:val="Medium Grid 1 Accent 3"/>
    <w:basedOn w:val="a4"/>
    <w:uiPriority w:val="67"/>
    <w:semiHidden/>
    <w:unhideWhenUsed/>
    <w:rsid w:val="00F527CC"/>
    <w:pPr>
      <w:spacing w:after="0" w:line="240" w:lineRule="auto"/>
    </w:pPr>
    <w:tblPr>
      <w:tblStyleRowBandSize w:val="1"/>
      <w:tblStyleColBandSize w:val="1"/>
      <w:tblBorders>
        <w:top w:val="single" w:sz="8" w:space="0" w:color="898A8C" w:themeColor="accent3" w:themeTint="BF"/>
        <w:left w:val="single" w:sz="8" w:space="0" w:color="898A8C" w:themeColor="accent3" w:themeTint="BF"/>
        <w:bottom w:val="single" w:sz="8" w:space="0" w:color="898A8C" w:themeColor="accent3" w:themeTint="BF"/>
        <w:right w:val="single" w:sz="8" w:space="0" w:color="898A8C" w:themeColor="accent3" w:themeTint="BF"/>
        <w:insideH w:val="single" w:sz="8" w:space="0" w:color="898A8C" w:themeColor="accent3" w:themeTint="BF"/>
        <w:insideV w:val="single" w:sz="8" w:space="0" w:color="898A8C" w:themeColor="accent3" w:themeTint="BF"/>
      </w:tblBorders>
    </w:tblPr>
    <w:tcPr>
      <w:shd w:val="clear" w:color="auto" w:fill="D8D8D9" w:themeFill="accent3" w:themeFillTint="3F"/>
    </w:tcPr>
    <w:tblStylePr w:type="firstRow">
      <w:rPr>
        <w:b/>
        <w:bCs/>
      </w:rPr>
    </w:tblStylePr>
    <w:tblStylePr w:type="lastRow">
      <w:rPr>
        <w:b/>
        <w:bCs/>
      </w:rPr>
      <w:tblPr/>
      <w:tcPr>
        <w:tcBorders>
          <w:top w:val="single" w:sz="18" w:space="0" w:color="898A8C" w:themeColor="accent3" w:themeTint="BF"/>
        </w:tcBorders>
      </w:tcPr>
    </w:tblStylePr>
    <w:tblStylePr w:type="firstCol">
      <w:rPr>
        <w:b/>
        <w:bCs/>
      </w:rPr>
    </w:tblStylePr>
    <w:tblStylePr w:type="lastCol">
      <w:rPr>
        <w:b/>
        <w:bCs/>
      </w:rPr>
    </w:tblStylePr>
    <w:tblStylePr w:type="band1Vert">
      <w:tblPr/>
      <w:tcPr>
        <w:shd w:val="clear" w:color="auto" w:fill="B0B1B3" w:themeFill="accent3" w:themeFillTint="7F"/>
      </w:tcPr>
    </w:tblStylePr>
    <w:tblStylePr w:type="band1Horz">
      <w:tblPr/>
      <w:tcPr>
        <w:shd w:val="clear" w:color="auto" w:fill="B0B1B3" w:themeFill="accent3" w:themeFillTint="7F"/>
      </w:tcPr>
    </w:tblStylePr>
  </w:style>
  <w:style w:type="table" w:styleId="1-4">
    <w:name w:val="Medium Grid 1 Accent 4"/>
    <w:basedOn w:val="a4"/>
    <w:uiPriority w:val="67"/>
    <w:semiHidden/>
    <w:unhideWhenUsed/>
    <w:rsid w:val="00F527CC"/>
    <w:pPr>
      <w:spacing w:after="0" w:line="240" w:lineRule="auto"/>
    </w:pPr>
    <w:tblPr>
      <w:tblStyleRowBandSize w:val="1"/>
      <w:tblStyleColBandSize w:val="1"/>
      <w:tblBorders>
        <w:top w:val="single" w:sz="8" w:space="0" w:color="E34E57" w:themeColor="accent4" w:themeTint="BF"/>
        <w:left w:val="single" w:sz="8" w:space="0" w:color="E34E57" w:themeColor="accent4" w:themeTint="BF"/>
        <w:bottom w:val="single" w:sz="8" w:space="0" w:color="E34E57" w:themeColor="accent4" w:themeTint="BF"/>
        <w:right w:val="single" w:sz="8" w:space="0" w:color="E34E57" w:themeColor="accent4" w:themeTint="BF"/>
        <w:insideH w:val="single" w:sz="8" w:space="0" w:color="E34E57" w:themeColor="accent4" w:themeTint="BF"/>
        <w:insideV w:val="single" w:sz="8" w:space="0" w:color="E34E57" w:themeColor="accent4" w:themeTint="BF"/>
      </w:tblBorders>
    </w:tblPr>
    <w:tcPr>
      <w:shd w:val="clear" w:color="auto" w:fill="F6C4C7" w:themeFill="accent4" w:themeFillTint="3F"/>
    </w:tcPr>
    <w:tblStylePr w:type="firstRow">
      <w:rPr>
        <w:b/>
        <w:bCs/>
      </w:rPr>
    </w:tblStylePr>
    <w:tblStylePr w:type="lastRow">
      <w:rPr>
        <w:b/>
        <w:bCs/>
      </w:rPr>
      <w:tblPr/>
      <w:tcPr>
        <w:tcBorders>
          <w:top w:val="single" w:sz="18" w:space="0" w:color="E34E57" w:themeColor="accent4" w:themeTint="BF"/>
        </w:tcBorders>
      </w:tcPr>
    </w:tblStylePr>
    <w:tblStylePr w:type="firstCol">
      <w:rPr>
        <w:b/>
        <w:bCs/>
      </w:rPr>
    </w:tblStylePr>
    <w:tblStylePr w:type="lastCol">
      <w:rPr>
        <w:b/>
        <w:bCs/>
      </w:rPr>
    </w:tblStylePr>
    <w:tblStylePr w:type="band1Vert">
      <w:tblPr/>
      <w:tcPr>
        <w:shd w:val="clear" w:color="auto" w:fill="EC898F" w:themeFill="accent4" w:themeFillTint="7F"/>
      </w:tcPr>
    </w:tblStylePr>
    <w:tblStylePr w:type="band1Horz">
      <w:tblPr/>
      <w:tcPr>
        <w:shd w:val="clear" w:color="auto" w:fill="EC898F" w:themeFill="accent4" w:themeFillTint="7F"/>
      </w:tcPr>
    </w:tblStylePr>
  </w:style>
  <w:style w:type="table" w:styleId="1-5">
    <w:name w:val="Medium Grid 1 Accent 5"/>
    <w:basedOn w:val="a4"/>
    <w:uiPriority w:val="67"/>
    <w:semiHidden/>
    <w:unhideWhenUsed/>
    <w:rsid w:val="00F527CC"/>
    <w:pPr>
      <w:spacing w:after="0" w:line="240" w:lineRule="auto"/>
    </w:pPr>
    <w:tblPr>
      <w:tblStyleRowBandSize w:val="1"/>
      <w:tblStyleColBandSize w:val="1"/>
      <w:tblBorders>
        <w:top w:val="single" w:sz="8" w:space="0" w:color="007FFF" w:themeColor="accent5" w:themeTint="BF"/>
        <w:left w:val="single" w:sz="8" w:space="0" w:color="007FFF" w:themeColor="accent5" w:themeTint="BF"/>
        <w:bottom w:val="single" w:sz="8" w:space="0" w:color="007FFF" w:themeColor="accent5" w:themeTint="BF"/>
        <w:right w:val="single" w:sz="8" w:space="0" w:color="007FFF" w:themeColor="accent5" w:themeTint="BF"/>
        <w:insideH w:val="single" w:sz="8" w:space="0" w:color="007FFF" w:themeColor="accent5" w:themeTint="BF"/>
        <w:insideV w:val="single" w:sz="8" w:space="0" w:color="007FFF" w:themeColor="accent5" w:themeTint="BF"/>
      </w:tblBorders>
    </w:tblPr>
    <w:tcPr>
      <w:shd w:val="clear" w:color="auto" w:fill="ABD4FF" w:themeFill="accent5" w:themeFillTint="3F"/>
    </w:tcPr>
    <w:tblStylePr w:type="firstRow">
      <w:rPr>
        <w:b/>
        <w:bCs/>
      </w:rPr>
    </w:tblStylePr>
    <w:tblStylePr w:type="lastRow">
      <w:rPr>
        <w:b/>
        <w:bCs/>
      </w:rPr>
      <w:tblPr/>
      <w:tcPr>
        <w:tcBorders>
          <w:top w:val="single" w:sz="18" w:space="0" w:color="007FFF" w:themeColor="accent5" w:themeTint="BF"/>
        </w:tcBorders>
      </w:tcPr>
    </w:tblStylePr>
    <w:tblStylePr w:type="firstCol">
      <w:rPr>
        <w:b/>
        <w:bCs/>
      </w:rPr>
    </w:tblStylePr>
    <w:tblStylePr w:type="lastCol">
      <w:rPr>
        <w:b/>
        <w:bCs/>
      </w:rPr>
    </w:tblStylePr>
    <w:tblStylePr w:type="band1Vert">
      <w:tblPr/>
      <w:tcPr>
        <w:shd w:val="clear" w:color="auto" w:fill="55AAFF" w:themeFill="accent5" w:themeFillTint="7F"/>
      </w:tcPr>
    </w:tblStylePr>
    <w:tblStylePr w:type="band1Horz">
      <w:tblPr/>
      <w:tcPr>
        <w:shd w:val="clear" w:color="auto" w:fill="55AAFF" w:themeFill="accent5" w:themeFillTint="7F"/>
      </w:tcPr>
    </w:tblStylePr>
  </w:style>
  <w:style w:type="table" w:styleId="1-6">
    <w:name w:val="Medium Grid 1 Accent 6"/>
    <w:basedOn w:val="a4"/>
    <w:uiPriority w:val="67"/>
    <w:semiHidden/>
    <w:unhideWhenUsed/>
    <w:rsid w:val="00F527CC"/>
    <w:pPr>
      <w:spacing w:after="0" w:line="240" w:lineRule="auto"/>
    </w:pPr>
    <w:tblPr>
      <w:tblStyleRowBandSize w:val="1"/>
      <w:tblStyleColBandSize w:val="1"/>
      <w:tblBorders>
        <w:top w:val="single" w:sz="8" w:space="0" w:color="FFBE59" w:themeColor="accent6" w:themeTint="BF"/>
        <w:left w:val="single" w:sz="8" w:space="0" w:color="FFBE59" w:themeColor="accent6" w:themeTint="BF"/>
        <w:bottom w:val="single" w:sz="8" w:space="0" w:color="FFBE59" w:themeColor="accent6" w:themeTint="BF"/>
        <w:right w:val="single" w:sz="8" w:space="0" w:color="FFBE59" w:themeColor="accent6" w:themeTint="BF"/>
        <w:insideH w:val="single" w:sz="8" w:space="0" w:color="FFBE59" w:themeColor="accent6" w:themeTint="BF"/>
        <w:insideV w:val="single" w:sz="8" w:space="0" w:color="FFBE59" w:themeColor="accent6" w:themeTint="BF"/>
      </w:tblBorders>
    </w:tblPr>
    <w:tcPr>
      <w:shd w:val="clear" w:color="auto" w:fill="FFE9C8" w:themeFill="accent6" w:themeFillTint="3F"/>
    </w:tcPr>
    <w:tblStylePr w:type="firstRow">
      <w:rPr>
        <w:b/>
        <w:bCs/>
      </w:rPr>
    </w:tblStylePr>
    <w:tblStylePr w:type="lastRow">
      <w:rPr>
        <w:b/>
        <w:bCs/>
      </w:rPr>
      <w:tblPr/>
      <w:tcPr>
        <w:tcBorders>
          <w:top w:val="single" w:sz="18" w:space="0" w:color="FFBE59" w:themeColor="accent6" w:themeTint="BF"/>
        </w:tcBorders>
      </w:tcPr>
    </w:tblStylePr>
    <w:tblStylePr w:type="firstCol">
      <w:rPr>
        <w:b/>
        <w:bCs/>
      </w:rPr>
    </w:tblStylePr>
    <w:tblStylePr w:type="lastCol">
      <w:rPr>
        <w:b/>
        <w:bCs/>
      </w:rPr>
    </w:tblStylePr>
    <w:tblStylePr w:type="band1Vert">
      <w:tblPr/>
      <w:tcPr>
        <w:shd w:val="clear" w:color="auto" w:fill="FFD490" w:themeFill="accent6" w:themeFillTint="7F"/>
      </w:tcPr>
    </w:tblStylePr>
    <w:tblStylePr w:type="band1Horz">
      <w:tblPr/>
      <w:tcPr>
        <w:shd w:val="clear" w:color="auto" w:fill="FFD490" w:themeFill="accent6" w:themeFillTint="7F"/>
      </w:tcPr>
    </w:tblStylePr>
  </w:style>
  <w:style w:type="table" w:styleId="2f0">
    <w:name w:val="Medium Grid 2"/>
    <w:basedOn w:val="a4"/>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cPr>
      <w:shd w:val="clear" w:color="auto" w:fill="CFCFCF" w:themeFill="text1" w:themeFillTint="3F"/>
    </w:tcPr>
    <w:tblStylePr w:type="firstRow">
      <w:rPr>
        <w:b/>
        <w:bCs/>
        <w:color w:val="404040" w:themeColor="text1"/>
      </w:rPr>
      <w:tblPr/>
      <w:tcPr>
        <w:shd w:val="clear" w:color="auto" w:fill="ECECEC" w:themeFill="tex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F9F9F" w:themeFill="text1" w:themeFillTint="7F"/>
      </w:tcPr>
    </w:tblStylePr>
    <w:tblStylePr w:type="band1Horz">
      <w:tblPr/>
      <w:tcPr>
        <w:tcBorders>
          <w:insideH w:val="single" w:sz="6" w:space="0" w:color="404040" w:themeColor="text1"/>
          <w:insideV w:val="single" w:sz="6" w:space="0" w:color="404040" w:themeColor="text1"/>
        </w:tcBorders>
        <w:shd w:val="clear" w:color="auto" w:fill="9F9F9F" w:themeFill="text1" w:themeFillTint="7F"/>
      </w:tcPr>
    </w:tblStylePr>
    <w:tblStylePr w:type="nwCell">
      <w:tblPr/>
      <w:tcPr>
        <w:shd w:val="clear" w:color="auto" w:fill="FFFFFF" w:themeFill="background1"/>
      </w:tcPr>
    </w:tblStylePr>
  </w:style>
  <w:style w:type="table" w:styleId="2-1">
    <w:name w:val="Medium Grid 2 Accent 1"/>
    <w:basedOn w:val="a4"/>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7C8CA" w:themeColor="accent1"/>
        <w:left w:val="single" w:sz="8" w:space="0" w:color="C7C8CA" w:themeColor="accent1"/>
        <w:bottom w:val="single" w:sz="8" w:space="0" w:color="C7C8CA" w:themeColor="accent1"/>
        <w:right w:val="single" w:sz="8" w:space="0" w:color="C7C8CA" w:themeColor="accent1"/>
        <w:insideH w:val="single" w:sz="8" w:space="0" w:color="C7C8CA" w:themeColor="accent1"/>
        <w:insideV w:val="single" w:sz="8" w:space="0" w:color="C7C8CA" w:themeColor="accent1"/>
      </w:tblBorders>
    </w:tblPr>
    <w:tcPr>
      <w:shd w:val="clear" w:color="auto" w:fill="F1F1F2" w:themeFill="accent1" w:themeFillTint="3F"/>
    </w:tcPr>
    <w:tblStylePr w:type="firstRow">
      <w:rPr>
        <w:b/>
        <w:bCs/>
        <w:color w:val="404040" w:themeColor="text1"/>
      </w:rPr>
      <w:tblPr/>
      <w:tcPr>
        <w:shd w:val="clear" w:color="auto" w:fill="F9F9F9" w:themeFill="accen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3F3F4" w:themeFill="accent1" w:themeFillTint="33"/>
      </w:tcPr>
    </w:tblStylePr>
    <w:tblStylePr w:type="band1Vert">
      <w:tblPr/>
      <w:tcPr>
        <w:shd w:val="clear" w:color="auto" w:fill="E3E3E4" w:themeFill="accent1" w:themeFillTint="7F"/>
      </w:tcPr>
    </w:tblStylePr>
    <w:tblStylePr w:type="band1Horz">
      <w:tblPr/>
      <w:tcPr>
        <w:tcBorders>
          <w:insideH w:val="single" w:sz="6" w:space="0" w:color="C7C8CA" w:themeColor="accent1"/>
          <w:insideV w:val="single" w:sz="6" w:space="0" w:color="C7C8CA" w:themeColor="accent1"/>
        </w:tcBorders>
        <w:shd w:val="clear" w:color="auto" w:fill="E3E3E4" w:themeFill="accent1" w:themeFillTint="7F"/>
      </w:tcPr>
    </w:tblStylePr>
    <w:tblStylePr w:type="nwCell">
      <w:tblPr/>
      <w:tcPr>
        <w:shd w:val="clear" w:color="auto" w:fill="FFFFFF" w:themeFill="background1"/>
      </w:tcPr>
    </w:tblStylePr>
  </w:style>
  <w:style w:type="table" w:styleId="2-2">
    <w:name w:val="Medium Grid 2 Accent 2"/>
    <w:basedOn w:val="a4"/>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939598" w:themeColor="accent2"/>
        <w:left w:val="single" w:sz="8" w:space="0" w:color="939598" w:themeColor="accent2"/>
        <w:bottom w:val="single" w:sz="8" w:space="0" w:color="939598" w:themeColor="accent2"/>
        <w:right w:val="single" w:sz="8" w:space="0" w:color="939598" w:themeColor="accent2"/>
        <w:insideH w:val="single" w:sz="8" w:space="0" w:color="939598" w:themeColor="accent2"/>
        <w:insideV w:val="single" w:sz="8" w:space="0" w:color="939598" w:themeColor="accent2"/>
      </w:tblBorders>
    </w:tblPr>
    <w:tcPr>
      <w:shd w:val="clear" w:color="auto" w:fill="E4E4E5" w:themeFill="accent2" w:themeFillTint="3F"/>
    </w:tcPr>
    <w:tblStylePr w:type="firstRow">
      <w:rPr>
        <w:b/>
        <w:bCs/>
        <w:color w:val="404040" w:themeColor="text1"/>
      </w:rPr>
      <w:tblPr/>
      <w:tcPr>
        <w:shd w:val="clear" w:color="auto" w:fill="F4F4F4" w:themeFill="accent2"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9E9EA" w:themeFill="accent2" w:themeFillTint="33"/>
      </w:tcPr>
    </w:tblStylePr>
    <w:tblStylePr w:type="band1Vert">
      <w:tblPr/>
      <w:tcPr>
        <w:shd w:val="clear" w:color="auto" w:fill="C9CACB" w:themeFill="accent2" w:themeFillTint="7F"/>
      </w:tcPr>
    </w:tblStylePr>
    <w:tblStylePr w:type="band1Horz">
      <w:tblPr/>
      <w:tcPr>
        <w:tcBorders>
          <w:insideH w:val="single" w:sz="6" w:space="0" w:color="939598" w:themeColor="accent2"/>
          <w:insideV w:val="single" w:sz="6" w:space="0" w:color="939598" w:themeColor="accent2"/>
        </w:tcBorders>
        <w:shd w:val="clear" w:color="auto" w:fill="C9CACB" w:themeFill="accent2" w:themeFillTint="7F"/>
      </w:tcPr>
    </w:tblStylePr>
    <w:tblStylePr w:type="nwCell">
      <w:tblPr/>
      <w:tcPr>
        <w:shd w:val="clear" w:color="auto" w:fill="FFFFFF" w:themeFill="background1"/>
      </w:tcPr>
    </w:tblStylePr>
  </w:style>
  <w:style w:type="table" w:styleId="2-3">
    <w:name w:val="Medium Grid 2 Accent 3"/>
    <w:basedOn w:val="a4"/>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636466" w:themeColor="accent3"/>
        <w:left w:val="single" w:sz="8" w:space="0" w:color="636466" w:themeColor="accent3"/>
        <w:bottom w:val="single" w:sz="8" w:space="0" w:color="636466" w:themeColor="accent3"/>
        <w:right w:val="single" w:sz="8" w:space="0" w:color="636466" w:themeColor="accent3"/>
        <w:insideH w:val="single" w:sz="8" w:space="0" w:color="636466" w:themeColor="accent3"/>
        <w:insideV w:val="single" w:sz="8" w:space="0" w:color="636466" w:themeColor="accent3"/>
      </w:tblBorders>
    </w:tblPr>
    <w:tcPr>
      <w:shd w:val="clear" w:color="auto" w:fill="D8D8D9" w:themeFill="accent3" w:themeFillTint="3F"/>
    </w:tcPr>
    <w:tblStylePr w:type="firstRow">
      <w:rPr>
        <w:b/>
        <w:bCs/>
        <w:color w:val="404040" w:themeColor="text1"/>
      </w:rPr>
      <w:tblPr/>
      <w:tcPr>
        <w:shd w:val="clear" w:color="auto" w:fill="EFEFF0" w:themeFill="accent3"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FDFE0" w:themeFill="accent3" w:themeFillTint="33"/>
      </w:tcPr>
    </w:tblStylePr>
    <w:tblStylePr w:type="band1Vert">
      <w:tblPr/>
      <w:tcPr>
        <w:shd w:val="clear" w:color="auto" w:fill="B0B1B3" w:themeFill="accent3" w:themeFillTint="7F"/>
      </w:tcPr>
    </w:tblStylePr>
    <w:tblStylePr w:type="band1Horz">
      <w:tblPr/>
      <w:tcPr>
        <w:tcBorders>
          <w:insideH w:val="single" w:sz="6" w:space="0" w:color="636466" w:themeColor="accent3"/>
          <w:insideV w:val="single" w:sz="6" w:space="0" w:color="636466" w:themeColor="accent3"/>
        </w:tcBorders>
        <w:shd w:val="clear" w:color="auto" w:fill="B0B1B3" w:themeFill="accent3" w:themeFillTint="7F"/>
      </w:tcPr>
    </w:tblStylePr>
    <w:tblStylePr w:type="nwCell">
      <w:tblPr/>
      <w:tcPr>
        <w:shd w:val="clear" w:color="auto" w:fill="FFFFFF" w:themeFill="background1"/>
      </w:tcPr>
    </w:tblStylePr>
  </w:style>
  <w:style w:type="table" w:styleId="2-4">
    <w:name w:val="Medium Grid 2 Accent 4"/>
    <w:basedOn w:val="a4"/>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D202C" w:themeColor="accent4"/>
        <w:left w:val="single" w:sz="8" w:space="0" w:color="CD202C" w:themeColor="accent4"/>
        <w:bottom w:val="single" w:sz="8" w:space="0" w:color="CD202C" w:themeColor="accent4"/>
        <w:right w:val="single" w:sz="8" w:space="0" w:color="CD202C" w:themeColor="accent4"/>
        <w:insideH w:val="single" w:sz="8" w:space="0" w:color="CD202C" w:themeColor="accent4"/>
        <w:insideV w:val="single" w:sz="8" w:space="0" w:color="CD202C" w:themeColor="accent4"/>
      </w:tblBorders>
    </w:tblPr>
    <w:tcPr>
      <w:shd w:val="clear" w:color="auto" w:fill="F6C4C7" w:themeFill="accent4" w:themeFillTint="3F"/>
    </w:tcPr>
    <w:tblStylePr w:type="firstRow">
      <w:rPr>
        <w:b/>
        <w:bCs/>
        <w:color w:val="404040" w:themeColor="text1"/>
      </w:rPr>
      <w:tblPr/>
      <w:tcPr>
        <w:shd w:val="clear" w:color="auto" w:fill="FBE7E8" w:themeFill="accent4"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7CFD2" w:themeFill="accent4" w:themeFillTint="33"/>
      </w:tcPr>
    </w:tblStylePr>
    <w:tblStylePr w:type="band1Vert">
      <w:tblPr/>
      <w:tcPr>
        <w:shd w:val="clear" w:color="auto" w:fill="EC898F" w:themeFill="accent4" w:themeFillTint="7F"/>
      </w:tcPr>
    </w:tblStylePr>
    <w:tblStylePr w:type="band1Horz">
      <w:tblPr/>
      <w:tcPr>
        <w:tcBorders>
          <w:insideH w:val="single" w:sz="6" w:space="0" w:color="CD202C" w:themeColor="accent4"/>
          <w:insideV w:val="single" w:sz="6" w:space="0" w:color="CD202C" w:themeColor="accent4"/>
        </w:tcBorders>
        <w:shd w:val="clear" w:color="auto" w:fill="EC898F" w:themeFill="accent4" w:themeFillTint="7F"/>
      </w:tcPr>
    </w:tblStylePr>
    <w:tblStylePr w:type="nwCell">
      <w:tblPr/>
      <w:tcPr>
        <w:shd w:val="clear" w:color="auto" w:fill="FFFFFF" w:themeFill="background1"/>
      </w:tcPr>
    </w:tblStylePr>
  </w:style>
  <w:style w:type="table" w:styleId="2-5">
    <w:name w:val="Medium Grid 2 Accent 5"/>
    <w:basedOn w:val="a4"/>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0055AA" w:themeColor="accent5"/>
        <w:left w:val="single" w:sz="8" w:space="0" w:color="0055AA" w:themeColor="accent5"/>
        <w:bottom w:val="single" w:sz="8" w:space="0" w:color="0055AA" w:themeColor="accent5"/>
        <w:right w:val="single" w:sz="8" w:space="0" w:color="0055AA" w:themeColor="accent5"/>
        <w:insideH w:val="single" w:sz="8" w:space="0" w:color="0055AA" w:themeColor="accent5"/>
        <w:insideV w:val="single" w:sz="8" w:space="0" w:color="0055AA" w:themeColor="accent5"/>
      </w:tblBorders>
    </w:tblPr>
    <w:tcPr>
      <w:shd w:val="clear" w:color="auto" w:fill="ABD4FF" w:themeFill="accent5" w:themeFillTint="3F"/>
    </w:tcPr>
    <w:tblStylePr w:type="firstRow">
      <w:rPr>
        <w:b/>
        <w:bCs/>
        <w:color w:val="404040" w:themeColor="text1"/>
      </w:rPr>
      <w:tblPr/>
      <w:tcPr>
        <w:shd w:val="clear" w:color="auto" w:fill="DDEEFF" w:themeFill="accent5"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BBDCFF" w:themeFill="accent5" w:themeFillTint="33"/>
      </w:tcPr>
    </w:tblStylePr>
    <w:tblStylePr w:type="band1Vert">
      <w:tblPr/>
      <w:tcPr>
        <w:shd w:val="clear" w:color="auto" w:fill="55AAFF" w:themeFill="accent5" w:themeFillTint="7F"/>
      </w:tcPr>
    </w:tblStylePr>
    <w:tblStylePr w:type="band1Horz">
      <w:tblPr/>
      <w:tcPr>
        <w:tcBorders>
          <w:insideH w:val="single" w:sz="6" w:space="0" w:color="0055AA" w:themeColor="accent5"/>
          <w:insideV w:val="single" w:sz="6" w:space="0" w:color="0055AA" w:themeColor="accent5"/>
        </w:tcBorders>
        <w:shd w:val="clear" w:color="auto" w:fill="55AAFF" w:themeFill="accent5" w:themeFillTint="7F"/>
      </w:tcPr>
    </w:tblStylePr>
    <w:tblStylePr w:type="nwCell">
      <w:tblPr/>
      <w:tcPr>
        <w:shd w:val="clear" w:color="auto" w:fill="FFFFFF" w:themeFill="background1"/>
      </w:tcPr>
    </w:tblStylePr>
  </w:style>
  <w:style w:type="table" w:styleId="2-6">
    <w:name w:val="Medium Grid 2 Accent 6"/>
    <w:basedOn w:val="a4"/>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FFAA22" w:themeColor="accent6"/>
        <w:left w:val="single" w:sz="8" w:space="0" w:color="FFAA22" w:themeColor="accent6"/>
        <w:bottom w:val="single" w:sz="8" w:space="0" w:color="FFAA22" w:themeColor="accent6"/>
        <w:right w:val="single" w:sz="8" w:space="0" w:color="FFAA22" w:themeColor="accent6"/>
        <w:insideH w:val="single" w:sz="8" w:space="0" w:color="FFAA22" w:themeColor="accent6"/>
        <w:insideV w:val="single" w:sz="8" w:space="0" w:color="FFAA22" w:themeColor="accent6"/>
      </w:tblBorders>
    </w:tblPr>
    <w:tcPr>
      <w:shd w:val="clear" w:color="auto" w:fill="FFE9C8" w:themeFill="accent6" w:themeFillTint="3F"/>
    </w:tcPr>
    <w:tblStylePr w:type="firstRow">
      <w:rPr>
        <w:b/>
        <w:bCs/>
        <w:color w:val="404040" w:themeColor="text1"/>
      </w:rPr>
      <w:tblPr/>
      <w:tcPr>
        <w:shd w:val="clear" w:color="auto" w:fill="FFF6E9" w:themeFill="accent6"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FEDD2" w:themeFill="accent6" w:themeFillTint="33"/>
      </w:tcPr>
    </w:tblStylePr>
    <w:tblStylePr w:type="band1Vert">
      <w:tblPr/>
      <w:tcPr>
        <w:shd w:val="clear" w:color="auto" w:fill="FFD490" w:themeFill="accent6" w:themeFillTint="7F"/>
      </w:tcPr>
    </w:tblStylePr>
    <w:tblStylePr w:type="band1Horz">
      <w:tblPr/>
      <w:tcPr>
        <w:tcBorders>
          <w:insideH w:val="single" w:sz="6" w:space="0" w:color="FFAA22" w:themeColor="accent6"/>
          <w:insideV w:val="single" w:sz="6" w:space="0" w:color="FFAA22" w:themeColor="accent6"/>
        </w:tcBorders>
        <w:shd w:val="clear" w:color="auto" w:fill="FFD490" w:themeFill="accent6" w:themeFillTint="7F"/>
      </w:tcPr>
    </w:tblStylePr>
    <w:tblStylePr w:type="nwCell">
      <w:tblPr/>
      <w:tcPr>
        <w:shd w:val="clear" w:color="auto" w:fill="FFFFFF" w:themeFill="background1"/>
      </w:tcPr>
    </w:tblStylePr>
  </w:style>
  <w:style w:type="table" w:styleId="3b">
    <w:name w:val="Medium Grid 3"/>
    <w:basedOn w:val="a4"/>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text1" w:themeFillTint="7F"/>
      </w:tcPr>
    </w:tblStylePr>
  </w:style>
  <w:style w:type="table" w:styleId="3-1">
    <w:name w:val="Medium Grid 3 Accent 1"/>
    <w:basedOn w:val="a4"/>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1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C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C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C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C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3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3E4" w:themeFill="accent1" w:themeFillTint="7F"/>
      </w:tcPr>
    </w:tblStylePr>
  </w:style>
  <w:style w:type="table" w:styleId="3-2">
    <w:name w:val="Medium Grid 3 Accent 2"/>
    <w:basedOn w:val="a4"/>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4E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959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959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959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959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CAC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CACB" w:themeFill="accent2" w:themeFillTint="7F"/>
      </w:tcPr>
    </w:tblStylePr>
  </w:style>
  <w:style w:type="table" w:styleId="3-3">
    <w:name w:val="Medium Grid 3 Accent 3"/>
    <w:basedOn w:val="a4"/>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8D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646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646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646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646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B1B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B1B3" w:themeFill="accent3" w:themeFillTint="7F"/>
      </w:tcPr>
    </w:tblStylePr>
  </w:style>
  <w:style w:type="table" w:styleId="3-4">
    <w:name w:val="Medium Grid 3 Accent 4"/>
    <w:basedOn w:val="a4"/>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C4C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202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202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202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202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898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898F" w:themeFill="accent4" w:themeFillTint="7F"/>
      </w:tcPr>
    </w:tblStylePr>
  </w:style>
  <w:style w:type="table" w:styleId="3-5">
    <w:name w:val="Medium Grid 3 Accent 5"/>
    <w:basedOn w:val="a4"/>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D4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A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A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A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A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AA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AAFF" w:themeFill="accent5" w:themeFillTint="7F"/>
      </w:tcPr>
    </w:tblStylePr>
  </w:style>
  <w:style w:type="table" w:styleId="3-6">
    <w:name w:val="Medium Grid 3 Accent 6"/>
    <w:basedOn w:val="a4"/>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C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A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A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A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A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9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90" w:themeFill="accent6" w:themeFillTint="7F"/>
      </w:tcPr>
    </w:tblStylePr>
  </w:style>
  <w:style w:type="table" w:styleId="14">
    <w:name w:val="Medium List 1"/>
    <w:basedOn w:val="a4"/>
    <w:uiPriority w:val="65"/>
    <w:semiHidden/>
    <w:unhideWhenUsed/>
    <w:rsid w:val="00F527CC"/>
    <w:pPr>
      <w:spacing w:after="0" w:line="240" w:lineRule="auto"/>
    </w:pPr>
    <w:rPr>
      <w:color w:val="404040" w:themeColor="text1"/>
    </w:rPr>
    <w:tblPr>
      <w:tblStyleRowBandSize w:val="1"/>
      <w:tblStyleColBandSize w:val="1"/>
      <w:tblBorders>
        <w:top w:val="single" w:sz="8" w:space="0" w:color="404040" w:themeColor="text1"/>
        <w:bottom w:val="single" w:sz="8" w:space="0" w:color="404040" w:themeColor="text1"/>
      </w:tblBorders>
    </w:tblPr>
    <w:tblStylePr w:type="firstRow">
      <w:rPr>
        <w:rFonts w:asciiTheme="majorHAnsi" w:eastAsiaTheme="majorEastAsia" w:hAnsiTheme="majorHAnsi" w:cstheme="majorBidi"/>
      </w:rPr>
      <w:tblPr/>
      <w:tcPr>
        <w:tcBorders>
          <w:top w:val="nil"/>
          <w:bottom w:val="single" w:sz="8" w:space="0" w:color="404040" w:themeColor="text1"/>
        </w:tcBorders>
      </w:tcPr>
    </w:tblStylePr>
    <w:tblStylePr w:type="lastRow">
      <w:rPr>
        <w:b/>
        <w:bCs/>
        <w:color w:val="FFFFFF" w:themeColor="text2"/>
      </w:rPr>
      <w:tblPr/>
      <w:tcPr>
        <w:tcBorders>
          <w:top w:val="single" w:sz="8" w:space="0" w:color="404040" w:themeColor="text1"/>
          <w:bottom w:val="single" w:sz="8" w:space="0" w:color="404040" w:themeColor="text1"/>
        </w:tcBorders>
      </w:tcPr>
    </w:tblStylePr>
    <w:tblStylePr w:type="firstCol">
      <w:rPr>
        <w:b/>
        <w:bCs/>
      </w:rPr>
    </w:tblStylePr>
    <w:tblStylePr w:type="lastCol">
      <w:rPr>
        <w:b/>
        <w:bCs/>
      </w:rPr>
      <w:tblPr/>
      <w:tcPr>
        <w:tcBorders>
          <w:top w:val="single" w:sz="8" w:space="0" w:color="404040" w:themeColor="text1"/>
          <w:bottom w:val="single" w:sz="8" w:space="0" w:color="404040"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table" w:styleId="1-10">
    <w:name w:val="Medium List 1 Accent 1"/>
    <w:basedOn w:val="a4"/>
    <w:uiPriority w:val="65"/>
    <w:semiHidden/>
    <w:unhideWhenUsed/>
    <w:rsid w:val="00F527CC"/>
    <w:pPr>
      <w:spacing w:after="0" w:line="240" w:lineRule="auto"/>
    </w:pPr>
    <w:rPr>
      <w:color w:val="404040" w:themeColor="text1"/>
    </w:rPr>
    <w:tblPr>
      <w:tblStyleRowBandSize w:val="1"/>
      <w:tblStyleColBandSize w:val="1"/>
      <w:tblBorders>
        <w:top w:val="single" w:sz="8" w:space="0" w:color="C7C8CA" w:themeColor="accent1"/>
        <w:bottom w:val="single" w:sz="8" w:space="0" w:color="C7C8CA" w:themeColor="accent1"/>
      </w:tblBorders>
    </w:tblPr>
    <w:tblStylePr w:type="firstRow">
      <w:rPr>
        <w:rFonts w:asciiTheme="majorHAnsi" w:eastAsiaTheme="majorEastAsia" w:hAnsiTheme="majorHAnsi" w:cstheme="majorBidi"/>
      </w:rPr>
      <w:tblPr/>
      <w:tcPr>
        <w:tcBorders>
          <w:top w:val="nil"/>
          <w:bottom w:val="single" w:sz="8" w:space="0" w:color="C7C8CA" w:themeColor="accent1"/>
        </w:tcBorders>
      </w:tcPr>
    </w:tblStylePr>
    <w:tblStylePr w:type="lastRow">
      <w:rPr>
        <w:b/>
        <w:bCs/>
        <w:color w:val="FFFFFF" w:themeColor="text2"/>
      </w:rPr>
      <w:tblPr/>
      <w:tcPr>
        <w:tcBorders>
          <w:top w:val="single" w:sz="8" w:space="0" w:color="C7C8CA" w:themeColor="accent1"/>
          <w:bottom w:val="single" w:sz="8" w:space="0" w:color="C7C8CA" w:themeColor="accent1"/>
        </w:tcBorders>
      </w:tcPr>
    </w:tblStylePr>
    <w:tblStylePr w:type="firstCol">
      <w:rPr>
        <w:b/>
        <w:bCs/>
      </w:rPr>
    </w:tblStylePr>
    <w:tblStylePr w:type="lastCol">
      <w:rPr>
        <w:b/>
        <w:bCs/>
      </w:rPr>
      <w:tblPr/>
      <w:tcPr>
        <w:tcBorders>
          <w:top w:val="single" w:sz="8" w:space="0" w:color="C7C8CA" w:themeColor="accent1"/>
          <w:bottom w:val="single" w:sz="8" w:space="0" w:color="C7C8CA" w:themeColor="accent1"/>
        </w:tcBorders>
      </w:tcPr>
    </w:tblStylePr>
    <w:tblStylePr w:type="band1Vert">
      <w:tblPr/>
      <w:tcPr>
        <w:shd w:val="clear" w:color="auto" w:fill="F1F1F2" w:themeFill="accent1" w:themeFillTint="3F"/>
      </w:tcPr>
    </w:tblStylePr>
    <w:tblStylePr w:type="band1Horz">
      <w:tblPr/>
      <w:tcPr>
        <w:shd w:val="clear" w:color="auto" w:fill="F1F1F2" w:themeFill="accent1" w:themeFillTint="3F"/>
      </w:tcPr>
    </w:tblStylePr>
  </w:style>
  <w:style w:type="table" w:styleId="1-20">
    <w:name w:val="Medium List 1 Accent 2"/>
    <w:basedOn w:val="a4"/>
    <w:uiPriority w:val="65"/>
    <w:semiHidden/>
    <w:unhideWhenUsed/>
    <w:rsid w:val="00F527CC"/>
    <w:pPr>
      <w:spacing w:after="0" w:line="240" w:lineRule="auto"/>
    </w:pPr>
    <w:rPr>
      <w:color w:val="404040" w:themeColor="text1"/>
    </w:rPr>
    <w:tblPr>
      <w:tblStyleRowBandSize w:val="1"/>
      <w:tblStyleColBandSize w:val="1"/>
      <w:tblBorders>
        <w:top w:val="single" w:sz="8" w:space="0" w:color="939598" w:themeColor="accent2"/>
        <w:bottom w:val="single" w:sz="8" w:space="0" w:color="939598" w:themeColor="accent2"/>
      </w:tblBorders>
    </w:tblPr>
    <w:tblStylePr w:type="firstRow">
      <w:rPr>
        <w:rFonts w:asciiTheme="majorHAnsi" w:eastAsiaTheme="majorEastAsia" w:hAnsiTheme="majorHAnsi" w:cstheme="majorBidi"/>
      </w:rPr>
      <w:tblPr/>
      <w:tcPr>
        <w:tcBorders>
          <w:top w:val="nil"/>
          <w:bottom w:val="single" w:sz="8" w:space="0" w:color="939598" w:themeColor="accent2"/>
        </w:tcBorders>
      </w:tcPr>
    </w:tblStylePr>
    <w:tblStylePr w:type="lastRow">
      <w:rPr>
        <w:b/>
        <w:bCs/>
        <w:color w:val="FFFFFF" w:themeColor="text2"/>
      </w:rPr>
      <w:tblPr/>
      <w:tcPr>
        <w:tcBorders>
          <w:top w:val="single" w:sz="8" w:space="0" w:color="939598" w:themeColor="accent2"/>
          <w:bottom w:val="single" w:sz="8" w:space="0" w:color="939598" w:themeColor="accent2"/>
        </w:tcBorders>
      </w:tcPr>
    </w:tblStylePr>
    <w:tblStylePr w:type="firstCol">
      <w:rPr>
        <w:b/>
        <w:bCs/>
      </w:rPr>
    </w:tblStylePr>
    <w:tblStylePr w:type="lastCol">
      <w:rPr>
        <w:b/>
        <w:bCs/>
      </w:rPr>
      <w:tblPr/>
      <w:tcPr>
        <w:tcBorders>
          <w:top w:val="single" w:sz="8" w:space="0" w:color="939598" w:themeColor="accent2"/>
          <w:bottom w:val="single" w:sz="8" w:space="0" w:color="939598" w:themeColor="accent2"/>
        </w:tcBorders>
      </w:tcPr>
    </w:tblStylePr>
    <w:tblStylePr w:type="band1Vert">
      <w:tblPr/>
      <w:tcPr>
        <w:shd w:val="clear" w:color="auto" w:fill="E4E4E5" w:themeFill="accent2" w:themeFillTint="3F"/>
      </w:tcPr>
    </w:tblStylePr>
    <w:tblStylePr w:type="band1Horz">
      <w:tblPr/>
      <w:tcPr>
        <w:shd w:val="clear" w:color="auto" w:fill="E4E4E5" w:themeFill="accent2" w:themeFillTint="3F"/>
      </w:tcPr>
    </w:tblStylePr>
  </w:style>
  <w:style w:type="table" w:styleId="1-30">
    <w:name w:val="Medium List 1 Accent 3"/>
    <w:basedOn w:val="a4"/>
    <w:uiPriority w:val="65"/>
    <w:semiHidden/>
    <w:unhideWhenUsed/>
    <w:rsid w:val="00F527CC"/>
    <w:pPr>
      <w:spacing w:after="0" w:line="240" w:lineRule="auto"/>
    </w:pPr>
    <w:rPr>
      <w:color w:val="404040" w:themeColor="text1"/>
    </w:rPr>
    <w:tblPr>
      <w:tblStyleRowBandSize w:val="1"/>
      <w:tblStyleColBandSize w:val="1"/>
      <w:tblBorders>
        <w:top w:val="single" w:sz="8" w:space="0" w:color="636466" w:themeColor="accent3"/>
        <w:bottom w:val="single" w:sz="8" w:space="0" w:color="636466" w:themeColor="accent3"/>
      </w:tblBorders>
    </w:tblPr>
    <w:tblStylePr w:type="firstRow">
      <w:rPr>
        <w:rFonts w:asciiTheme="majorHAnsi" w:eastAsiaTheme="majorEastAsia" w:hAnsiTheme="majorHAnsi" w:cstheme="majorBidi"/>
      </w:rPr>
      <w:tblPr/>
      <w:tcPr>
        <w:tcBorders>
          <w:top w:val="nil"/>
          <w:bottom w:val="single" w:sz="8" w:space="0" w:color="636466" w:themeColor="accent3"/>
        </w:tcBorders>
      </w:tcPr>
    </w:tblStylePr>
    <w:tblStylePr w:type="lastRow">
      <w:rPr>
        <w:b/>
        <w:bCs/>
        <w:color w:val="FFFFFF" w:themeColor="text2"/>
      </w:rPr>
      <w:tblPr/>
      <w:tcPr>
        <w:tcBorders>
          <w:top w:val="single" w:sz="8" w:space="0" w:color="636466" w:themeColor="accent3"/>
          <w:bottom w:val="single" w:sz="8" w:space="0" w:color="636466" w:themeColor="accent3"/>
        </w:tcBorders>
      </w:tcPr>
    </w:tblStylePr>
    <w:tblStylePr w:type="firstCol">
      <w:rPr>
        <w:b/>
        <w:bCs/>
      </w:rPr>
    </w:tblStylePr>
    <w:tblStylePr w:type="lastCol">
      <w:rPr>
        <w:b/>
        <w:bCs/>
      </w:rPr>
      <w:tblPr/>
      <w:tcPr>
        <w:tcBorders>
          <w:top w:val="single" w:sz="8" w:space="0" w:color="636466" w:themeColor="accent3"/>
          <w:bottom w:val="single" w:sz="8" w:space="0" w:color="636466" w:themeColor="accent3"/>
        </w:tcBorders>
      </w:tcPr>
    </w:tblStylePr>
    <w:tblStylePr w:type="band1Vert">
      <w:tblPr/>
      <w:tcPr>
        <w:shd w:val="clear" w:color="auto" w:fill="D8D8D9" w:themeFill="accent3" w:themeFillTint="3F"/>
      </w:tcPr>
    </w:tblStylePr>
    <w:tblStylePr w:type="band1Horz">
      <w:tblPr/>
      <w:tcPr>
        <w:shd w:val="clear" w:color="auto" w:fill="D8D8D9" w:themeFill="accent3" w:themeFillTint="3F"/>
      </w:tcPr>
    </w:tblStylePr>
  </w:style>
  <w:style w:type="table" w:styleId="1-40">
    <w:name w:val="Medium List 1 Accent 4"/>
    <w:basedOn w:val="a4"/>
    <w:uiPriority w:val="65"/>
    <w:semiHidden/>
    <w:unhideWhenUsed/>
    <w:rsid w:val="00F527CC"/>
    <w:pPr>
      <w:spacing w:after="0" w:line="240" w:lineRule="auto"/>
    </w:pPr>
    <w:rPr>
      <w:color w:val="404040" w:themeColor="text1"/>
    </w:rPr>
    <w:tblPr>
      <w:tblStyleRowBandSize w:val="1"/>
      <w:tblStyleColBandSize w:val="1"/>
      <w:tblBorders>
        <w:top w:val="single" w:sz="8" w:space="0" w:color="CD202C" w:themeColor="accent4"/>
        <w:bottom w:val="single" w:sz="8" w:space="0" w:color="CD202C" w:themeColor="accent4"/>
      </w:tblBorders>
    </w:tblPr>
    <w:tblStylePr w:type="firstRow">
      <w:rPr>
        <w:rFonts w:asciiTheme="majorHAnsi" w:eastAsiaTheme="majorEastAsia" w:hAnsiTheme="majorHAnsi" w:cstheme="majorBidi"/>
      </w:rPr>
      <w:tblPr/>
      <w:tcPr>
        <w:tcBorders>
          <w:top w:val="nil"/>
          <w:bottom w:val="single" w:sz="8" w:space="0" w:color="CD202C" w:themeColor="accent4"/>
        </w:tcBorders>
      </w:tcPr>
    </w:tblStylePr>
    <w:tblStylePr w:type="lastRow">
      <w:rPr>
        <w:b/>
        <w:bCs/>
        <w:color w:val="FFFFFF" w:themeColor="text2"/>
      </w:rPr>
      <w:tblPr/>
      <w:tcPr>
        <w:tcBorders>
          <w:top w:val="single" w:sz="8" w:space="0" w:color="CD202C" w:themeColor="accent4"/>
          <w:bottom w:val="single" w:sz="8" w:space="0" w:color="CD202C" w:themeColor="accent4"/>
        </w:tcBorders>
      </w:tcPr>
    </w:tblStylePr>
    <w:tblStylePr w:type="firstCol">
      <w:rPr>
        <w:b/>
        <w:bCs/>
      </w:rPr>
    </w:tblStylePr>
    <w:tblStylePr w:type="lastCol">
      <w:rPr>
        <w:b/>
        <w:bCs/>
      </w:rPr>
      <w:tblPr/>
      <w:tcPr>
        <w:tcBorders>
          <w:top w:val="single" w:sz="8" w:space="0" w:color="CD202C" w:themeColor="accent4"/>
          <w:bottom w:val="single" w:sz="8" w:space="0" w:color="CD202C" w:themeColor="accent4"/>
        </w:tcBorders>
      </w:tcPr>
    </w:tblStylePr>
    <w:tblStylePr w:type="band1Vert">
      <w:tblPr/>
      <w:tcPr>
        <w:shd w:val="clear" w:color="auto" w:fill="F6C4C7" w:themeFill="accent4" w:themeFillTint="3F"/>
      </w:tcPr>
    </w:tblStylePr>
    <w:tblStylePr w:type="band1Horz">
      <w:tblPr/>
      <w:tcPr>
        <w:shd w:val="clear" w:color="auto" w:fill="F6C4C7" w:themeFill="accent4" w:themeFillTint="3F"/>
      </w:tcPr>
    </w:tblStylePr>
  </w:style>
  <w:style w:type="table" w:styleId="1-50">
    <w:name w:val="Medium List 1 Accent 5"/>
    <w:basedOn w:val="a4"/>
    <w:uiPriority w:val="65"/>
    <w:semiHidden/>
    <w:unhideWhenUsed/>
    <w:rsid w:val="00F527CC"/>
    <w:pPr>
      <w:spacing w:after="0" w:line="240" w:lineRule="auto"/>
    </w:pPr>
    <w:rPr>
      <w:color w:val="404040" w:themeColor="text1"/>
    </w:rPr>
    <w:tblPr>
      <w:tblStyleRowBandSize w:val="1"/>
      <w:tblStyleColBandSize w:val="1"/>
      <w:tblBorders>
        <w:top w:val="single" w:sz="8" w:space="0" w:color="0055AA" w:themeColor="accent5"/>
        <w:bottom w:val="single" w:sz="8" w:space="0" w:color="0055AA" w:themeColor="accent5"/>
      </w:tblBorders>
    </w:tblPr>
    <w:tblStylePr w:type="firstRow">
      <w:rPr>
        <w:rFonts w:asciiTheme="majorHAnsi" w:eastAsiaTheme="majorEastAsia" w:hAnsiTheme="majorHAnsi" w:cstheme="majorBidi"/>
      </w:rPr>
      <w:tblPr/>
      <w:tcPr>
        <w:tcBorders>
          <w:top w:val="nil"/>
          <w:bottom w:val="single" w:sz="8" w:space="0" w:color="0055AA" w:themeColor="accent5"/>
        </w:tcBorders>
      </w:tcPr>
    </w:tblStylePr>
    <w:tblStylePr w:type="lastRow">
      <w:rPr>
        <w:b/>
        <w:bCs/>
        <w:color w:val="FFFFFF" w:themeColor="text2"/>
      </w:rPr>
      <w:tblPr/>
      <w:tcPr>
        <w:tcBorders>
          <w:top w:val="single" w:sz="8" w:space="0" w:color="0055AA" w:themeColor="accent5"/>
          <w:bottom w:val="single" w:sz="8" w:space="0" w:color="0055AA" w:themeColor="accent5"/>
        </w:tcBorders>
      </w:tcPr>
    </w:tblStylePr>
    <w:tblStylePr w:type="firstCol">
      <w:rPr>
        <w:b/>
        <w:bCs/>
      </w:rPr>
    </w:tblStylePr>
    <w:tblStylePr w:type="lastCol">
      <w:rPr>
        <w:b/>
        <w:bCs/>
      </w:rPr>
      <w:tblPr/>
      <w:tcPr>
        <w:tcBorders>
          <w:top w:val="single" w:sz="8" w:space="0" w:color="0055AA" w:themeColor="accent5"/>
          <w:bottom w:val="single" w:sz="8" w:space="0" w:color="0055AA" w:themeColor="accent5"/>
        </w:tcBorders>
      </w:tcPr>
    </w:tblStylePr>
    <w:tblStylePr w:type="band1Vert">
      <w:tblPr/>
      <w:tcPr>
        <w:shd w:val="clear" w:color="auto" w:fill="ABD4FF" w:themeFill="accent5" w:themeFillTint="3F"/>
      </w:tcPr>
    </w:tblStylePr>
    <w:tblStylePr w:type="band1Horz">
      <w:tblPr/>
      <w:tcPr>
        <w:shd w:val="clear" w:color="auto" w:fill="ABD4FF" w:themeFill="accent5" w:themeFillTint="3F"/>
      </w:tcPr>
    </w:tblStylePr>
  </w:style>
  <w:style w:type="table" w:styleId="1-60">
    <w:name w:val="Medium List 1 Accent 6"/>
    <w:basedOn w:val="a4"/>
    <w:uiPriority w:val="65"/>
    <w:semiHidden/>
    <w:unhideWhenUsed/>
    <w:rsid w:val="00F527CC"/>
    <w:pPr>
      <w:spacing w:after="0" w:line="240" w:lineRule="auto"/>
    </w:pPr>
    <w:rPr>
      <w:color w:val="404040" w:themeColor="text1"/>
    </w:rPr>
    <w:tblPr>
      <w:tblStyleRowBandSize w:val="1"/>
      <w:tblStyleColBandSize w:val="1"/>
      <w:tblBorders>
        <w:top w:val="single" w:sz="8" w:space="0" w:color="FFAA22" w:themeColor="accent6"/>
        <w:bottom w:val="single" w:sz="8" w:space="0" w:color="FFAA22" w:themeColor="accent6"/>
      </w:tblBorders>
    </w:tblPr>
    <w:tblStylePr w:type="firstRow">
      <w:rPr>
        <w:rFonts w:asciiTheme="majorHAnsi" w:eastAsiaTheme="majorEastAsia" w:hAnsiTheme="majorHAnsi" w:cstheme="majorBidi"/>
      </w:rPr>
      <w:tblPr/>
      <w:tcPr>
        <w:tcBorders>
          <w:top w:val="nil"/>
          <w:bottom w:val="single" w:sz="8" w:space="0" w:color="FFAA22" w:themeColor="accent6"/>
        </w:tcBorders>
      </w:tcPr>
    </w:tblStylePr>
    <w:tblStylePr w:type="lastRow">
      <w:rPr>
        <w:b/>
        <w:bCs/>
        <w:color w:val="FFFFFF" w:themeColor="text2"/>
      </w:rPr>
      <w:tblPr/>
      <w:tcPr>
        <w:tcBorders>
          <w:top w:val="single" w:sz="8" w:space="0" w:color="FFAA22" w:themeColor="accent6"/>
          <w:bottom w:val="single" w:sz="8" w:space="0" w:color="FFAA22" w:themeColor="accent6"/>
        </w:tcBorders>
      </w:tcPr>
    </w:tblStylePr>
    <w:tblStylePr w:type="firstCol">
      <w:rPr>
        <w:b/>
        <w:bCs/>
      </w:rPr>
    </w:tblStylePr>
    <w:tblStylePr w:type="lastCol">
      <w:rPr>
        <w:b/>
        <w:bCs/>
      </w:rPr>
      <w:tblPr/>
      <w:tcPr>
        <w:tcBorders>
          <w:top w:val="single" w:sz="8" w:space="0" w:color="FFAA22" w:themeColor="accent6"/>
          <w:bottom w:val="single" w:sz="8" w:space="0" w:color="FFAA22" w:themeColor="accent6"/>
        </w:tcBorders>
      </w:tcPr>
    </w:tblStylePr>
    <w:tblStylePr w:type="band1Vert">
      <w:tblPr/>
      <w:tcPr>
        <w:shd w:val="clear" w:color="auto" w:fill="FFE9C8" w:themeFill="accent6" w:themeFillTint="3F"/>
      </w:tcPr>
    </w:tblStylePr>
    <w:tblStylePr w:type="band1Horz">
      <w:tblPr/>
      <w:tcPr>
        <w:shd w:val="clear" w:color="auto" w:fill="FFE9C8" w:themeFill="accent6" w:themeFillTint="3F"/>
      </w:tcPr>
    </w:tblStylePr>
  </w:style>
  <w:style w:type="table" w:styleId="2f1">
    <w:name w:val="Medium List 2"/>
    <w:basedOn w:val="a4"/>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rPr>
        <w:sz w:val="24"/>
        <w:szCs w:val="24"/>
      </w:rPr>
      <w:tblPr/>
      <w:tcPr>
        <w:tcBorders>
          <w:top w:val="nil"/>
          <w:left w:val="nil"/>
          <w:bottom w:val="single" w:sz="24" w:space="0" w:color="40404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40" w:themeColor="text1"/>
          <w:insideH w:val="nil"/>
          <w:insideV w:val="nil"/>
        </w:tcBorders>
        <w:shd w:val="clear" w:color="auto" w:fill="FFFFFF" w:themeFill="background1"/>
      </w:tcPr>
    </w:tblStylePr>
    <w:tblStylePr w:type="lastCol">
      <w:tblPr/>
      <w:tcPr>
        <w:tcBorders>
          <w:top w:val="nil"/>
          <w:left w:val="single" w:sz="8" w:space="0" w:color="4040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top w:val="nil"/>
          <w:bottom w:val="nil"/>
          <w:insideH w:val="nil"/>
          <w:insideV w:val="nil"/>
        </w:tcBorders>
        <w:shd w:val="clear" w:color="auto" w:fill="CFCF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4"/>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7C8CA" w:themeColor="accent1"/>
        <w:left w:val="single" w:sz="8" w:space="0" w:color="C7C8CA" w:themeColor="accent1"/>
        <w:bottom w:val="single" w:sz="8" w:space="0" w:color="C7C8CA" w:themeColor="accent1"/>
        <w:right w:val="single" w:sz="8" w:space="0" w:color="C7C8CA" w:themeColor="accent1"/>
      </w:tblBorders>
    </w:tblPr>
    <w:tblStylePr w:type="firstRow">
      <w:rPr>
        <w:sz w:val="24"/>
        <w:szCs w:val="24"/>
      </w:rPr>
      <w:tblPr/>
      <w:tcPr>
        <w:tcBorders>
          <w:top w:val="nil"/>
          <w:left w:val="nil"/>
          <w:bottom w:val="single" w:sz="24" w:space="0" w:color="C7C8C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8CA" w:themeColor="accent1"/>
          <w:insideH w:val="nil"/>
          <w:insideV w:val="nil"/>
        </w:tcBorders>
        <w:shd w:val="clear" w:color="auto" w:fill="FFFFFF" w:themeFill="background1"/>
      </w:tcPr>
    </w:tblStylePr>
    <w:tblStylePr w:type="lastCol">
      <w:tblPr/>
      <w:tcPr>
        <w:tcBorders>
          <w:top w:val="nil"/>
          <w:left w:val="single" w:sz="8" w:space="0" w:color="C7C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2" w:themeFill="accent1" w:themeFillTint="3F"/>
      </w:tcPr>
    </w:tblStylePr>
    <w:tblStylePr w:type="band1Horz">
      <w:tblPr/>
      <w:tcPr>
        <w:tcBorders>
          <w:top w:val="nil"/>
          <w:bottom w:val="nil"/>
          <w:insideH w:val="nil"/>
          <w:insideV w:val="nil"/>
        </w:tcBorders>
        <w:shd w:val="clear" w:color="auto" w:fill="F1F1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4"/>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939598" w:themeColor="accent2"/>
        <w:left w:val="single" w:sz="8" w:space="0" w:color="939598" w:themeColor="accent2"/>
        <w:bottom w:val="single" w:sz="8" w:space="0" w:color="939598" w:themeColor="accent2"/>
        <w:right w:val="single" w:sz="8" w:space="0" w:color="939598" w:themeColor="accent2"/>
      </w:tblBorders>
    </w:tblPr>
    <w:tblStylePr w:type="firstRow">
      <w:rPr>
        <w:sz w:val="24"/>
        <w:szCs w:val="24"/>
      </w:rPr>
      <w:tblPr/>
      <w:tcPr>
        <w:tcBorders>
          <w:top w:val="nil"/>
          <w:left w:val="nil"/>
          <w:bottom w:val="single" w:sz="24" w:space="0" w:color="93959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39598" w:themeColor="accent2"/>
          <w:insideH w:val="nil"/>
          <w:insideV w:val="nil"/>
        </w:tcBorders>
        <w:shd w:val="clear" w:color="auto" w:fill="FFFFFF" w:themeFill="background1"/>
      </w:tcPr>
    </w:tblStylePr>
    <w:tblStylePr w:type="lastCol">
      <w:tblPr/>
      <w:tcPr>
        <w:tcBorders>
          <w:top w:val="nil"/>
          <w:left w:val="single" w:sz="8" w:space="0" w:color="93959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4E5" w:themeFill="accent2" w:themeFillTint="3F"/>
      </w:tcPr>
    </w:tblStylePr>
    <w:tblStylePr w:type="band1Horz">
      <w:tblPr/>
      <w:tcPr>
        <w:tcBorders>
          <w:top w:val="nil"/>
          <w:bottom w:val="nil"/>
          <w:insideH w:val="nil"/>
          <w:insideV w:val="nil"/>
        </w:tcBorders>
        <w:shd w:val="clear" w:color="auto" w:fill="E4E4E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4"/>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636466" w:themeColor="accent3"/>
        <w:left w:val="single" w:sz="8" w:space="0" w:color="636466" w:themeColor="accent3"/>
        <w:bottom w:val="single" w:sz="8" w:space="0" w:color="636466" w:themeColor="accent3"/>
        <w:right w:val="single" w:sz="8" w:space="0" w:color="636466" w:themeColor="accent3"/>
      </w:tblBorders>
    </w:tblPr>
    <w:tblStylePr w:type="firstRow">
      <w:rPr>
        <w:sz w:val="24"/>
        <w:szCs w:val="24"/>
      </w:rPr>
      <w:tblPr/>
      <w:tcPr>
        <w:tcBorders>
          <w:top w:val="nil"/>
          <w:left w:val="nil"/>
          <w:bottom w:val="single" w:sz="24" w:space="0" w:color="63646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6466" w:themeColor="accent3"/>
          <w:insideH w:val="nil"/>
          <w:insideV w:val="nil"/>
        </w:tcBorders>
        <w:shd w:val="clear" w:color="auto" w:fill="FFFFFF" w:themeFill="background1"/>
      </w:tcPr>
    </w:tblStylePr>
    <w:tblStylePr w:type="lastCol">
      <w:tblPr/>
      <w:tcPr>
        <w:tcBorders>
          <w:top w:val="nil"/>
          <w:left w:val="single" w:sz="8" w:space="0" w:color="63646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8D9" w:themeFill="accent3" w:themeFillTint="3F"/>
      </w:tcPr>
    </w:tblStylePr>
    <w:tblStylePr w:type="band1Horz">
      <w:tblPr/>
      <w:tcPr>
        <w:tcBorders>
          <w:top w:val="nil"/>
          <w:bottom w:val="nil"/>
          <w:insideH w:val="nil"/>
          <w:insideV w:val="nil"/>
        </w:tcBorders>
        <w:shd w:val="clear" w:color="auto" w:fill="D8D8D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4"/>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D202C" w:themeColor="accent4"/>
        <w:left w:val="single" w:sz="8" w:space="0" w:color="CD202C" w:themeColor="accent4"/>
        <w:bottom w:val="single" w:sz="8" w:space="0" w:color="CD202C" w:themeColor="accent4"/>
        <w:right w:val="single" w:sz="8" w:space="0" w:color="CD202C" w:themeColor="accent4"/>
      </w:tblBorders>
    </w:tblPr>
    <w:tblStylePr w:type="firstRow">
      <w:rPr>
        <w:sz w:val="24"/>
        <w:szCs w:val="24"/>
      </w:rPr>
      <w:tblPr/>
      <w:tcPr>
        <w:tcBorders>
          <w:top w:val="nil"/>
          <w:left w:val="nil"/>
          <w:bottom w:val="single" w:sz="24" w:space="0" w:color="CD202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202C" w:themeColor="accent4"/>
          <w:insideH w:val="nil"/>
          <w:insideV w:val="nil"/>
        </w:tcBorders>
        <w:shd w:val="clear" w:color="auto" w:fill="FFFFFF" w:themeFill="background1"/>
      </w:tcPr>
    </w:tblStylePr>
    <w:tblStylePr w:type="lastCol">
      <w:tblPr/>
      <w:tcPr>
        <w:tcBorders>
          <w:top w:val="nil"/>
          <w:left w:val="single" w:sz="8" w:space="0" w:color="CD202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C4C7" w:themeFill="accent4" w:themeFillTint="3F"/>
      </w:tcPr>
    </w:tblStylePr>
    <w:tblStylePr w:type="band1Horz">
      <w:tblPr/>
      <w:tcPr>
        <w:tcBorders>
          <w:top w:val="nil"/>
          <w:bottom w:val="nil"/>
          <w:insideH w:val="nil"/>
          <w:insideV w:val="nil"/>
        </w:tcBorders>
        <w:shd w:val="clear" w:color="auto" w:fill="F6C4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4"/>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0055AA" w:themeColor="accent5"/>
        <w:left w:val="single" w:sz="8" w:space="0" w:color="0055AA" w:themeColor="accent5"/>
        <w:bottom w:val="single" w:sz="8" w:space="0" w:color="0055AA" w:themeColor="accent5"/>
        <w:right w:val="single" w:sz="8" w:space="0" w:color="0055AA" w:themeColor="accent5"/>
      </w:tblBorders>
    </w:tblPr>
    <w:tblStylePr w:type="firstRow">
      <w:rPr>
        <w:sz w:val="24"/>
        <w:szCs w:val="24"/>
      </w:rPr>
      <w:tblPr/>
      <w:tcPr>
        <w:tcBorders>
          <w:top w:val="nil"/>
          <w:left w:val="nil"/>
          <w:bottom w:val="single" w:sz="24" w:space="0" w:color="0055A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AA" w:themeColor="accent5"/>
          <w:insideH w:val="nil"/>
          <w:insideV w:val="nil"/>
        </w:tcBorders>
        <w:shd w:val="clear" w:color="auto" w:fill="FFFFFF" w:themeFill="background1"/>
      </w:tcPr>
    </w:tblStylePr>
    <w:tblStylePr w:type="lastCol">
      <w:tblPr/>
      <w:tcPr>
        <w:tcBorders>
          <w:top w:val="nil"/>
          <w:left w:val="single" w:sz="8" w:space="0" w:color="0055A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D4FF" w:themeFill="accent5" w:themeFillTint="3F"/>
      </w:tcPr>
    </w:tblStylePr>
    <w:tblStylePr w:type="band1Horz">
      <w:tblPr/>
      <w:tcPr>
        <w:tcBorders>
          <w:top w:val="nil"/>
          <w:bottom w:val="nil"/>
          <w:insideH w:val="nil"/>
          <w:insideV w:val="nil"/>
        </w:tcBorders>
        <w:shd w:val="clear" w:color="auto" w:fill="ABD4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4"/>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FFAA22" w:themeColor="accent6"/>
        <w:left w:val="single" w:sz="8" w:space="0" w:color="FFAA22" w:themeColor="accent6"/>
        <w:bottom w:val="single" w:sz="8" w:space="0" w:color="FFAA22" w:themeColor="accent6"/>
        <w:right w:val="single" w:sz="8" w:space="0" w:color="FFAA22" w:themeColor="accent6"/>
      </w:tblBorders>
    </w:tblPr>
    <w:tblStylePr w:type="firstRow">
      <w:rPr>
        <w:sz w:val="24"/>
        <w:szCs w:val="24"/>
      </w:rPr>
      <w:tblPr/>
      <w:tcPr>
        <w:tcBorders>
          <w:top w:val="nil"/>
          <w:left w:val="nil"/>
          <w:bottom w:val="single" w:sz="24" w:space="0" w:color="FFAA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A22" w:themeColor="accent6"/>
          <w:insideH w:val="nil"/>
          <w:insideV w:val="nil"/>
        </w:tcBorders>
        <w:shd w:val="clear" w:color="auto" w:fill="FFFFFF" w:themeFill="background1"/>
      </w:tcPr>
    </w:tblStylePr>
    <w:tblStylePr w:type="lastCol">
      <w:tblPr/>
      <w:tcPr>
        <w:tcBorders>
          <w:top w:val="nil"/>
          <w:left w:val="single" w:sz="8" w:space="0" w:color="FFAA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C8" w:themeFill="accent6" w:themeFillTint="3F"/>
      </w:tcPr>
    </w:tblStylePr>
    <w:tblStylePr w:type="band1Horz">
      <w:tblPr/>
      <w:tcPr>
        <w:tcBorders>
          <w:top w:val="nil"/>
          <w:bottom w:val="nil"/>
          <w:insideH w:val="nil"/>
          <w:insideV w:val="nil"/>
        </w:tcBorders>
        <w:shd w:val="clear" w:color="auto" w:fill="FFE9C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Shading 1"/>
    <w:basedOn w:val="a4"/>
    <w:uiPriority w:val="63"/>
    <w:semiHidden/>
    <w:unhideWhenUsed/>
    <w:rsid w:val="00F527CC"/>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tblBorders>
    </w:tblPr>
    <w:tblStylePr w:type="firstRow">
      <w:pPr>
        <w:spacing w:before="0" w:after="0" w:line="240" w:lineRule="auto"/>
      </w:pPr>
      <w:rPr>
        <w:b/>
        <w:bCs/>
        <w:color w:val="FFFFFF" w:themeColor="background1"/>
      </w:rPr>
      <w:tblPr/>
      <w:tcPr>
        <w:tc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shd w:val="clear" w:color="auto" w:fill="404040" w:themeFill="text1"/>
      </w:tcPr>
    </w:tblStylePr>
    <w:tblStylePr w:type="lastRow">
      <w:pPr>
        <w:spacing w:before="0" w:after="0" w:line="240" w:lineRule="auto"/>
      </w:pPr>
      <w:rPr>
        <w:b/>
        <w:bCs/>
      </w:rPr>
      <w:tblPr/>
      <w:tcPr>
        <w:tcBorders>
          <w:top w:val="double" w:sz="6"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styleId="1-11">
    <w:name w:val="Medium Shading 1 Accent 1"/>
    <w:basedOn w:val="a4"/>
    <w:uiPriority w:val="63"/>
    <w:semiHidden/>
    <w:unhideWhenUsed/>
    <w:rsid w:val="00F527CC"/>
    <w:pPr>
      <w:spacing w:after="0" w:line="240" w:lineRule="auto"/>
    </w:pPr>
    <w:tblPr>
      <w:tblStyleRowBandSize w:val="1"/>
      <w:tblStyleColBandSize w:val="1"/>
      <w:tblBorders>
        <w:top w:val="single" w:sz="8" w:space="0" w:color="D5D5D7" w:themeColor="accent1" w:themeTint="BF"/>
        <w:left w:val="single" w:sz="8" w:space="0" w:color="D5D5D7" w:themeColor="accent1" w:themeTint="BF"/>
        <w:bottom w:val="single" w:sz="8" w:space="0" w:color="D5D5D7" w:themeColor="accent1" w:themeTint="BF"/>
        <w:right w:val="single" w:sz="8" w:space="0" w:color="D5D5D7" w:themeColor="accent1" w:themeTint="BF"/>
        <w:insideH w:val="single" w:sz="8" w:space="0" w:color="D5D5D7" w:themeColor="accent1" w:themeTint="BF"/>
      </w:tblBorders>
    </w:tblPr>
    <w:tblStylePr w:type="firstRow">
      <w:pPr>
        <w:spacing w:before="0" w:after="0" w:line="240" w:lineRule="auto"/>
      </w:pPr>
      <w:rPr>
        <w:b/>
        <w:bCs/>
        <w:color w:val="FFFFFF" w:themeColor="background1"/>
      </w:rPr>
      <w:tblPr/>
      <w:tcPr>
        <w:tcBorders>
          <w:top w:val="single" w:sz="8" w:space="0" w:color="D5D5D7" w:themeColor="accent1" w:themeTint="BF"/>
          <w:left w:val="single" w:sz="8" w:space="0" w:color="D5D5D7" w:themeColor="accent1" w:themeTint="BF"/>
          <w:bottom w:val="single" w:sz="8" w:space="0" w:color="D5D5D7" w:themeColor="accent1" w:themeTint="BF"/>
          <w:right w:val="single" w:sz="8" w:space="0" w:color="D5D5D7" w:themeColor="accent1" w:themeTint="BF"/>
          <w:insideH w:val="nil"/>
          <w:insideV w:val="nil"/>
        </w:tcBorders>
        <w:shd w:val="clear" w:color="auto" w:fill="C7C8CA" w:themeFill="accent1"/>
      </w:tcPr>
    </w:tblStylePr>
    <w:tblStylePr w:type="lastRow">
      <w:pPr>
        <w:spacing w:before="0" w:after="0" w:line="240" w:lineRule="auto"/>
      </w:pPr>
      <w:rPr>
        <w:b/>
        <w:bCs/>
      </w:rPr>
      <w:tblPr/>
      <w:tcPr>
        <w:tcBorders>
          <w:top w:val="double" w:sz="6" w:space="0" w:color="D5D5D7" w:themeColor="accent1" w:themeTint="BF"/>
          <w:left w:val="single" w:sz="8" w:space="0" w:color="D5D5D7" w:themeColor="accent1" w:themeTint="BF"/>
          <w:bottom w:val="single" w:sz="8" w:space="0" w:color="D5D5D7" w:themeColor="accent1" w:themeTint="BF"/>
          <w:right w:val="single" w:sz="8" w:space="0" w:color="D5D5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1F1F2" w:themeFill="accent1" w:themeFillTint="3F"/>
      </w:tcPr>
    </w:tblStylePr>
    <w:tblStylePr w:type="band1Horz">
      <w:tblPr/>
      <w:tcPr>
        <w:tcBorders>
          <w:insideH w:val="nil"/>
          <w:insideV w:val="nil"/>
        </w:tcBorders>
        <w:shd w:val="clear" w:color="auto" w:fill="F1F1F2" w:themeFill="accent1" w:themeFillTint="3F"/>
      </w:tcPr>
    </w:tblStylePr>
    <w:tblStylePr w:type="band2Horz">
      <w:tblPr/>
      <w:tcPr>
        <w:tcBorders>
          <w:insideH w:val="nil"/>
          <w:insideV w:val="nil"/>
        </w:tcBorders>
      </w:tcPr>
    </w:tblStylePr>
  </w:style>
  <w:style w:type="table" w:styleId="1-21">
    <w:name w:val="Medium Shading 1 Accent 2"/>
    <w:basedOn w:val="a4"/>
    <w:uiPriority w:val="63"/>
    <w:semiHidden/>
    <w:unhideWhenUsed/>
    <w:rsid w:val="00F527CC"/>
    <w:pPr>
      <w:spacing w:after="0" w:line="240" w:lineRule="auto"/>
    </w:pPr>
    <w:tblPr>
      <w:tblStyleRowBandSize w:val="1"/>
      <w:tblStyleColBandSize w:val="1"/>
      <w:tblBorders>
        <w:top w:val="single" w:sz="8" w:space="0" w:color="ADAFB1" w:themeColor="accent2" w:themeTint="BF"/>
        <w:left w:val="single" w:sz="8" w:space="0" w:color="ADAFB1" w:themeColor="accent2" w:themeTint="BF"/>
        <w:bottom w:val="single" w:sz="8" w:space="0" w:color="ADAFB1" w:themeColor="accent2" w:themeTint="BF"/>
        <w:right w:val="single" w:sz="8" w:space="0" w:color="ADAFB1" w:themeColor="accent2" w:themeTint="BF"/>
        <w:insideH w:val="single" w:sz="8" w:space="0" w:color="ADAFB1" w:themeColor="accent2" w:themeTint="BF"/>
      </w:tblBorders>
    </w:tblPr>
    <w:tblStylePr w:type="firstRow">
      <w:pPr>
        <w:spacing w:before="0" w:after="0" w:line="240" w:lineRule="auto"/>
      </w:pPr>
      <w:rPr>
        <w:b/>
        <w:bCs/>
        <w:color w:val="FFFFFF" w:themeColor="background1"/>
      </w:rPr>
      <w:tblPr/>
      <w:tcPr>
        <w:tcBorders>
          <w:top w:val="single" w:sz="8" w:space="0" w:color="ADAFB1" w:themeColor="accent2" w:themeTint="BF"/>
          <w:left w:val="single" w:sz="8" w:space="0" w:color="ADAFB1" w:themeColor="accent2" w:themeTint="BF"/>
          <w:bottom w:val="single" w:sz="8" w:space="0" w:color="ADAFB1" w:themeColor="accent2" w:themeTint="BF"/>
          <w:right w:val="single" w:sz="8" w:space="0" w:color="ADAFB1" w:themeColor="accent2" w:themeTint="BF"/>
          <w:insideH w:val="nil"/>
          <w:insideV w:val="nil"/>
        </w:tcBorders>
        <w:shd w:val="clear" w:color="auto" w:fill="939598" w:themeFill="accent2"/>
      </w:tcPr>
    </w:tblStylePr>
    <w:tblStylePr w:type="lastRow">
      <w:pPr>
        <w:spacing w:before="0" w:after="0" w:line="240" w:lineRule="auto"/>
      </w:pPr>
      <w:rPr>
        <w:b/>
        <w:bCs/>
      </w:rPr>
      <w:tblPr/>
      <w:tcPr>
        <w:tcBorders>
          <w:top w:val="double" w:sz="6" w:space="0" w:color="ADAFB1" w:themeColor="accent2" w:themeTint="BF"/>
          <w:left w:val="single" w:sz="8" w:space="0" w:color="ADAFB1" w:themeColor="accent2" w:themeTint="BF"/>
          <w:bottom w:val="single" w:sz="8" w:space="0" w:color="ADAFB1" w:themeColor="accent2" w:themeTint="BF"/>
          <w:right w:val="single" w:sz="8" w:space="0" w:color="ADAFB1"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4E5" w:themeFill="accent2" w:themeFillTint="3F"/>
      </w:tcPr>
    </w:tblStylePr>
    <w:tblStylePr w:type="band1Horz">
      <w:tblPr/>
      <w:tcPr>
        <w:tcBorders>
          <w:insideH w:val="nil"/>
          <w:insideV w:val="nil"/>
        </w:tcBorders>
        <w:shd w:val="clear" w:color="auto" w:fill="E4E4E5" w:themeFill="accent2" w:themeFillTint="3F"/>
      </w:tcPr>
    </w:tblStylePr>
    <w:tblStylePr w:type="band2Horz">
      <w:tblPr/>
      <w:tcPr>
        <w:tcBorders>
          <w:insideH w:val="nil"/>
          <w:insideV w:val="nil"/>
        </w:tcBorders>
      </w:tcPr>
    </w:tblStylePr>
  </w:style>
  <w:style w:type="table" w:styleId="1-31">
    <w:name w:val="Medium Shading 1 Accent 3"/>
    <w:basedOn w:val="a4"/>
    <w:uiPriority w:val="63"/>
    <w:semiHidden/>
    <w:unhideWhenUsed/>
    <w:rsid w:val="00F527CC"/>
    <w:pPr>
      <w:spacing w:after="0" w:line="240" w:lineRule="auto"/>
    </w:pPr>
    <w:tblPr>
      <w:tblStyleRowBandSize w:val="1"/>
      <w:tblStyleColBandSize w:val="1"/>
      <w:tblBorders>
        <w:top w:val="single" w:sz="8" w:space="0" w:color="898A8C" w:themeColor="accent3" w:themeTint="BF"/>
        <w:left w:val="single" w:sz="8" w:space="0" w:color="898A8C" w:themeColor="accent3" w:themeTint="BF"/>
        <w:bottom w:val="single" w:sz="8" w:space="0" w:color="898A8C" w:themeColor="accent3" w:themeTint="BF"/>
        <w:right w:val="single" w:sz="8" w:space="0" w:color="898A8C" w:themeColor="accent3" w:themeTint="BF"/>
        <w:insideH w:val="single" w:sz="8" w:space="0" w:color="898A8C" w:themeColor="accent3" w:themeTint="BF"/>
      </w:tblBorders>
    </w:tblPr>
    <w:tblStylePr w:type="firstRow">
      <w:pPr>
        <w:spacing w:before="0" w:after="0" w:line="240" w:lineRule="auto"/>
      </w:pPr>
      <w:rPr>
        <w:b/>
        <w:bCs/>
        <w:color w:val="FFFFFF" w:themeColor="background1"/>
      </w:rPr>
      <w:tblPr/>
      <w:tcPr>
        <w:tcBorders>
          <w:top w:val="single" w:sz="8" w:space="0" w:color="898A8C" w:themeColor="accent3" w:themeTint="BF"/>
          <w:left w:val="single" w:sz="8" w:space="0" w:color="898A8C" w:themeColor="accent3" w:themeTint="BF"/>
          <w:bottom w:val="single" w:sz="8" w:space="0" w:color="898A8C" w:themeColor="accent3" w:themeTint="BF"/>
          <w:right w:val="single" w:sz="8" w:space="0" w:color="898A8C" w:themeColor="accent3" w:themeTint="BF"/>
          <w:insideH w:val="nil"/>
          <w:insideV w:val="nil"/>
        </w:tcBorders>
        <w:shd w:val="clear" w:color="auto" w:fill="636466" w:themeFill="accent3"/>
      </w:tcPr>
    </w:tblStylePr>
    <w:tblStylePr w:type="lastRow">
      <w:pPr>
        <w:spacing w:before="0" w:after="0" w:line="240" w:lineRule="auto"/>
      </w:pPr>
      <w:rPr>
        <w:b/>
        <w:bCs/>
      </w:rPr>
      <w:tblPr/>
      <w:tcPr>
        <w:tcBorders>
          <w:top w:val="double" w:sz="6" w:space="0" w:color="898A8C" w:themeColor="accent3" w:themeTint="BF"/>
          <w:left w:val="single" w:sz="8" w:space="0" w:color="898A8C" w:themeColor="accent3" w:themeTint="BF"/>
          <w:bottom w:val="single" w:sz="8" w:space="0" w:color="898A8C" w:themeColor="accent3" w:themeTint="BF"/>
          <w:right w:val="single" w:sz="8" w:space="0" w:color="898A8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D8D9" w:themeFill="accent3" w:themeFillTint="3F"/>
      </w:tcPr>
    </w:tblStylePr>
    <w:tblStylePr w:type="band1Horz">
      <w:tblPr/>
      <w:tcPr>
        <w:tcBorders>
          <w:insideH w:val="nil"/>
          <w:insideV w:val="nil"/>
        </w:tcBorders>
        <w:shd w:val="clear" w:color="auto" w:fill="D8D8D9" w:themeFill="accent3" w:themeFillTint="3F"/>
      </w:tcPr>
    </w:tblStylePr>
    <w:tblStylePr w:type="band2Horz">
      <w:tblPr/>
      <w:tcPr>
        <w:tcBorders>
          <w:insideH w:val="nil"/>
          <w:insideV w:val="nil"/>
        </w:tcBorders>
      </w:tcPr>
    </w:tblStylePr>
  </w:style>
  <w:style w:type="table" w:styleId="1-41">
    <w:name w:val="Medium Shading 1 Accent 4"/>
    <w:basedOn w:val="a4"/>
    <w:uiPriority w:val="63"/>
    <w:semiHidden/>
    <w:unhideWhenUsed/>
    <w:rsid w:val="00F527CC"/>
    <w:pPr>
      <w:spacing w:after="0" w:line="240" w:lineRule="auto"/>
    </w:pPr>
    <w:tblPr>
      <w:tblStyleRowBandSize w:val="1"/>
      <w:tblStyleColBandSize w:val="1"/>
      <w:tblBorders>
        <w:top w:val="single" w:sz="8" w:space="0" w:color="E34E57" w:themeColor="accent4" w:themeTint="BF"/>
        <w:left w:val="single" w:sz="8" w:space="0" w:color="E34E57" w:themeColor="accent4" w:themeTint="BF"/>
        <w:bottom w:val="single" w:sz="8" w:space="0" w:color="E34E57" w:themeColor="accent4" w:themeTint="BF"/>
        <w:right w:val="single" w:sz="8" w:space="0" w:color="E34E57" w:themeColor="accent4" w:themeTint="BF"/>
        <w:insideH w:val="single" w:sz="8" w:space="0" w:color="E34E57" w:themeColor="accent4" w:themeTint="BF"/>
      </w:tblBorders>
    </w:tblPr>
    <w:tblStylePr w:type="firstRow">
      <w:pPr>
        <w:spacing w:before="0" w:after="0" w:line="240" w:lineRule="auto"/>
      </w:pPr>
      <w:rPr>
        <w:b/>
        <w:bCs/>
        <w:color w:val="FFFFFF" w:themeColor="background1"/>
      </w:rPr>
      <w:tblPr/>
      <w:tcPr>
        <w:tcBorders>
          <w:top w:val="single" w:sz="8" w:space="0" w:color="E34E57" w:themeColor="accent4" w:themeTint="BF"/>
          <w:left w:val="single" w:sz="8" w:space="0" w:color="E34E57" w:themeColor="accent4" w:themeTint="BF"/>
          <w:bottom w:val="single" w:sz="8" w:space="0" w:color="E34E57" w:themeColor="accent4" w:themeTint="BF"/>
          <w:right w:val="single" w:sz="8" w:space="0" w:color="E34E57" w:themeColor="accent4" w:themeTint="BF"/>
          <w:insideH w:val="nil"/>
          <w:insideV w:val="nil"/>
        </w:tcBorders>
        <w:shd w:val="clear" w:color="auto" w:fill="CD202C" w:themeFill="accent4"/>
      </w:tcPr>
    </w:tblStylePr>
    <w:tblStylePr w:type="lastRow">
      <w:pPr>
        <w:spacing w:before="0" w:after="0" w:line="240" w:lineRule="auto"/>
      </w:pPr>
      <w:rPr>
        <w:b/>
        <w:bCs/>
      </w:rPr>
      <w:tblPr/>
      <w:tcPr>
        <w:tcBorders>
          <w:top w:val="double" w:sz="6" w:space="0" w:color="E34E57" w:themeColor="accent4" w:themeTint="BF"/>
          <w:left w:val="single" w:sz="8" w:space="0" w:color="E34E57" w:themeColor="accent4" w:themeTint="BF"/>
          <w:bottom w:val="single" w:sz="8" w:space="0" w:color="E34E57" w:themeColor="accent4" w:themeTint="BF"/>
          <w:right w:val="single" w:sz="8" w:space="0" w:color="E34E5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C4C7" w:themeFill="accent4" w:themeFillTint="3F"/>
      </w:tcPr>
    </w:tblStylePr>
    <w:tblStylePr w:type="band1Horz">
      <w:tblPr/>
      <w:tcPr>
        <w:tcBorders>
          <w:insideH w:val="nil"/>
          <w:insideV w:val="nil"/>
        </w:tcBorders>
        <w:shd w:val="clear" w:color="auto" w:fill="F6C4C7" w:themeFill="accent4" w:themeFillTint="3F"/>
      </w:tcPr>
    </w:tblStylePr>
    <w:tblStylePr w:type="band2Horz">
      <w:tblPr/>
      <w:tcPr>
        <w:tcBorders>
          <w:insideH w:val="nil"/>
          <w:insideV w:val="nil"/>
        </w:tcBorders>
      </w:tcPr>
    </w:tblStylePr>
  </w:style>
  <w:style w:type="table" w:styleId="1-51">
    <w:name w:val="Medium Shading 1 Accent 5"/>
    <w:basedOn w:val="a4"/>
    <w:uiPriority w:val="63"/>
    <w:semiHidden/>
    <w:unhideWhenUsed/>
    <w:rsid w:val="00F527CC"/>
    <w:pPr>
      <w:spacing w:after="0" w:line="240" w:lineRule="auto"/>
    </w:pPr>
    <w:tblPr>
      <w:tblStyleRowBandSize w:val="1"/>
      <w:tblStyleColBandSize w:val="1"/>
      <w:tblBorders>
        <w:top w:val="single" w:sz="8" w:space="0" w:color="007FFF" w:themeColor="accent5" w:themeTint="BF"/>
        <w:left w:val="single" w:sz="8" w:space="0" w:color="007FFF" w:themeColor="accent5" w:themeTint="BF"/>
        <w:bottom w:val="single" w:sz="8" w:space="0" w:color="007FFF" w:themeColor="accent5" w:themeTint="BF"/>
        <w:right w:val="single" w:sz="8" w:space="0" w:color="007FFF" w:themeColor="accent5" w:themeTint="BF"/>
        <w:insideH w:val="single" w:sz="8" w:space="0" w:color="007FFF" w:themeColor="accent5" w:themeTint="BF"/>
      </w:tblBorders>
    </w:tblPr>
    <w:tblStylePr w:type="firstRow">
      <w:pPr>
        <w:spacing w:before="0" w:after="0" w:line="240" w:lineRule="auto"/>
      </w:pPr>
      <w:rPr>
        <w:b/>
        <w:bCs/>
        <w:color w:val="FFFFFF" w:themeColor="background1"/>
      </w:rPr>
      <w:tblPr/>
      <w:tcPr>
        <w:tcBorders>
          <w:top w:val="single" w:sz="8" w:space="0" w:color="007FFF" w:themeColor="accent5" w:themeTint="BF"/>
          <w:left w:val="single" w:sz="8" w:space="0" w:color="007FFF" w:themeColor="accent5" w:themeTint="BF"/>
          <w:bottom w:val="single" w:sz="8" w:space="0" w:color="007FFF" w:themeColor="accent5" w:themeTint="BF"/>
          <w:right w:val="single" w:sz="8" w:space="0" w:color="007FFF" w:themeColor="accent5" w:themeTint="BF"/>
          <w:insideH w:val="nil"/>
          <w:insideV w:val="nil"/>
        </w:tcBorders>
        <w:shd w:val="clear" w:color="auto" w:fill="0055AA" w:themeFill="accent5"/>
      </w:tcPr>
    </w:tblStylePr>
    <w:tblStylePr w:type="lastRow">
      <w:pPr>
        <w:spacing w:before="0" w:after="0" w:line="240" w:lineRule="auto"/>
      </w:pPr>
      <w:rPr>
        <w:b/>
        <w:bCs/>
      </w:rPr>
      <w:tblPr/>
      <w:tcPr>
        <w:tcBorders>
          <w:top w:val="double" w:sz="6" w:space="0" w:color="007FFF" w:themeColor="accent5" w:themeTint="BF"/>
          <w:left w:val="single" w:sz="8" w:space="0" w:color="007FFF" w:themeColor="accent5" w:themeTint="BF"/>
          <w:bottom w:val="single" w:sz="8" w:space="0" w:color="007FFF" w:themeColor="accent5" w:themeTint="BF"/>
          <w:right w:val="single" w:sz="8" w:space="0" w:color="007F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ABD4FF" w:themeFill="accent5" w:themeFillTint="3F"/>
      </w:tcPr>
    </w:tblStylePr>
    <w:tblStylePr w:type="band1Horz">
      <w:tblPr/>
      <w:tcPr>
        <w:tcBorders>
          <w:insideH w:val="nil"/>
          <w:insideV w:val="nil"/>
        </w:tcBorders>
        <w:shd w:val="clear" w:color="auto" w:fill="ABD4FF" w:themeFill="accent5" w:themeFillTint="3F"/>
      </w:tcPr>
    </w:tblStylePr>
    <w:tblStylePr w:type="band2Horz">
      <w:tblPr/>
      <w:tcPr>
        <w:tcBorders>
          <w:insideH w:val="nil"/>
          <w:insideV w:val="nil"/>
        </w:tcBorders>
      </w:tcPr>
    </w:tblStylePr>
  </w:style>
  <w:style w:type="table" w:styleId="1-61">
    <w:name w:val="Medium Shading 1 Accent 6"/>
    <w:basedOn w:val="a4"/>
    <w:uiPriority w:val="63"/>
    <w:semiHidden/>
    <w:unhideWhenUsed/>
    <w:rsid w:val="00F527CC"/>
    <w:pPr>
      <w:spacing w:after="0" w:line="240" w:lineRule="auto"/>
    </w:pPr>
    <w:tblPr>
      <w:tblStyleRowBandSize w:val="1"/>
      <w:tblStyleColBandSize w:val="1"/>
      <w:tblBorders>
        <w:top w:val="single" w:sz="8" w:space="0" w:color="FFBE59" w:themeColor="accent6" w:themeTint="BF"/>
        <w:left w:val="single" w:sz="8" w:space="0" w:color="FFBE59" w:themeColor="accent6" w:themeTint="BF"/>
        <w:bottom w:val="single" w:sz="8" w:space="0" w:color="FFBE59" w:themeColor="accent6" w:themeTint="BF"/>
        <w:right w:val="single" w:sz="8" w:space="0" w:color="FFBE59" w:themeColor="accent6" w:themeTint="BF"/>
        <w:insideH w:val="single" w:sz="8" w:space="0" w:color="FFBE59" w:themeColor="accent6" w:themeTint="BF"/>
      </w:tblBorders>
    </w:tblPr>
    <w:tblStylePr w:type="firstRow">
      <w:pPr>
        <w:spacing w:before="0" w:after="0" w:line="240" w:lineRule="auto"/>
      </w:pPr>
      <w:rPr>
        <w:b/>
        <w:bCs/>
        <w:color w:val="FFFFFF" w:themeColor="background1"/>
      </w:rPr>
      <w:tblPr/>
      <w:tcPr>
        <w:tcBorders>
          <w:top w:val="single" w:sz="8" w:space="0" w:color="FFBE59" w:themeColor="accent6" w:themeTint="BF"/>
          <w:left w:val="single" w:sz="8" w:space="0" w:color="FFBE59" w:themeColor="accent6" w:themeTint="BF"/>
          <w:bottom w:val="single" w:sz="8" w:space="0" w:color="FFBE59" w:themeColor="accent6" w:themeTint="BF"/>
          <w:right w:val="single" w:sz="8" w:space="0" w:color="FFBE59" w:themeColor="accent6" w:themeTint="BF"/>
          <w:insideH w:val="nil"/>
          <w:insideV w:val="nil"/>
        </w:tcBorders>
        <w:shd w:val="clear" w:color="auto" w:fill="FFAA22" w:themeFill="accent6"/>
      </w:tcPr>
    </w:tblStylePr>
    <w:tblStylePr w:type="lastRow">
      <w:pPr>
        <w:spacing w:before="0" w:after="0" w:line="240" w:lineRule="auto"/>
      </w:pPr>
      <w:rPr>
        <w:b/>
        <w:bCs/>
      </w:rPr>
      <w:tblPr/>
      <w:tcPr>
        <w:tcBorders>
          <w:top w:val="double" w:sz="6" w:space="0" w:color="FFBE59" w:themeColor="accent6" w:themeTint="BF"/>
          <w:left w:val="single" w:sz="8" w:space="0" w:color="FFBE59" w:themeColor="accent6" w:themeTint="BF"/>
          <w:bottom w:val="single" w:sz="8" w:space="0" w:color="FFBE59" w:themeColor="accent6" w:themeTint="BF"/>
          <w:right w:val="single" w:sz="8" w:space="0" w:color="FFBE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9C8" w:themeFill="accent6" w:themeFillTint="3F"/>
      </w:tcPr>
    </w:tblStylePr>
    <w:tblStylePr w:type="band1Horz">
      <w:tblPr/>
      <w:tcPr>
        <w:tcBorders>
          <w:insideH w:val="nil"/>
          <w:insideV w:val="nil"/>
        </w:tcBorders>
        <w:shd w:val="clear" w:color="auto" w:fill="FFE9C8" w:themeFill="accent6" w:themeFillTint="3F"/>
      </w:tcPr>
    </w:tblStylePr>
    <w:tblStylePr w:type="band2Horz">
      <w:tblPr/>
      <w:tcPr>
        <w:tcBorders>
          <w:insideH w:val="nil"/>
          <w:insideV w:val="nil"/>
        </w:tcBorders>
      </w:tcPr>
    </w:tblStylePr>
  </w:style>
  <w:style w:type="table" w:styleId="2f2">
    <w:name w:val="Medium Shading 2"/>
    <w:basedOn w:val="a4"/>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040" w:themeFill="text1"/>
      </w:tcPr>
    </w:tblStylePr>
    <w:tblStylePr w:type="lastCol">
      <w:rPr>
        <w:b/>
        <w:bCs/>
        <w:color w:val="FFFFFF" w:themeColor="background1"/>
      </w:rPr>
      <w:tblPr/>
      <w:tcPr>
        <w:tcBorders>
          <w:left w:val="nil"/>
          <w:right w:val="nil"/>
          <w:insideH w:val="nil"/>
          <w:insideV w:val="nil"/>
        </w:tcBorders>
        <w:shd w:val="clear" w:color="auto" w:fill="4040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1">
    <w:name w:val="Medium Shading 2 Accent 1"/>
    <w:basedOn w:val="a4"/>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7C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7C8CA" w:themeFill="accent1"/>
      </w:tcPr>
    </w:tblStylePr>
    <w:tblStylePr w:type="lastCol">
      <w:rPr>
        <w:b/>
        <w:bCs/>
        <w:color w:val="FFFFFF" w:themeColor="background1"/>
      </w:rPr>
      <w:tblPr/>
      <w:tcPr>
        <w:tcBorders>
          <w:left w:val="nil"/>
          <w:right w:val="nil"/>
          <w:insideH w:val="nil"/>
          <w:insideV w:val="nil"/>
        </w:tcBorders>
        <w:shd w:val="clear" w:color="auto" w:fill="C7C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1">
    <w:name w:val="Medium Shading 2 Accent 2"/>
    <w:basedOn w:val="a4"/>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3959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39598" w:themeFill="accent2"/>
      </w:tcPr>
    </w:tblStylePr>
    <w:tblStylePr w:type="lastCol">
      <w:rPr>
        <w:b/>
        <w:bCs/>
        <w:color w:val="FFFFFF" w:themeColor="background1"/>
      </w:rPr>
      <w:tblPr/>
      <w:tcPr>
        <w:tcBorders>
          <w:left w:val="nil"/>
          <w:right w:val="nil"/>
          <w:insideH w:val="nil"/>
          <w:insideV w:val="nil"/>
        </w:tcBorders>
        <w:shd w:val="clear" w:color="auto" w:fill="93959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1">
    <w:name w:val="Medium Shading 2 Accent 3"/>
    <w:basedOn w:val="a4"/>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646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6466" w:themeFill="accent3"/>
      </w:tcPr>
    </w:tblStylePr>
    <w:tblStylePr w:type="lastCol">
      <w:rPr>
        <w:b/>
        <w:bCs/>
        <w:color w:val="FFFFFF" w:themeColor="background1"/>
      </w:rPr>
      <w:tblPr/>
      <w:tcPr>
        <w:tcBorders>
          <w:left w:val="nil"/>
          <w:right w:val="nil"/>
          <w:insideH w:val="nil"/>
          <w:insideV w:val="nil"/>
        </w:tcBorders>
        <w:shd w:val="clear" w:color="auto" w:fill="63646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1">
    <w:name w:val="Medium Shading 2 Accent 4"/>
    <w:basedOn w:val="a4"/>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20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D202C" w:themeFill="accent4"/>
      </w:tcPr>
    </w:tblStylePr>
    <w:tblStylePr w:type="lastCol">
      <w:rPr>
        <w:b/>
        <w:bCs/>
        <w:color w:val="FFFFFF" w:themeColor="background1"/>
      </w:rPr>
      <w:tblPr/>
      <w:tcPr>
        <w:tcBorders>
          <w:left w:val="nil"/>
          <w:right w:val="nil"/>
          <w:insideH w:val="nil"/>
          <w:insideV w:val="nil"/>
        </w:tcBorders>
        <w:shd w:val="clear" w:color="auto" w:fill="CD20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1">
    <w:name w:val="Medium Shading 2 Accent 5"/>
    <w:basedOn w:val="a4"/>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A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AA" w:themeFill="accent5"/>
      </w:tcPr>
    </w:tblStylePr>
    <w:tblStylePr w:type="lastCol">
      <w:rPr>
        <w:b/>
        <w:bCs/>
        <w:color w:val="FFFFFF" w:themeColor="background1"/>
      </w:rPr>
      <w:tblPr/>
      <w:tcPr>
        <w:tcBorders>
          <w:left w:val="nil"/>
          <w:right w:val="nil"/>
          <w:insideH w:val="nil"/>
          <w:insideV w:val="nil"/>
        </w:tcBorders>
        <w:shd w:val="clear" w:color="auto" w:fill="0055A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1">
    <w:name w:val="Medium Shading 2 Accent 6"/>
    <w:basedOn w:val="a4"/>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A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AA22" w:themeFill="accent6"/>
      </w:tcPr>
    </w:tblStylePr>
    <w:tblStylePr w:type="lastCol">
      <w:rPr>
        <w:b/>
        <w:bCs/>
        <w:color w:val="FFFFFF" w:themeColor="background1"/>
      </w:rPr>
      <w:tblPr/>
      <w:tcPr>
        <w:tcBorders>
          <w:left w:val="nil"/>
          <w:right w:val="nil"/>
          <w:insideH w:val="nil"/>
          <w:insideV w:val="nil"/>
        </w:tcBorders>
        <w:shd w:val="clear" w:color="auto" w:fill="FFAA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affff7">
    <w:name w:val="Message Header"/>
    <w:basedOn w:val="a2"/>
    <w:link w:val="affff8"/>
    <w:uiPriority w:val="99"/>
    <w:semiHidden/>
    <w:unhideWhenUsed/>
    <w:rsid w:val="00F527C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affff8">
    <w:name w:val="Шапка Знак"/>
    <w:basedOn w:val="a3"/>
    <w:link w:val="affff7"/>
    <w:uiPriority w:val="99"/>
    <w:semiHidden/>
    <w:rsid w:val="00F527CC"/>
    <w:rPr>
      <w:rFonts w:eastAsiaTheme="majorEastAsia" w:cs="Arial"/>
      <w:sz w:val="24"/>
      <w:szCs w:val="24"/>
      <w:shd w:val="pct20" w:color="auto" w:fill="auto"/>
      <w:lang w:val="en-US"/>
    </w:rPr>
  </w:style>
  <w:style w:type="paragraph" w:styleId="affff9">
    <w:name w:val="Normal (Web)"/>
    <w:basedOn w:val="a2"/>
    <w:uiPriority w:val="99"/>
    <w:unhideWhenUsed/>
    <w:rsid w:val="00F527CC"/>
    <w:rPr>
      <w:rFonts w:ascii="Times New Roman" w:hAnsi="Times New Roman" w:cs="Times New Roman"/>
      <w:sz w:val="24"/>
      <w:szCs w:val="24"/>
    </w:rPr>
  </w:style>
  <w:style w:type="paragraph" w:styleId="affffa">
    <w:name w:val="Normal Indent"/>
    <w:basedOn w:val="a2"/>
    <w:uiPriority w:val="99"/>
    <w:semiHidden/>
    <w:unhideWhenUsed/>
    <w:rsid w:val="00F527CC"/>
    <w:pPr>
      <w:ind w:left="720"/>
    </w:pPr>
  </w:style>
  <w:style w:type="paragraph" w:styleId="affffb">
    <w:name w:val="Note Heading"/>
    <w:basedOn w:val="a2"/>
    <w:next w:val="a2"/>
    <w:link w:val="affffc"/>
    <w:uiPriority w:val="99"/>
    <w:semiHidden/>
    <w:unhideWhenUsed/>
    <w:rsid w:val="00F527CC"/>
    <w:pPr>
      <w:spacing w:after="0" w:line="240" w:lineRule="auto"/>
    </w:pPr>
  </w:style>
  <w:style w:type="character" w:customStyle="1" w:styleId="affffc">
    <w:name w:val="Заголовок записки Знак"/>
    <w:basedOn w:val="a3"/>
    <w:link w:val="affffb"/>
    <w:uiPriority w:val="99"/>
    <w:semiHidden/>
    <w:rsid w:val="00F527CC"/>
    <w:rPr>
      <w:lang w:val="en-US"/>
    </w:rPr>
  </w:style>
  <w:style w:type="character" w:styleId="affffd">
    <w:name w:val="page number"/>
    <w:basedOn w:val="a3"/>
    <w:uiPriority w:val="99"/>
    <w:semiHidden/>
    <w:unhideWhenUsed/>
    <w:rsid w:val="00F527CC"/>
    <w:rPr>
      <w:lang w:val="en-US"/>
    </w:rPr>
  </w:style>
  <w:style w:type="table" w:styleId="16">
    <w:name w:val="Plain Table 1"/>
    <w:basedOn w:val="a4"/>
    <w:uiPriority w:val="41"/>
    <w:rsid w:val="00F527C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3">
    <w:name w:val="Plain Table 2"/>
    <w:basedOn w:val="a4"/>
    <w:uiPriority w:val="42"/>
    <w:rsid w:val="00F527CC"/>
    <w:pPr>
      <w:spacing w:after="0" w:line="240" w:lineRule="auto"/>
    </w:pPr>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table" w:styleId="3c">
    <w:name w:val="Plain Table 3"/>
    <w:basedOn w:val="a4"/>
    <w:uiPriority w:val="43"/>
    <w:rsid w:val="00F527CC"/>
    <w:pPr>
      <w:spacing w:after="0" w:line="240" w:lineRule="auto"/>
    </w:pPr>
    <w:tblPr>
      <w:tblStyleRowBandSize w:val="1"/>
      <w:tblStyleColBandSize w:val="1"/>
    </w:tblPr>
    <w:tblStylePr w:type="firstRow">
      <w:rPr>
        <w:b/>
        <w:bCs/>
        <w:caps/>
      </w:rPr>
      <w:tblPr/>
      <w:tcPr>
        <w:tcBorders>
          <w:bottom w:val="single" w:sz="4" w:space="0" w:color="9F9F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7">
    <w:name w:val="Plain Table 4"/>
    <w:basedOn w:val="a4"/>
    <w:uiPriority w:val="44"/>
    <w:rsid w:val="00F527C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6">
    <w:name w:val="Plain Table 5"/>
    <w:basedOn w:val="a4"/>
    <w:uiPriority w:val="45"/>
    <w:rsid w:val="00F527C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e">
    <w:name w:val="Plain Text"/>
    <w:basedOn w:val="a2"/>
    <w:link w:val="afffff"/>
    <w:uiPriority w:val="99"/>
    <w:semiHidden/>
    <w:unhideWhenUsed/>
    <w:rsid w:val="00F527CC"/>
    <w:pPr>
      <w:spacing w:after="0" w:line="240" w:lineRule="auto"/>
    </w:pPr>
    <w:rPr>
      <w:rFonts w:ascii="Consolas" w:hAnsi="Consolas"/>
      <w:sz w:val="21"/>
      <w:szCs w:val="21"/>
    </w:rPr>
  </w:style>
  <w:style w:type="character" w:customStyle="1" w:styleId="afffff">
    <w:name w:val="Текст Знак"/>
    <w:basedOn w:val="a3"/>
    <w:link w:val="affffe"/>
    <w:uiPriority w:val="99"/>
    <w:semiHidden/>
    <w:rsid w:val="00F527CC"/>
    <w:rPr>
      <w:rFonts w:ascii="Consolas" w:hAnsi="Consolas"/>
      <w:sz w:val="21"/>
      <w:szCs w:val="21"/>
      <w:lang w:val="en-US"/>
    </w:rPr>
  </w:style>
  <w:style w:type="paragraph" w:styleId="afffff0">
    <w:name w:val="Salutation"/>
    <w:basedOn w:val="a2"/>
    <w:next w:val="a2"/>
    <w:link w:val="afffff1"/>
    <w:uiPriority w:val="99"/>
    <w:semiHidden/>
    <w:unhideWhenUsed/>
    <w:rsid w:val="00F527CC"/>
  </w:style>
  <w:style w:type="character" w:customStyle="1" w:styleId="afffff1">
    <w:name w:val="Приветствие Знак"/>
    <w:basedOn w:val="a3"/>
    <w:link w:val="afffff0"/>
    <w:uiPriority w:val="99"/>
    <w:semiHidden/>
    <w:rsid w:val="00F527CC"/>
    <w:rPr>
      <w:lang w:val="en-US"/>
    </w:rPr>
  </w:style>
  <w:style w:type="paragraph" w:styleId="afffff2">
    <w:name w:val="Signature"/>
    <w:basedOn w:val="a2"/>
    <w:link w:val="afffff3"/>
    <w:uiPriority w:val="99"/>
    <w:semiHidden/>
    <w:unhideWhenUsed/>
    <w:rsid w:val="00F527CC"/>
    <w:pPr>
      <w:spacing w:after="0" w:line="240" w:lineRule="auto"/>
      <w:ind w:left="4252"/>
    </w:pPr>
  </w:style>
  <w:style w:type="character" w:customStyle="1" w:styleId="afffff3">
    <w:name w:val="Подпись Знак"/>
    <w:basedOn w:val="a3"/>
    <w:link w:val="afffff2"/>
    <w:uiPriority w:val="99"/>
    <w:semiHidden/>
    <w:rsid w:val="00F527CC"/>
    <w:rPr>
      <w:lang w:val="en-US"/>
    </w:rPr>
  </w:style>
  <w:style w:type="character" w:styleId="afffff4">
    <w:name w:val="Strong"/>
    <w:basedOn w:val="a3"/>
    <w:uiPriority w:val="22"/>
    <w:qFormat/>
    <w:rsid w:val="00F527CC"/>
    <w:rPr>
      <w:b/>
      <w:bCs/>
      <w:lang w:val="en-US"/>
    </w:rPr>
  </w:style>
  <w:style w:type="character" w:styleId="afffff5">
    <w:name w:val="Subtle Emphasis"/>
    <w:basedOn w:val="a3"/>
    <w:uiPriority w:val="19"/>
    <w:qFormat/>
    <w:rsid w:val="00F527CC"/>
    <w:rPr>
      <w:i/>
      <w:iCs/>
      <w:color w:val="6F6F6F" w:themeColor="text1" w:themeTint="BF"/>
      <w:lang w:val="en-US"/>
    </w:rPr>
  </w:style>
  <w:style w:type="character" w:styleId="afffff6">
    <w:name w:val="Subtle Reference"/>
    <w:basedOn w:val="a3"/>
    <w:uiPriority w:val="31"/>
    <w:qFormat/>
    <w:rsid w:val="00F527CC"/>
    <w:rPr>
      <w:smallCaps/>
      <w:color w:val="838383" w:themeColor="text1" w:themeTint="A5"/>
      <w:lang w:val="en-US"/>
    </w:rPr>
  </w:style>
  <w:style w:type="table" w:styleId="17">
    <w:name w:val="Table 3D effects 1"/>
    <w:basedOn w:val="a4"/>
    <w:uiPriority w:val="99"/>
    <w:semiHidden/>
    <w:unhideWhenUsed/>
    <w:rsid w:val="00F527CC"/>
    <w:pPr>
      <w:spacing w:after="120"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4"/>
    <w:uiPriority w:val="99"/>
    <w:semiHidden/>
    <w:unhideWhenUsed/>
    <w:rsid w:val="00F527CC"/>
    <w:pPr>
      <w:spacing w:after="12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4"/>
    <w:uiPriority w:val="99"/>
    <w:semiHidden/>
    <w:unhideWhenUsed/>
    <w:rsid w:val="00F527CC"/>
    <w:pPr>
      <w:spacing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4"/>
    <w:uiPriority w:val="99"/>
    <w:semiHidden/>
    <w:unhideWhenUsed/>
    <w:rsid w:val="00F527CC"/>
    <w:pPr>
      <w:spacing w:after="120"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4"/>
    <w:uiPriority w:val="99"/>
    <w:semiHidden/>
    <w:unhideWhenUsed/>
    <w:rsid w:val="00F527CC"/>
    <w:pPr>
      <w:spacing w:after="12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e">
    <w:name w:val="Table Classic 3"/>
    <w:basedOn w:val="a4"/>
    <w:uiPriority w:val="99"/>
    <w:semiHidden/>
    <w:unhideWhenUsed/>
    <w:rsid w:val="00F527CC"/>
    <w:pPr>
      <w:spacing w:after="12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4"/>
    <w:uiPriority w:val="99"/>
    <w:semiHidden/>
    <w:unhideWhenUsed/>
    <w:rsid w:val="00F527CC"/>
    <w:pPr>
      <w:spacing w:after="12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Colorful 1"/>
    <w:basedOn w:val="a4"/>
    <w:uiPriority w:val="99"/>
    <w:semiHidden/>
    <w:unhideWhenUsed/>
    <w:rsid w:val="00F527CC"/>
    <w:pPr>
      <w:spacing w:after="12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4"/>
    <w:uiPriority w:val="99"/>
    <w:semiHidden/>
    <w:unhideWhenUsed/>
    <w:rsid w:val="00F527CC"/>
    <w:pPr>
      <w:spacing w:after="12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4"/>
    <w:uiPriority w:val="99"/>
    <w:semiHidden/>
    <w:unhideWhenUsed/>
    <w:rsid w:val="00F527CC"/>
    <w:pPr>
      <w:spacing w:after="12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a">
    <w:name w:val="Table Columns 1"/>
    <w:basedOn w:val="a4"/>
    <w:uiPriority w:val="99"/>
    <w:semiHidden/>
    <w:unhideWhenUsed/>
    <w:rsid w:val="00F527CC"/>
    <w:pPr>
      <w:spacing w:after="12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4"/>
    <w:uiPriority w:val="99"/>
    <w:semiHidden/>
    <w:unhideWhenUsed/>
    <w:rsid w:val="00F527CC"/>
    <w:pPr>
      <w:spacing w:after="120"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4"/>
    <w:uiPriority w:val="99"/>
    <w:semiHidden/>
    <w:unhideWhenUsed/>
    <w:rsid w:val="00F527CC"/>
    <w:pPr>
      <w:spacing w:after="12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4"/>
    <w:uiPriority w:val="99"/>
    <w:semiHidden/>
    <w:unhideWhenUsed/>
    <w:rsid w:val="00F527CC"/>
    <w:pPr>
      <w:spacing w:after="120"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F527CC"/>
    <w:pPr>
      <w:spacing w:after="12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7">
    <w:name w:val="Table Contemporary"/>
    <w:basedOn w:val="a4"/>
    <w:uiPriority w:val="99"/>
    <w:semiHidden/>
    <w:unhideWhenUsed/>
    <w:rsid w:val="00F527CC"/>
    <w:pPr>
      <w:spacing w:after="12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8">
    <w:name w:val="Table Elegant"/>
    <w:basedOn w:val="a4"/>
    <w:uiPriority w:val="99"/>
    <w:semiHidden/>
    <w:unhideWhenUsed/>
    <w:rsid w:val="00F527CC"/>
    <w:pPr>
      <w:spacing w:after="12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b">
    <w:name w:val="Table Grid 1"/>
    <w:basedOn w:val="a4"/>
    <w:uiPriority w:val="99"/>
    <w:semiHidden/>
    <w:unhideWhenUsed/>
    <w:rsid w:val="00F527CC"/>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4"/>
    <w:uiPriority w:val="99"/>
    <w:semiHidden/>
    <w:unhideWhenUsed/>
    <w:rsid w:val="00F527CC"/>
    <w:pPr>
      <w:spacing w:after="120"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1">
    <w:name w:val="Table Grid 3"/>
    <w:basedOn w:val="a4"/>
    <w:uiPriority w:val="99"/>
    <w:semiHidden/>
    <w:unhideWhenUsed/>
    <w:rsid w:val="00F527CC"/>
    <w:pPr>
      <w:spacing w:after="12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a">
    <w:name w:val="Table Grid 4"/>
    <w:basedOn w:val="a4"/>
    <w:uiPriority w:val="99"/>
    <w:semiHidden/>
    <w:unhideWhenUsed/>
    <w:rsid w:val="00F527CC"/>
    <w:pPr>
      <w:spacing w:after="12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F527CC"/>
    <w:pPr>
      <w:spacing w:after="12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F527CC"/>
    <w:pPr>
      <w:spacing w:after="12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9">
    <w:name w:val="Grid Table Light"/>
    <w:basedOn w:val="a4"/>
    <w:uiPriority w:val="40"/>
    <w:rsid w:val="00F527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b">
    <w:name w:val="Table List 1"/>
    <w:basedOn w:val="a4"/>
    <w:uiPriority w:val="99"/>
    <w:semiHidden/>
    <w:unhideWhenUsed/>
    <w:rsid w:val="00F527CC"/>
    <w:pPr>
      <w:spacing w:after="12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List 2"/>
    <w:basedOn w:val="a4"/>
    <w:uiPriority w:val="99"/>
    <w:semiHidden/>
    <w:unhideWhenUsed/>
    <w:rsid w:val="00F527CC"/>
    <w:pPr>
      <w:spacing w:after="12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4"/>
    <w:uiPriority w:val="99"/>
    <w:semiHidden/>
    <w:unhideWhenUsed/>
    <w:rsid w:val="00F527CC"/>
    <w:pPr>
      <w:spacing w:after="120"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b">
    <w:name w:val="Table List 4"/>
    <w:basedOn w:val="a4"/>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b">
    <w:name w:val="Table List 5"/>
    <w:basedOn w:val="a4"/>
    <w:uiPriority w:val="99"/>
    <w:semiHidden/>
    <w:unhideWhenUsed/>
    <w:rsid w:val="00F527CC"/>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b">
    <w:name w:val="Table List 6"/>
    <w:basedOn w:val="a4"/>
    <w:uiPriority w:val="99"/>
    <w:semiHidden/>
    <w:unhideWhenUsed/>
    <w:rsid w:val="00F527CC"/>
    <w:pPr>
      <w:spacing w:after="12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7">
    <w:name w:val="Table List 7"/>
    <w:basedOn w:val="a4"/>
    <w:uiPriority w:val="99"/>
    <w:semiHidden/>
    <w:unhideWhenUsed/>
    <w:rsid w:val="00F527CC"/>
    <w:pPr>
      <w:spacing w:after="12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F527CC"/>
    <w:pPr>
      <w:spacing w:after="12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a">
    <w:name w:val="table of authorities"/>
    <w:basedOn w:val="a2"/>
    <w:next w:val="a2"/>
    <w:uiPriority w:val="99"/>
    <w:semiHidden/>
    <w:unhideWhenUsed/>
    <w:rsid w:val="00F527CC"/>
    <w:pPr>
      <w:spacing w:after="0"/>
      <w:ind w:left="220" w:hanging="220"/>
    </w:pPr>
  </w:style>
  <w:style w:type="paragraph" w:styleId="afffffb">
    <w:name w:val="table of figures"/>
    <w:basedOn w:val="a2"/>
    <w:next w:val="a2"/>
    <w:uiPriority w:val="99"/>
    <w:semiHidden/>
    <w:unhideWhenUsed/>
    <w:rsid w:val="00F527CC"/>
    <w:pPr>
      <w:spacing w:after="0"/>
    </w:pPr>
  </w:style>
  <w:style w:type="table" w:styleId="afffffc">
    <w:name w:val="Table Professional"/>
    <w:basedOn w:val="a4"/>
    <w:uiPriority w:val="99"/>
    <w:semiHidden/>
    <w:unhideWhenUsed/>
    <w:rsid w:val="00F527CC"/>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c">
    <w:name w:val="Table Simple 1"/>
    <w:basedOn w:val="a4"/>
    <w:uiPriority w:val="99"/>
    <w:semiHidden/>
    <w:unhideWhenUsed/>
    <w:rsid w:val="00F527CC"/>
    <w:pPr>
      <w:spacing w:after="12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4"/>
    <w:uiPriority w:val="99"/>
    <w:semiHidden/>
    <w:unhideWhenUsed/>
    <w:rsid w:val="00F527CC"/>
    <w:pPr>
      <w:spacing w:after="12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4"/>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Subtle 1"/>
    <w:basedOn w:val="a4"/>
    <w:uiPriority w:val="99"/>
    <w:semiHidden/>
    <w:unhideWhenUsed/>
    <w:rsid w:val="00F527CC"/>
    <w:pPr>
      <w:spacing w:after="12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Subtle 2"/>
    <w:basedOn w:val="a4"/>
    <w:uiPriority w:val="99"/>
    <w:semiHidden/>
    <w:unhideWhenUsed/>
    <w:rsid w:val="00F527CC"/>
    <w:pPr>
      <w:spacing w:after="12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d">
    <w:name w:val="Table Theme"/>
    <w:basedOn w:val="a4"/>
    <w:uiPriority w:val="99"/>
    <w:semiHidden/>
    <w:unhideWhenUsed/>
    <w:rsid w:val="00F527CC"/>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Web 1"/>
    <w:basedOn w:val="a4"/>
    <w:uiPriority w:val="99"/>
    <w:semiHidden/>
    <w:unhideWhenUsed/>
    <w:rsid w:val="00F527CC"/>
    <w:pPr>
      <w:spacing w:after="12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c">
    <w:name w:val="Table Web 2"/>
    <w:basedOn w:val="a4"/>
    <w:uiPriority w:val="99"/>
    <w:semiHidden/>
    <w:unhideWhenUsed/>
    <w:rsid w:val="00F527CC"/>
    <w:pPr>
      <w:spacing w:after="12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c">
    <w:name w:val="Table Web 3"/>
    <w:basedOn w:val="a4"/>
    <w:uiPriority w:val="99"/>
    <w:semiHidden/>
    <w:unhideWhenUsed/>
    <w:rsid w:val="00F527CC"/>
    <w:pPr>
      <w:spacing w:after="12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e">
    <w:name w:val="toa heading"/>
    <w:basedOn w:val="a2"/>
    <w:next w:val="a2"/>
    <w:uiPriority w:val="99"/>
    <w:semiHidden/>
    <w:unhideWhenUsed/>
    <w:rsid w:val="00F527CC"/>
    <w:pPr>
      <w:spacing w:before="120"/>
    </w:pPr>
    <w:rPr>
      <w:rFonts w:eastAsiaTheme="majorEastAsia" w:cs="Arial"/>
      <w:b/>
      <w:bCs/>
      <w:sz w:val="24"/>
      <w:szCs w:val="24"/>
    </w:rPr>
  </w:style>
  <w:style w:type="paragraph" w:styleId="59">
    <w:name w:val="toc 5"/>
    <w:basedOn w:val="a2"/>
    <w:next w:val="a2"/>
    <w:autoRedefine/>
    <w:uiPriority w:val="39"/>
    <w:semiHidden/>
    <w:unhideWhenUsed/>
    <w:rsid w:val="00F527CC"/>
    <w:pPr>
      <w:spacing w:after="100"/>
      <w:ind w:left="880"/>
    </w:pPr>
  </w:style>
  <w:style w:type="paragraph" w:styleId="63">
    <w:name w:val="toc 6"/>
    <w:basedOn w:val="a2"/>
    <w:next w:val="a2"/>
    <w:autoRedefine/>
    <w:uiPriority w:val="39"/>
    <w:semiHidden/>
    <w:unhideWhenUsed/>
    <w:rsid w:val="00F527CC"/>
    <w:pPr>
      <w:spacing w:after="100"/>
      <w:ind w:left="1100"/>
    </w:pPr>
  </w:style>
  <w:style w:type="paragraph" w:styleId="73">
    <w:name w:val="toc 7"/>
    <w:basedOn w:val="a2"/>
    <w:next w:val="a2"/>
    <w:autoRedefine/>
    <w:uiPriority w:val="39"/>
    <w:semiHidden/>
    <w:unhideWhenUsed/>
    <w:rsid w:val="00F527CC"/>
    <w:pPr>
      <w:spacing w:after="100"/>
      <w:ind w:left="1320"/>
    </w:pPr>
  </w:style>
  <w:style w:type="paragraph" w:styleId="83">
    <w:name w:val="toc 8"/>
    <w:basedOn w:val="a2"/>
    <w:next w:val="a2"/>
    <w:autoRedefine/>
    <w:uiPriority w:val="39"/>
    <w:semiHidden/>
    <w:unhideWhenUsed/>
    <w:rsid w:val="00F527CC"/>
    <w:pPr>
      <w:spacing w:after="100"/>
      <w:ind w:left="1540"/>
    </w:pPr>
  </w:style>
  <w:style w:type="paragraph" w:styleId="92">
    <w:name w:val="toc 9"/>
    <w:basedOn w:val="a2"/>
    <w:next w:val="a2"/>
    <w:autoRedefine/>
    <w:uiPriority w:val="39"/>
    <w:semiHidden/>
    <w:unhideWhenUsed/>
    <w:rsid w:val="00F527CC"/>
    <w:pPr>
      <w:spacing w:after="100"/>
      <w:ind w:left="1760"/>
    </w:pPr>
  </w:style>
  <w:style w:type="paragraph" w:styleId="affffff">
    <w:name w:val="TOC Heading"/>
    <w:basedOn w:val="1"/>
    <w:next w:val="a2"/>
    <w:uiPriority w:val="39"/>
    <w:semiHidden/>
    <w:unhideWhenUsed/>
    <w:qFormat/>
    <w:rsid w:val="00F527CC"/>
    <w:pPr>
      <w:numPr>
        <w:numId w:val="0"/>
      </w:numPr>
      <w:spacing w:before="240" w:after="0" w:line="240" w:lineRule="atLeast"/>
      <w:outlineLvl w:val="9"/>
    </w:pPr>
    <w:rPr>
      <w:bCs w:val="0"/>
      <w:noProof w:val="0"/>
      <w:color w:val="939599" w:themeColor="accent1" w:themeShade="BF"/>
      <w:sz w:val="32"/>
      <w:szCs w:val="32"/>
    </w:rPr>
  </w:style>
  <w:style w:type="character" w:styleId="affffff0">
    <w:name w:val="Hashtag"/>
    <w:basedOn w:val="a3"/>
    <w:uiPriority w:val="99"/>
    <w:semiHidden/>
    <w:unhideWhenUsed/>
    <w:rsid w:val="009F52F1"/>
    <w:rPr>
      <w:color w:val="2B579A"/>
      <w:shd w:val="clear" w:color="auto" w:fill="E6E6E6"/>
    </w:rPr>
  </w:style>
  <w:style w:type="character" w:styleId="affffff1">
    <w:name w:val="Mention"/>
    <w:basedOn w:val="a3"/>
    <w:uiPriority w:val="99"/>
    <w:semiHidden/>
    <w:unhideWhenUsed/>
    <w:rsid w:val="009F52F1"/>
    <w:rPr>
      <w:color w:val="2B579A"/>
      <w:shd w:val="clear" w:color="auto" w:fill="E6E6E6"/>
    </w:rPr>
  </w:style>
  <w:style w:type="character" w:styleId="-">
    <w:name w:val="Smart Hyperlink"/>
    <w:basedOn w:val="a3"/>
    <w:uiPriority w:val="99"/>
    <w:semiHidden/>
    <w:unhideWhenUsed/>
    <w:rsid w:val="009F52F1"/>
    <w:rPr>
      <w:u w:val="dotted"/>
    </w:rPr>
  </w:style>
  <w:style w:type="character" w:styleId="affffff2">
    <w:name w:val="Unresolved Mention"/>
    <w:basedOn w:val="a3"/>
    <w:uiPriority w:val="99"/>
    <w:semiHidden/>
    <w:unhideWhenUsed/>
    <w:rsid w:val="009F52F1"/>
    <w:rPr>
      <w:color w:val="808080"/>
      <w:shd w:val="clear" w:color="auto" w:fill="E6E6E6"/>
    </w:rPr>
  </w:style>
  <w:style w:type="table" w:customStyle="1" w:styleId="TableGrid2">
    <w:name w:val="Table Grid2"/>
    <w:basedOn w:val="a4"/>
    <w:next w:val="aa"/>
    <w:uiPriority w:val="59"/>
    <w:rsid w:val="009F52F1"/>
    <w:pPr>
      <w:spacing w:after="0" w:line="240" w:lineRule="auto"/>
    </w:pPr>
    <w:rPr>
      <w:rFonts w:ascii="Calibri" w:eastAsia="Calibri" w:hAnsi="Calibri"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4">
    <w:name w:val="Абзац списка Знак"/>
    <w:aliases w:val="Paragraph Знак,Header 2 Знак,Head1.1 Знак,References Знак,Paragraphe de liste1 Знак,List Paragraph1 Знак,Liste couleur - Accent 11 Знак,Liste couleur - Accent 111 Знак,Paragraphe de liste3 Знак,List Paragraph2 Знак,Bullets Знак"/>
    <w:basedOn w:val="a3"/>
    <w:link w:val="affff3"/>
    <w:uiPriority w:val="34"/>
    <w:locked/>
    <w:rsid w:val="009A6DE4"/>
    <w:rPr>
      <w:lang w:val="en-US"/>
    </w:rPr>
  </w:style>
  <w:style w:type="table" w:customStyle="1" w:styleId="TableGrid3">
    <w:name w:val="Table Grid3"/>
    <w:basedOn w:val="a4"/>
    <w:next w:val="aa"/>
    <w:uiPriority w:val="39"/>
    <w:rsid w:val="00485066"/>
    <w:pPr>
      <w:spacing w:after="0" w:line="240" w:lineRule="auto"/>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4"/>
    <w:next w:val="aa"/>
    <w:uiPriority w:val="59"/>
    <w:rsid w:val="003F4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n Char2,Footnote ak Char2,fn Char Char2,footnote text Char Char1,Footnotes Char Char2,Footnote ak Char Char1,ft Char1,fn cafc Char1,Footnotes Char Char Char1,Footnote Text Char Char Char1,fn Char Char Char1,footnote text Char2"/>
    <w:basedOn w:val="a3"/>
    <w:uiPriority w:val="99"/>
    <w:semiHidden/>
    <w:locked/>
    <w:rsid w:val="004807FB"/>
    <w:rPr>
      <w:rFonts w:ascii="Arial" w:eastAsia="SimSun" w:hAnsi="Arial" w:cs="Times New Roman"/>
      <w:sz w:val="20"/>
      <w:szCs w:val="20"/>
      <w:lang w:val="en-US" w:eastAsia="zh-CN"/>
    </w:rPr>
  </w:style>
  <w:style w:type="paragraph" w:styleId="affffff3">
    <w:name w:val="Revision"/>
    <w:hidden/>
    <w:uiPriority w:val="99"/>
    <w:semiHidden/>
    <w:rsid w:val="00F85686"/>
    <w:pPr>
      <w:spacing w:after="0" w:line="240" w:lineRule="auto"/>
    </w:pPr>
    <w:rPr>
      <w:lang w:val="en-US"/>
    </w:rPr>
  </w:style>
  <w:style w:type="paragraph" w:customStyle="1" w:styleId="paragraph">
    <w:name w:val="paragraph"/>
    <w:basedOn w:val="a2"/>
    <w:rsid w:val="00854A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3"/>
    <w:rsid w:val="00854A89"/>
  </w:style>
  <w:style w:type="character" w:customStyle="1" w:styleId="eop">
    <w:name w:val="eop"/>
    <w:basedOn w:val="a3"/>
    <w:rsid w:val="00854A89"/>
  </w:style>
  <w:style w:type="paragraph" w:customStyle="1" w:styleId="Default">
    <w:name w:val="Default"/>
    <w:rsid w:val="00172EDE"/>
    <w:pPr>
      <w:autoSpaceDE w:val="0"/>
      <w:autoSpaceDN w:val="0"/>
      <w:adjustRightInd w:val="0"/>
      <w:spacing w:after="0" w:line="240" w:lineRule="auto"/>
    </w:pPr>
    <w:rPr>
      <w:rFonts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354179">
      <w:bodyDiv w:val="1"/>
      <w:marLeft w:val="0"/>
      <w:marRight w:val="0"/>
      <w:marTop w:val="0"/>
      <w:marBottom w:val="0"/>
      <w:divBdr>
        <w:top w:val="none" w:sz="0" w:space="0" w:color="auto"/>
        <w:left w:val="none" w:sz="0" w:space="0" w:color="auto"/>
        <w:bottom w:val="none" w:sz="0" w:space="0" w:color="auto"/>
        <w:right w:val="none" w:sz="0" w:space="0" w:color="auto"/>
      </w:divBdr>
    </w:div>
    <w:div w:id="770050259">
      <w:bodyDiv w:val="1"/>
      <w:marLeft w:val="0"/>
      <w:marRight w:val="0"/>
      <w:marTop w:val="0"/>
      <w:marBottom w:val="0"/>
      <w:divBdr>
        <w:top w:val="none" w:sz="0" w:space="0" w:color="auto"/>
        <w:left w:val="none" w:sz="0" w:space="0" w:color="auto"/>
        <w:bottom w:val="none" w:sz="0" w:space="0" w:color="auto"/>
        <w:right w:val="none" w:sz="0" w:space="0" w:color="auto"/>
      </w:divBdr>
      <w:divsChild>
        <w:div w:id="615406717">
          <w:marLeft w:val="0"/>
          <w:marRight w:val="0"/>
          <w:marTop w:val="0"/>
          <w:marBottom w:val="0"/>
          <w:divBdr>
            <w:top w:val="none" w:sz="0" w:space="0" w:color="auto"/>
            <w:left w:val="none" w:sz="0" w:space="0" w:color="auto"/>
            <w:bottom w:val="none" w:sz="0" w:space="0" w:color="auto"/>
            <w:right w:val="none" w:sz="0" w:space="0" w:color="auto"/>
          </w:divBdr>
        </w:div>
        <w:div w:id="1401707039">
          <w:marLeft w:val="0"/>
          <w:marRight w:val="0"/>
          <w:marTop w:val="0"/>
          <w:marBottom w:val="0"/>
          <w:divBdr>
            <w:top w:val="none" w:sz="0" w:space="0" w:color="auto"/>
            <w:left w:val="none" w:sz="0" w:space="0" w:color="auto"/>
            <w:bottom w:val="none" w:sz="0" w:space="0" w:color="auto"/>
            <w:right w:val="none" w:sz="0" w:space="0" w:color="auto"/>
          </w:divBdr>
        </w:div>
        <w:div w:id="1336882401">
          <w:marLeft w:val="0"/>
          <w:marRight w:val="0"/>
          <w:marTop w:val="0"/>
          <w:marBottom w:val="0"/>
          <w:divBdr>
            <w:top w:val="none" w:sz="0" w:space="0" w:color="auto"/>
            <w:left w:val="none" w:sz="0" w:space="0" w:color="auto"/>
            <w:bottom w:val="none" w:sz="0" w:space="0" w:color="auto"/>
            <w:right w:val="none" w:sz="0" w:space="0" w:color="auto"/>
          </w:divBdr>
        </w:div>
        <w:div w:id="327294719">
          <w:marLeft w:val="0"/>
          <w:marRight w:val="0"/>
          <w:marTop w:val="0"/>
          <w:marBottom w:val="0"/>
          <w:divBdr>
            <w:top w:val="none" w:sz="0" w:space="0" w:color="auto"/>
            <w:left w:val="none" w:sz="0" w:space="0" w:color="auto"/>
            <w:bottom w:val="none" w:sz="0" w:space="0" w:color="auto"/>
            <w:right w:val="none" w:sz="0" w:space="0" w:color="auto"/>
          </w:divBdr>
        </w:div>
      </w:divsChild>
    </w:div>
    <w:div w:id="805001953">
      <w:bodyDiv w:val="1"/>
      <w:marLeft w:val="0"/>
      <w:marRight w:val="0"/>
      <w:marTop w:val="0"/>
      <w:marBottom w:val="0"/>
      <w:divBdr>
        <w:top w:val="none" w:sz="0" w:space="0" w:color="auto"/>
        <w:left w:val="none" w:sz="0" w:space="0" w:color="auto"/>
        <w:bottom w:val="none" w:sz="0" w:space="0" w:color="auto"/>
        <w:right w:val="none" w:sz="0" w:space="0" w:color="auto"/>
      </w:divBdr>
    </w:div>
    <w:div w:id="1015956237">
      <w:bodyDiv w:val="1"/>
      <w:marLeft w:val="0"/>
      <w:marRight w:val="0"/>
      <w:marTop w:val="0"/>
      <w:marBottom w:val="0"/>
      <w:divBdr>
        <w:top w:val="none" w:sz="0" w:space="0" w:color="auto"/>
        <w:left w:val="none" w:sz="0" w:space="0" w:color="auto"/>
        <w:bottom w:val="none" w:sz="0" w:space="0" w:color="auto"/>
        <w:right w:val="none" w:sz="0" w:space="0" w:color="auto"/>
      </w:divBdr>
    </w:div>
    <w:div w:id="1160806021">
      <w:bodyDiv w:val="1"/>
      <w:marLeft w:val="0"/>
      <w:marRight w:val="0"/>
      <w:marTop w:val="0"/>
      <w:marBottom w:val="0"/>
      <w:divBdr>
        <w:top w:val="none" w:sz="0" w:space="0" w:color="auto"/>
        <w:left w:val="none" w:sz="0" w:space="0" w:color="auto"/>
        <w:bottom w:val="none" w:sz="0" w:space="0" w:color="auto"/>
        <w:right w:val="none" w:sz="0" w:space="0" w:color="auto"/>
      </w:divBdr>
    </w:div>
    <w:div w:id="1171530505">
      <w:bodyDiv w:val="1"/>
      <w:marLeft w:val="0"/>
      <w:marRight w:val="0"/>
      <w:marTop w:val="0"/>
      <w:marBottom w:val="0"/>
      <w:divBdr>
        <w:top w:val="none" w:sz="0" w:space="0" w:color="auto"/>
        <w:left w:val="none" w:sz="0" w:space="0" w:color="auto"/>
        <w:bottom w:val="none" w:sz="0" w:space="0" w:color="auto"/>
        <w:right w:val="none" w:sz="0" w:space="0" w:color="auto"/>
      </w:divBdr>
    </w:div>
    <w:div w:id="1306349821">
      <w:bodyDiv w:val="1"/>
      <w:marLeft w:val="0"/>
      <w:marRight w:val="0"/>
      <w:marTop w:val="0"/>
      <w:marBottom w:val="0"/>
      <w:divBdr>
        <w:top w:val="none" w:sz="0" w:space="0" w:color="auto"/>
        <w:left w:val="none" w:sz="0" w:space="0" w:color="auto"/>
        <w:bottom w:val="none" w:sz="0" w:space="0" w:color="auto"/>
        <w:right w:val="none" w:sz="0" w:space="0" w:color="auto"/>
      </w:divBdr>
    </w:div>
    <w:div w:id="1546218926">
      <w:bodyDiv w:val="1"/>
      <w:marLeft w:val="0"/>
      <w:marRight w:val="0"/>
      <w:marTop w:val="0"/>
      <w:marBottom w:val="0"/>
      <w:divBdr>
        <w:top w:val="none" w:sz="0" w:space="0" w:color="auto"/>
        <w:left w:val="none" w:sz="0" w:space="0" w:color="auto"/>
        <w:bottom w:val="none" w:sz="0" w:space="0" w:color="auto"/>
        <w:right w:val="none" w:sz="0" w:space="0" w:color="auto"/>
      </w:divBdr>
      <w:divsChild>
        <w:div w:id="1890413426">
          <w:marLeft w:val="0"/>
          <w:marRight w:val="0"/>
          <w:marTop w:val="0"/>
          <w:marBottom w:val="0"/>
          <w:divBdr>
            <w:top w:val="none" w:sz="0" w:space="0" w:color="auto"/>
            <w:left w:val="none" w:sz="0" w:space="0" w:color="auto"/>
            <w:bottom w:val="none" w:sz="0" w:space="0" w:color="auto"/>
            <w:right w:val="none" w:sz="0" w:space="0" w:color="auto"/>
          </w:divBdr>
        </w:div>
        <w:div w:id="733312497">
          <w:marLeft w:val="0"/>
          <w:marRight w:val="0"/>
          <w:marTop w:val="0"/>
          <w:marBottom w:val="0"/>
          <w:divBdr>
            <w:top w:val="none" w:sz="0" w:space="0" w:color="auto"/>
            <w:left w:val="none" w:sz="0" w:space="0" w:color="auto"/>
            <w:bottom w:val="none" w:sz="0" w:space="0" w:color="auto"/>
            <w:right w:val="none" w:sz="0" w:space="0" w:color="auto"/>
          </w:divBdr>
        </w:div>
      </w:divsChild>
    </w:div>
    <w:div w:id="1752045835">
      <w:bodyDiv w:val="1"/>
      <w:marLeft w:val="0"/>
      <w:marRight w:val="0"/>
      <w:marTop w:val="0"/>
      <w:marBottom w:val="0"/>
      <w:divBdr>
        <w:top w:val="none" w:sz="0" w:space="0" w:color="auto"/>
        <w:left w:val="none" w:sz="0" w:space="0" w:color="auto"/>
        <w:bottom w:val="none" w:sz="0" w:space="0" w:color="auto"/>
        <w:right w:val="none" w:sz="0" w:space="0" w:color="auto"/>
      </w:divBdr>
    </w:div>
    <w:div w:id="1989626193">
      <w:bodyDiv w:val="1"/>
      <w:marLeft w:val="0"/>
      <w:marRight w:val="0"/>
      <w:marTop w:val="0"/>
      <w:marBottom w:val="0"/>
      <w:divBdr>
        <w:top w:val="none" w:sz="0" w:space="0" w:color="auto"/>
        <w:left w:val="none" w:sz="0" w:space="0" w:color="auto"/>
        <w:bottom w:val="none" w:sz="0" w:space="0" w:color="auto"/>
        <w:right w:val="none" w:sz="0" w:space="0" w:color="auto"/>
      </w:divBdr>
      <w:divsChild>
        <w:div w:id="984166780">
          <w:marLeft w:val="0"/>
          <w:marRight w:val="0"/>
          <w:marTop w:val="0"/>
          <w:marBottom w:val="0"/>
          <w:divBdr>
            <w:top w:val="none" w:sz="0" w:space="0" w:color="auto"/>
            <w:left w:val="none" w:sz="0" w:space="0" w:color="auto"/>
            <w:bottom w:val="none" w:sz="0" w:space="0" w:color="auto"/>
            <w:right w:val="none" w:sz="0" w:space="0" w:color="auto"/>
          </w:divBdr>
        </w:div>
        <w:div w:id="28337869">
          <w:marLeft w:val="0"/>
          <w:marRight w:val="0"/>
          <w:marTop w:val="0"/>
          <w:marBottom w:val="0"/>
          <w:divBdr>
            <w:top w:val="none" w:sz="0" w:space="0" w:color="auto"/>
            <w:left w:val="none" w:sz="0" w:space="0" w:color="auto"/>
            <w:bottom w:val="none" w:sz="0" w:space="0" w:color="auto"/>
            <w:right w:val="none" w:sz="0" w:space="0" w:color="auto"/>
          </w:divBdr>
        </w:div>
        <w:div w:id="1733889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heglobalfund.org/en/funding-model/applying/resourc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14thissue.russianartfocus.com/kyrgyzstans-scandal-struck-first-feminnale/" TargetMode="External"/><Relationship Id="rId13" Type="http://schemas.openxmlformats.org/officeDocument/2006/relationships/hyperlink" Target="http://cbd.minjust.gov.kg/act/view/ru-ru/111570" TargetMode="External"/><Relationship Id="rId3" Type="http://schemas.openxmlformats.org/officeDocument/2006/relationships/hyperlink" Target="http://kenesh.kg/ru/draftlaw/122027/show" TargetMode="External"/><Relationship Id="rId7" Type="http://schemas.openxmlformats.org/officeDocument/2006/relationships/hyperlink" Target="https://www.colta.ru/articles/art/23366-feminnale-v-bishkeke-itogi" TargetMode="External"/><Relationship Id="rId12" Type="http://schemas.openxmlformats.org/officeDocument/2006/relationships/hyperlink" Target="https://24.kg/obschestvo/145875_razgon_marsha_zaprava_jenschin_kak_reagirovali_gorojane_ivlasti/" TargetMode="External"/><Relationship Id="rId2" Type="http://schemas.openxmlformats.org/officeDocument/2006/relationships/hyperlink" Target="http://hivtbcc.kg/proekti/37-programma-pravitelstva-kyrgyzskoi-respubliki-po-preodoleniyu-tb-infekcii-v-kyrgyzskoi-respublike.html" TargetMode="External"/><Relationship Id="rId1" Type="http://schemas.openxmlformats.org/officeDocument/2006/relationships/hyperlink" Target="https://extranet.who.int/sree/Reports?op=Replet&amp;name=%2FWHO_HQ_Reports%2FG2%2FPROD%2FEXT%2FTBCountryProfile&amp;ISO2=KG&amp;LAN=EN&amp;outtype=html" TargetMode="External"/><Relationship Id="rId6" Type="http://schemas.openxmlformats.org/officeDocument/2006/relationships/hyperlink" Target="http://cbd.minjust.gov.kg/act/view/ru-ru/216902?cl=ru-ru" TargetMode="External"/><Relationship Id="rId11" Type="http://schemas.openxmlformats.org/officeDocument/2006/relationships/hyperlink" Target="https://www.vb.kg/doc/377159_lgbt_na_mirnom_marshe_8_go_marta:_mera_bishkeka_podstavili.html" TargetMode="External"/><Relationship Id="rId5" Type="http://schemas.openxmlformats.org/officeDocument/2006/relationships/hyperlink" Target="http://cbd.minjust.gov.kg/act/view/ru-ru/11589?cl=ru-ru" TargetMode="External"/><Relationship Id="rId10" Type="http://schemas.openxmlformats.org/officeDocument/2006/relationships/hyperlink" Target="https://vesti.kg/obshchestvo/item/59278-flag-lgbt-v-tsentre-bishkeka-foto.html" TargetMode="External"/><Relationship Id="rId4" Type="http://schemas.openxmlformats.org/officeDocument/2006/relationships/hyperlink" Target="http://www.kenesh.kg/ru/draftlaw/579931/show" TargetMode="External"/><Relationship Id="rId9" Type="http://schemas.openxmlformats.org/officeDocument/2006/relationships/hyperlink" Target="https://24.kg/obschestvo/137552_bolot_djunusov_oskandale_sfeminale_sila_natsii_nevpletkah_pered_jenschino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Vinichenko\AppData\Roaming\Microsoft\Templates\GF%20Report%20Template%201%20Column.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4473167525909999E-2"/>
          <c:y val="2.19301327491544E-2"/>
          <c:w val="0.91254107125498196"/>
          <c:h val="0.72520341207349104"/>
        </c:manualLayout>
      </c:layout>
      <c:lineChart>
        <c:grouping val="standard"/>
        <c:varyColors val="0"/>
        <c:ser>
          <c:idx val="0"/>
          <c:order val="0"/>
          <c:tx>
            <c:strRef>
              <c:f>Sheet1!$B$1</c:f>
              <c:strCache>
                <c:ptCount val="1"/>
                <c:pt idx="0">
                  <c:v>Civilian TB incidence</c:v>
                </c:pt>
              </c:strCache>
            </c:strRef>
          </c:tx>
          <c:dLbls>
            <c:dLbl>
              <c:idx val="0"/>
              <c:layout>
                <c:manualLayout>
                  <c:x val="-3.0864197530864199E-2"/>
                  <c:y val="2.86458333333333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AB7-4744-8A9E-B7C09D0A12A6}"/>
                </c:ext>
              </c:extLst>
            </c:dLbl>
            <c:dLbl>
              <c:idx val="1"/>
              <c:layout>
                <c:manualLayout>
                  <c:x val="-3.7037037037037E-2"/>
                  <c:y val="2.86458333333334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AB7-4744-8A9E-B7C09D0A12A6}"/>
                </c:ext>
              </c:extLst>
            </c:dLbl>
            <c:dLbl>
              <c:idx val="2"/>
              <c:layout>
                <c:manualLayout>
                  <c:x val="-4.0123456790123503E-2"/>
                  <c:y val="3.906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AB7-4744-8A9E-B7C09D0A12A6}"/>
                </c:ext>
              </c:extLst>
            </c:dLbl>
            <c:dLbl>
              <c:idx val="3"/>
              <c:layout>
                <c:manualLayout>
                  <c:x val="-4.3209876543209902E-2"/>
                  <c:y val="2.86458333333333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AB7-4744-8A9E-B7C09D0A12A6}"/>
                </c:ext>
              </c:extLst>
            </c:dLbl>
            <c:dLbl>
              <c:idx val="4"/>
              <c:layout>
                <c:manualLayout>
                  <c:x val="-3.5493827160493902E-2"/>
                  <c:y val="4.16666666666666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AB7-4744-8A9E-B7C09D0A12A6}"/>
                </c:ext>
              </c:extLst>
            </c:dLbl>
            <c:dLbl>
              <c:idx val="5"/>
              <c:layout>
                <c:manualLayout>
                  <c:x val="-4.0123456790123503E-2"/>
                  <c:y val="-3.906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AB7-4744-8A9E-B7C09D0A12A6}"/>
                </c:ext>
              </c:extLst>
            </c:dLbl>
            <c:dLbl>
              <c:idx val="6"/>
              <c:layout>
                <c:manualLayout>
                  <c:x val="-5.2469135802469098E-2"/>
                  <c:y val="1.82291666666666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AB7-4744-8A9E-B7C09D0A12A6}"/>
                </c:ext>
              </c:extLst>
            </c:dLbl>
            <c:dLbl>
              <c:idx val="7"/>
              <c:layout>
                <c:manualLayout>
                  <c:x val="-4.4753086419753098E-2"/>
                  <c:y val="3.64583333333333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AB7-4744-8A9E-B7C09D0A12A6}"/>
                </c:ext>
              </c:extLst>
            </c:dLbl>
            <c:dLbl>
              <c:idx val="8"/>
              <c:layout>
                <c:manualLayout>
                  <c:x val="-3.7037037037037E-2"/>
                  <c:y val="4.16666666666666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AB7-4744-8A9E-B7C09D0A12A6}"/>
                </c:ext>
              </c:extLst>
            </c:dLbl>
            <c:dLbl>
              <c:idx val="9"/>
              <c:layout>
                <c:manualLayout>
                  <c:x val="-4.0123456790123503E-2"/>
                  <c:y val="3.38541666666666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AB7-4744-8A9E-B7C09D0A12A6}"/>
                </c:ext>
              </c:extLst>
            </c:dLbl>
            <c:dLbl>
              <c:idx val="10"/>
              <c:layout>
                <c:manualLayout>
                  <c:x val="-3.3950617283950602E-2"/>
                  <c:y val="3.1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AB7-4744-8A9E-B7C09D0A12A6}"/>
                </c:ext>
              </c:extLst>
            </c:dLbl>
            <c:dLbl>
              <c:idx val="11"/>
              <c:layout>
                <c:manualLayout>
                  <c:x val="-5.5555555555555497E-2"/>
                  <c:y val="7.03125000000000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AB7-4744-8A9E-B7C09D0A12A6}"/>
                </c:ext>
              </c:extLst>
            </c:dLbl>
            <c:dLbl>
              <c:idx val="12"/>
              <c:layout>
                <c:manualLayout>
                  <c:x val="-4.9382716049382699E-2"/>
                  <c:y val="2.60416666666666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AB7-4744-8A9E-B7C09D0A12A6}"/>
                </c:ext>
              </c:extLst>
            </c:dLbl>
            <c:dLbl>
              <c:idx val="13"/>
              <c:layout>
                <c:manualLayout>
                  <c:x val="-3.3950617283950602E-2"/>
                  <c:y val="3.906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AB7-4744-8A9E-B7C09D0A12A6}"/>
                </c:ext>
              </c:extLst>
            </c:dLbl>
            <c:dLbl>
              <c:idx val="14"/>
              <c:layout>
                <c:manualLayout>
                  <c:x val="-2.6234567901234601E-2"/>
                  <c:y val="3.906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AB7-4744-8A9E-B7C09D0A12A6}"/>
                </c:ext>
              </c:extLst>
            </c:dLbl>
            <c:dLbl>
              <c:idx val="15"/>
              <c:layout>
                <c:manualLayout>
                  <c:x val="-2.9320987654321E-2"/>
                  <c:y val="2.86458333333334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AB7-4744-8A9E-B7C09D0A12A6}"/>
                </c:ext>
              </c:extLst>
            </c:dLbl>
            <c:dLbl>
              <c:idx val="16"/>
              <c:layout>
                <c:manualLayout>
                  <c:x val="-3.2407407407407399E-2"/>
                  <c:y val="2.86458333333333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AB7-4744-8A9E-B7C09D0A12A6}"/>
                </c:ext>
              </c:extLst>
            </c:dLbl>
            <c:dLbl>
              <c:idx val="17"/>
              <c:layout>
                <c:manualLayout>
                  <c:x val="-2.6234567901234601E-2"/>
                  <c:y val="3.38541666666666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AB7-4744-8A9E-B7C09D0A12A6}"/>
                </c:ext>
              </c:extLst>
            </c:dLbl>
            <c:dLbl>
              <c:idx val="18"/>
              <c:layout>
                <c:manualLayout>
                  <c:x val="-1.85185185185184E-2"/>
                  <c:y val="3.1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5AB7-4744-8A9E-B7C09D0A12A6}"/>
                </c:ext>
              </c:extLst>
            </c:dLbl>
            <c:dLbl>
              <c:idx val="19"/>
              <c:layout>
                <c:manualLayout>
                  <c:x val="-2.1604938271604899E-2"/>
                  <c:y val="2.86458333333333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5AB7-4744-8A9E-B7C09D0A12A6}"/>
                </c:ext>
              </c:extLst>
            </c:dLbl>
            <c:dLbl>
              <c:idx val="20"/>
              <c:layout>
                <c:manualLayout>
                  <c:x val="-1.54320987654321E-2"/>
                  <c:y val="2.86458333333333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5AB7-4744-8A9E-B7C09D0A12A6}"/>
                </c:ext>
              </c:extLst>
            </c:dLbl>
            <c:dLbl>
              <c:idx val="21"/>
              <c:layout>
                <c:manualLayout>
                  <c:x val="-1.6975308641975301E-2"/>
                  <c:y val="4.94791666666666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5AB7-4744-8A9E-B7C09D0A12A6}"/>
                </c:ext>
              </c:extLst>
            </c:dLbl>
            <c:dLbl>
              <c:idx val="22"/>
              <c:layout>
                <c:manualLayout>
                  <c:x val="0"/>
                  <c:y val="7.2916666666666699E-2"/>
                </c:manualLayout>
              </c:layout>
              <c:tx>
                <c:rich>
                  <a:bodyPr/>
                  <a:lstStyle/>
                  <a:p>
                    <a:r>
                      <a:rPr lang="en-US"/>
                      <a:t>80,8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5AB7-4744-8A9E-B7C09D0A12A6}"/>
                </c:ext>
              </c:extLst>
            </c:dLbl>
            <c:spPr>
              <a:noFill/>
              <a:ln>
                <a:noFill/>
              </a:ln>
              <a:effectLst/>
            </c:spPr>
            <c:txPr>
              <a:bodyPr rot="1200000"/>
              <a:lstStyle/>
              <a:p>
                <a:pPr>
                  <a:defRPr sz="1000" b="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Sheet1!$A$2:$A$24</c:f>
              <c:numCache>
                <c:formatCode>General</c:formatCode>
                <c:ptCount val="23"/>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numCache>
            </c:numRef>
          </c:cat>
          <c:val>
            <c:numRef>
              <c:f>Sheet1!$B$2:$B$24</c:f>
              <c:numCache>
                <c:formatCode>General</c:formatCode>
                <c:ptCount val="23"/>
                <c:pt idx="0">
                  <c:v>86.9</c:v>
                </c:pt>
                <c:pt idx="1">
                  <c:v>95.3</c:v>
                </c:pt>
                <c:pt idx="2">
                  <c:v>108.9</c:v>
                </c:pt>
                <c:pt idx="3">
                  <c:v>114.4</c:v>
                </c:pt>
                <c:pt idx="4">
                  <c:v>121.8</c:v>
                </c:pt>
                <c:pt idx="5">
                  <c:v>127.3</c:v>
                </c:pt>
                <c:pt idx="6">
                  <c:v>126.4</c:v>
                </c:pt>
                <c:pt idx="7">
                  <c:v>123.2</c:v>
                </c:pt>
                <c:pt idx="8">
                  <c:v>113.6</c:v>
                </c:pt>
                <c:pt idx="9">
                  <c:v>115.7</c:v>
                </c:pt>
                <c:pt idx="10">
                  <c:v>110.9</c:v>
                </c:pt>
                <c:pt idx="11">
                  <c:v>108.8</c:v>
                </c:pt>
                <c:pt idx="12">
                  <c:v>101.6</c:v>
                </c:pt>
                <c:pt idx="13">
                  <c:v>100.9</c:v>
                </c:pt>
                <c:pt idx="14">
                  <c:v>97.4</c:v>
                </c:pt>
                <c:pt idx="15">
                  <c:v>95.1</c:v>
                </c:pt>
                <c:pt idx="16">
                  <c:v>101.2</c:v>
                </c:pt>
                <c:pt idx="17">
                  <c:v>99.8</c:v>
                </c:pt>
                <c:pt idx="18">
                  <c:v>98.8</c:v>
                </c:pt>
                <c:pt idx="19">
                  <c:v>94.4</c:v>
                </c:pt>
                <c:pt idx="20">
                  <c:v>91.3</c:v>
                </c:pt>
                <c:pt idx="21">
                  <c:v>88.5</c:v>
                </c:pt>
                <c:pt idx="22">
                  <c:v>82.8</c:v>
                </c:pt>
              </c:numCache>
            </c:numRef>
          </c:val>
          <c:smooth val="0"/>
          <c:extLst>
            <c:ext xmlns:c16="http://schemas.microsoft.com/office/drawing/2014/chart" uri="{C3380CC4-5D6E-409C-BE32-E72D297353CC}">
              <c16:uniqueId val="{00000017-5AB7-4744-8A9E-B7C09D0A12A6}"/>
            </c:ext>
          </c:extLst>
        </c:ser>
        <c:ser>
          <c:idx val="1"/>
          <c:order val="1"/>
          <c:tx>
            <c:strRef>
              <c:f>Sheet1!$C$1</c:f>
              <c:strCache>
                <c:ptCount val="1"/>
                <c:pt idx="0">
                  <c:v>TB incidence, including penitentiary</c:v>
                </c:pt>
              </c:strCache>
            </c:strRef>
          </c:tx>
          <c:dLbls>
            <c:dLbl>
              <c:idx val="1"/>
              <c:layout>
                <c:manualLayout>
                  <c:x val="-6.4814814814814797E-2"/>
                  <c:y val="-2.60416666666666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5AB7-4744-8A9E-B7C09D0A12A6}"/>
                </c:ext>
              </c:extLst>
            </c:dLbl>
            <c:dLbl>
              <c:idx val="2"/>
              <c:layout>
                <c:manualLayout>
                  <c:x val="-5.2469135802469098E-2"/>
                  <c:y val="-3.38541666666666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5AB7-4744-8A9E-B7C09D0A12A6}"/>
                </c:ext>
              </c:extLst>
            </c:dLbl>
            <c:dLbl>
              <c:idx val="3"/>
              <c:layout>
                <c:manualLayout>
                  <c:x val="-6.0185185185185203E-2"/>
                  <c:y val="-5.20833333333333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5AB7-4744-8A9E-B7C09D0A12A6}"/>
                </c:ext>
              </c:extLst>
            </c:dLbl>
            <c:dLbl>
              <c:idx val="4"/>
              <c:layout>
                <c:manualLayout>
                  <c:x val="-5.5555555555555497E-2"/>
                  <c:y val="-4.16666666666666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5AB7-4744-8A9E-B7C09D0A12A6}"/>
                </c:ext>
              </c:extLst>
            </c:dLbl>
            <c:dLbl>
              <c:idx val="5"/>
              <c:layout>
                <c:manualLayout>
                  <c:x val="-3.8580246913580203E-2"/>
                  <c:y val="-3.85258776246718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5AB7-4744-8A9E-B7C09D0A12A6}"/>
                </c:ext>
              </c:extLst>
            </c:dLbl>
            <c:dLbl>
              <c:idx val="6"/>
              <c:layout>
                <c:manualLayout>
                  <c:x val="-2.7777777777777801E-2"/>
                  <c:y val="-4.94791666666666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5AB7-4744-8A9E-B7C09D0A12A6}"/>
                </c:ext>
              </c:extLst>
            </c:dLbl>
            <c:dLbl>
              <c:idx val="7"/>
              <c:layout>
                <c:manualLayout>
                  <c:x val="-4.0123456790123503E-2"/>
                  <c:y val="-4.16666666666666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5AB7-4744-8A9E-B7C09D0A12A6}"/>
                </c:ext>
              </c:extLst>
            </c:dLbl>
            <c:dLbl>
              <c:idx val="8"/>
              <c:layout>
                <c:manualLayout>
                  <c:x val="-4.6296296296296301E-2"/>
                  <c:y val="-4.16666666666666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5AB7-4744-8A9E-B7C09D0A12A6}"/>
                </c:ext>
              </c:extLst>
            </c:dLbl>
            <c:dLbl>
              <c:idx val="9"/>
              <c:layout>
                <c:manualLayout>
                  <c:x val="-4.0123578302712203E-2"/>
                  <c:y val="-3.64583333333333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5AB7-4744-8A9E-B7C09D0A12A6}"/>
                </c:ext>
              </c:extLst>
            </c:dLbl>
            <c:dLbl>
              <c:idx val="10"/>
              <c:layout>
                <c:manualLayout>
                  <c:x val="-3.3950617283950602E-2"/>
                  <c:y val="-4.68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5AB7-4744-8A9E-B7C09D0A12A6}"/>
                </c:ext>
              </c:extLst>
            </c:dLbl>
            <c:dLbl>
              <c:idx val="11"/>
              <c:layout>
                <c:manualLayout>
                  <c:x val="-3.5493827160493797E-2"/>
                  <c:y val="-5.20833333333333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5AB7-4744-8A9E-B7C09D0A12A6}"/>
                </c:ext>
              </c:extLst>
            </c:dLbl>
            <c:dLbl>
              <c:idx val="12"/>
              <c:layout>
                <c:manualLayout>
                  <c:x val="-3.8580246913580203E-2"/>
                  <c:y val="-5.72916666666666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5AB7-4744-8A9E-B7C09D0A12A6}"/>
                </c:ext>
              </c:extLst>
            </c:dLbl>
            <c:dLbl>
              <c:idx val="13"/>
              <c:layout>
                <c:manualLayout>
                  <c:x val="-3.2407407407407399E-2"/>
                  <c:y val="-5.20833333333333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5AB7-4744-8A9E-B7C09D0A12A6}"/>
                </c:ext>
              </c:extLst>
            </c:dLbl>
            <c:dLbl>
              <c:idx val="14"/>
              <c:layout>
                <c:manualLayout>
                  <c:x val="-3.3950617283950602E-2"/>
                  <c:y val="-4.68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5AB7-4744-8A9E-B7C09D0A12A6}"/>
                </c:ext>
              </c:extLst>
            </c:dLbl>
            <c:dLbl>
              <c:idx val="15"/>
              <c:layout>
                <c:manualLayout>
                  <c:x val="-3.7037037037037E-2"/>
                  <c:y val="-4.94791666666666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5AB7-4744-8A9E-B7C09D0A12A6}"/>
                </c:ext>
              </c:extLst>
            </c:dLbl>
            <c:dLbl>
              <c:idx val="16"/>
              <c:layout>
                <c:manualLayout>
                  <c:x val="-3.2407407407407399E-2"/>
                  <c:y val="-4.94791666666666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5AB7-4744-8A9E-B7C09D0A12A6}"/>
                </c:ext>
              </c:extLst>
            </c:dLbl>
            <c:dLbl>
              <c:idx val="17"/>
              <c:layout>
                <c:manualLayout>
                  <c:x val="-4.3209876543209902E-2"/>
                  <c:y val="-4.16666666666666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5AB7-4744-8A9E-B7C09D0A12A6}"/>
                </c:ext>
              </c:extLst>
            </c:dLbl>
            <c:dLbl>
              <c:idx val="18"/>
              <c:layout>
                <c:manualLayout>
                  <c:x val="-3.5493827160493797E-2"/>
                  <c:y val="-4.68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5AB7-4744-8A9E-B7C09D0A12A6}"/>
                </c:ext>
              </c:extLst>
            </c:dLbl>
            <c:dLbl>
              <c:idx val="19"/>
              <c:layout>
                <c:manualLayout>
                  <c:x val="-2.9320987654321E-2"/>
                  <c:y val="-4.68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A-5AB7-4744-8A9E-B7C09D0A12A6}"/>
                </c:ext>
              </c:extLst>
            </c:dLbl>
            <c:dLbl>
              <c:idx val="20"/>
              <c:layout>
                <c:manualLayout>
                  <c:x val="-3.2407407407407399E-2"/>
                  <c:y val="-4.94791666666666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B-5AB7-4744-8A9E-B7C09D0A12A6}"/>
                </c:ext>
              </c:extLst>
            </c:dLbl>
            <c:dLbl>
              <c:idx val="21"/>
              <c:layout>
                <c:manualLayout>
                  <c:x val="-2.4691358024691398E-2"/>
                  <c:y val="-4.42708333333333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C-5AB7-4744-8A9E-B7C09D0A12A6}"/>
                </c:ext>
              </c:extLst>
            </c:dLbl>
            <c:dLbl>
              <c:idx val="22"/>
              <c:layout>
                <c:manualLayout>
                  <c:x val="0"/>
                  <c:y val="-4.9479166666666699E-2"/>
                </c:manualLayout>
              </c:layout>
              <c:tx>
                <c:rich>
                  <a:bodyPr/>
                  <a:lstStyle/>
                  <a:p>
                    <a:r>
                      <a:rPr lang="en-US"/>
                      <a:t>83,0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D-5AB7-4744-8A9E-B7C09D0A12A6}"/>
                </c:ext>
              </c:extLst>
            </c:dLbl>
            <c:spPr>
              <a:noFill/>
              <a:ln>
                <a:noFill/>
              </a:ln>
              <a:effectLst/>
            </c:spPr>
            <c:txPr>
              <a:bodyPr rot="-1800000" vert="horz"/>
              <a:lstStyle/>
              <a:p>
                <a:pPr>
                  <a:defRPr sz="1000" b="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Sheet1!$A$2:$A$24</c:f>
              <c:numCache>
                <c:formatCode>General</c:formatCode>
                <c:ptCount val="23"/>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numCache>
            </c:numRef>
          </c:cat>
          <c:val>
            <c:numRef>
              <c:f>Sheet1!$C$2:$C$24</c:f>
              <c:numCache>
                <c:formatCode>General</c:formatCode>
                <c:ptCount val="23"/>
                <c:pt idx="1">
                  <c:v>112.7</c:v>
                </c:pt>
                <c:pt idx="2">
                  <c:v>120.9</c:v>
                </c:pt>
                <c:pt idx="3">
                  <c:v>131.80000000000001</c:v>
                </c:pt>
                <c:pt idx="4">
                  <c:v>150.9</c:v>
                </c:pt>
                <c:pt idx="5">
                  <c:v>167.8</c:v>
                </c:pt>
                <c:pt idx="6">
                  <c:v>145.80000000000001</c:v>
                </c:pt>
                <c:pt idx="7">
                  <c:v>138.19999999999999</c:v>
                </c:pt>
                <c:pt idx="8">
                  <c:v>128.1</c:v>
                </c:pt>
                <c:pt idx="9">
                  <c:v>125.3</c:v>
                </c:pt>
                <c:pt idx="10">
                  <c:v>121.2</c:v>
                </c:pt>
                <c:pt idx="11">
                  <c:v>115.5</c:v>
                </c:pt>
                <c:pt idx="12">
                  <c:v>106.3</c:v>
                </c:pt>
                <c:pt idx="13">
                  <c:v>103.9</c:v>
                </c:pt>
                <c:pt idx="14">
                  <c:v>101.1</c:v>
                </c:pt>
                <c:pt idx="15">
                  <c:v>100.4</c:v>
                </c:pt>
                <c:pt idx="16">
                  <c:v>104.3</c:v>
                </c:pt>
                <c:pt idx="17">
                  <c:v>102.4</c:v>
                </c:pt>
                <c:pt idx="18">
                  <c:v>101.1</c:v>
                </c:pt>
                <c:pt idx="19">
                  <c:v>98.2</c:v>
                </c:pt>
                <c:pt idx="20">
                  <c:v>93.4</c:v>
                </c:pt>
                <c:pt idx="21">
                  <c:v>90.6</c:v>
                </c:pt>
                <c:pt idx="22">
                  <c:v>85.1</c:v>
                </c:pt>
              </c:numCache>
            </c:numRef>
          </c:val>
          <c:smooth val="0"/>
          <c:extLst>
            <c:ext xmlns:c16="http://schemas.microsoft.com/office/drawing/2014/chart" uri="{C3380CC4-5D6E-409C-BE32-E72D297353CC}">
              <c16:uniqueId val="{0000002E-5AB7-4744-8A9E-B7C09D0A12A6}"/>
            </c:ext>
          </c:extLst>
        </c:ser>
        <c:ser>
          <c:idx val="2"/>
          <c:order val="2"/>
          <c:tx>
            <c:strRef>
              <c:f>Sheet1!$D$1</c:f>
              <c:strCache>
                <c:ptCount val="1"/>
                <c:pt idx="0">
                  <c:v>Civilian TB mortality</c:v>
                </c:pt>
              </c:strCache>
            </c:strRef>
          </c:tx>
          <c:dLbls>
            <c:dLbl>
              <c:idx val="0"/>
              <c:layout>
                <c:manualLayout>
                  <c:x val="-3.3950617283950602E-2"/>
                  <c:y val="2.343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F-5AB7-4744-8A9E-B7C09D0A12A6}"/>
                </c:ext>
              </c:extLst>
            </c:dLbl>
            <c:dLbl>
              <c:idx val="1"/>
              <c:layout>
                <c:manualLayout>
                  <c:x val="-3.7037037037037E-2"/>
                  <c:y val="1.82291666666666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0-5AB7-4744-8A9E-B7C09D0A12A6}"/>
                </c:ext>
              </c:extLst>
            </c:dLbl>
            <c:dLbl>
              <c:idx val="2"/>
              <c:layout>
                <c:manualLayout>
                  <c:x val="-4.9382716049382699E-2"/>
                  <c:y val="2.343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1-5AB7-4744-8A9E-B7C09D0A12A6}"/>
                </c:ext>
              </c:extLst>
            </c:dLbl>
            <c:dLbl>
              <c:idx val="3"/>
              <c:layout>
                <c:manualLayout>
                  <c:x val="-4.6296296296296301E-2"/>
                  <c:y val="2.343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2-5AB7-4744-8A9E-B7C09D0A12A6}"/>
                </c:ext>
              </c:extLst>
            </c:dLbl>
            <c:dLbl>
              <c:idx val="4"/>
              <c:layout>
                <c:manualLayout>
                  <c:x val="-4.4753086419753098E-2"/>
                  <c:y val="2.08333333333333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3-5AB7-4744-8A9E-B7C09D0A12A6}"/>
                </c:ext>
              </c:extLst>
            </c:dLbl>
            <c:dLbl>
              <c:idx val="5"/>
              <c:layout>
                <c:manualLayout>
                  <c:x val="-4.0123456790123503E-2"/>
                  <c:y val="2.343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4-5AB7-4744-8A9E-B7C09D0A12A6}"/>
                </c:ext>
              </c:extLst>
            </c:dLbl>
            <c:dLbl>
              <c:idx val="6"/>
              <c:layout>
                <c:manualLayout>
                  <c:x val="-3.2407407407407399E-2"/>
                  <c:y val="2.60416666666665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5-5AB7-4744-8A9E-B7C09D0A12A6}"/>
                </c:ext>
              </c:extLst>
            </c:dLbl>
            <c:dLbl>
              <c:idx val="7"/>
              <c:layout>
                <c:manualLayout>
                  <c:x val="-3.3950617283950602E-2"/>
                  <c:y val="1.82291666666666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6-5AB7-4744-8A9E-B7C09D0A12A6}"/>
                </c:ext>
              </c:extLst>
            </c:dLbl>
            <c:dLbl>
              <c:idx val="8"/>
              <c:layout>
                <c:manualLayout>
                  <c:x val="-3.7037037037037E-2"/>
                  <c:y val="1.56250000000001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7-5AB7-4744-8A9E-B7C09D0A12A6}"/>
                </c:ext>
              </c:extLst>
            </c:dLbl>
            <c:dLbl>
              <c:idx val="9"/>
              <c:layout>
                <c:manualLayout>
                  <c:x val="-2.1605059784193598E-2"/>
                  <c:y val="2.86458333333333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8-5AB7-4744-8A9E-B7C09D0A12A6}"/>
                </c:ext>
              </c:extLst>
            </c:dLbl>
            <c:dLbl>
              <c:idx val="10"/>
              <c:layout>
                <c:manualLayout>
                  <c:x val="-4.3209876543209798E-2"/>
                  <c:y val="1.30208333333332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9-5AB7-4744-8A9E-B7C09D0A12A6}"/>
                </c:ext>
              </c:extLst>
            </c:dLbl>
            <c:dLbl>
              <c:idx val="11"/>
              <c:layout>
                <c:manualLayout>
                  <c:x val="-3.5493827160493797E-2"/>
                  <c:y val="7.81250000000009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A-5AB7-4744-8A9E-B7C09D0A12A6}"/>
                </c:ext>
              </c:extLst>
            </c:dLbl>
            <c:dLbl>
              <c:idx val="12"/>
              <c:layout>
                <c:manualLayout>
                  <c:x val="-3.0864197530864199E-2"/>
                  <c:y val="2.343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B-5AB7-4744-8A9E-B7C09D0A12A6}"/>
                </c:ext>
              </c:extLst>
            </c:dLbl>
            <c:dLbl>
              <c:idx val="13"/>
              <c:layout>
                <c:manualLayout>
                  <c:x val="-3.2407407407407399E-2"/>
                  <c:y val="2.08333333333333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C-5AB7-4744-8A9E-B7C09D0A12A6}"/>
                </c:ext>
              </c:extLst>
            </c:dLbl>
            <c:dLbl>
              <c:idx val="14"/>
              <c:layout>
                <c:manualLayout>
                  <c:x val="-3.3950617283950602E-2"/>
                  <c:y val="2.08333333333333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D-5AB7-4744-8A9E-B7C09D0A12A6}"/>
                </c:ext>
              </c:extLst>
            </c:dLbl>
            <c:dLbl>
              <c:idx val="15"/>
              <c:layout>
                <c:manualLayout>
                  <c:x val="-2.7777777777777801E-2"/>
                  <c:y val="2.08333333333333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E-5AB7-4744-8A9E-B7C09D0A12A6}"/>
                </c:ext>
              </c:extLst>
            </c:dLbl>
            <c:dLbl>
              <c:idx val="16"/>
              <c:layout>
                <c:manualLayout>
                  <c:x val="-3.0864197530864199E-2"/>
                  <c:y val="1.82291666666665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F-5AB7-4744-8A9E-B7C09D0A12A6}"/>
                </c:ext>
              </c:extLst>
            </c:dLbl>
            <c:dLbl>
              <c:idx val="17"/>
              <c:layout>
                <c:manualLayout>
                  <c:x val="-2.4691358024691398E-2"/>
                  <c:y val="1.82291666666666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0-5AB7-4744-8A9E-B7C09D0A12A6}"/>
                </c:ext>
              </c:extLst>
            </c:dLbl>
            <c:dLbl>
              <c:idx val="18"/>
              <c:layout>
                <c:manualLayout>
                  <c:x val="-2.6234567901234501E-2"/>
                  <c:y val="2.864583333333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1-5AB7-4744-8A9E-B7C09D0A12A6}"/>
                </c:ext>
              </c:extLst>
            </c:dLbl>
            <c:dLbl>
              <c:idx val="19"/>
              <c:layout>
                <c:manualLayout>
                  <c:x val="-2.9320987654321E-2"/>
                  <c:y val="2.60416666666666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2-5AB7-4744-8A9E-B7C09D0A12A6}"/>
                </c:ext>
              </c:extLst>
            </c:dLbl>
            <c:dLbl>
              <c:idx val="20"/>
              <c:layout>
                <c:manualLayout>
                  <c:x val="-3.2407407407407399E-2"/>
                  <c:y val="2.34375000000001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3-5AB7-4744-8A9E-B7C09D0A12A6}"/>
                </c:ext>
              </c:extLst>
            </c:dLbl>
            <c:dLbl>
              <c:idx val="21"/>
              <c:layout>
                <c:manualLayout>
                  <c:x val="-2.4691358024691398E-2"/>
                  <c:y val="2.60416666666666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4-5AB7-4744-8A9E-B7C09D0A12A6}"/>
                </c:ext>
              </c:extLst>
            </c:dLbl>
            <c:dLbl>
              <c:idx val="22"/>
              <c:layout>
                <c:manualLayout>
                  <c:x val="-9.2352591056582695E-3"/>
                  <c:y val="3.6458333333333301E-2"/>
                </c:manualLayout>
              </c:layout>
              <c:tx>
                <c:rich>
                  <a:bodyPr/>
                  <a:lstStyle/>
                  <a:p>
                    <a:r>
                      <a:rPr lang="en-US"/>
                      <a:t>4,6</a:t>
                    </a:r>
                  </a:p>
                </c:rich>
              </c:tx>
              <c:showLegendKey val="0"/>
              <c:showVal val="1"/>
              <c:showCatName val="0"/>
              <c:showSerName val="0"/>
              <c:showPercent val="0"/>
              <c:showBubbleSize val="0"/>
              <c:extLst>
                <c:ext xmlns:c15="http://schemas.microsoft.com/office/drawing/2012/chart" uri="{CE6537A1-D6FC-4f65-9D91-7224C49458BB}">
                  <c15:layout>
                    <c:manualLayout>
                      <c:w val="4.5038880248833596E-2"/>
                      <c:h val="5.3210986421972847E-2"/>
                    </c:manualLayout>
                  </c15:layout>
                </c:ext>
                <c:ext xmlns:c16="http://schemas.microsoft.com/office/drawing/2014/chart" uri="{C3380CC4-5D6E-409C-BE32-E72D297353CC}">
                  <c16:uniqueId val="{00000045-5AB7-4744-8A9E-B7C09D0A12A6}"/>
                </c:ext>
              </c:extLst>
            </c:dLbl>
            <c:spPr>
              <a:noFill/>
              <a:ln>
                <a:noFill/>
              </a:ln>
              <a:effectLst/>
            </c:spPr>
            <c:txPr>
              <a:bodyPr/>
              <a:lstStyle/>
              <a:p>
                <a:pPr>
                  <a:defRPr sz="1000" b="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Sheet1!$A$2:$A$24</c:f>
              <c:numCache>
                <c:formatCode>General</c:formatCode>
                <c:ptCount val="23"/>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numCache>
            </c:numRef>
          </c:cat>
          <c:val>
            <c:numRef>
              <c:f>Sheet1!$D$2:$D$24</c:f>
              <c:numCache>
                <c:formatCode>General</c:formatCode>
                <c:ptCount val="23"/>
                <c:pt idx="0">
                  <c:v>13.5</c:v>
                </c:pt>
                <c:pt idx="1">
                  <c:v>16</c:v>
                </c:pt>
                <c:pt idx="2">
                  <c:v>13.5</c:v>
                </c:pt>
                <c:pt idx="3">
                  <c:v>13.6</c:v>
                </c:pt>
                <c:pt idx="4">
                  <c:v>12.6</c:v>
                </c:pt>
                <c:pt idx="5">
                  <c:v>13.5</c:v>
                </c:pt>
                <c:pt idx="6">
                  <c:v>13.8</c:v>
                </c:pt>
                <c:pt idx="7">
                  <c:v>11.8</c:v>
                </c:pt>
                <c:pt idx="8">
                  <c:v>11.2</c:v>
                </c:pt>
                <c:pt idx="9">
                  <c:v>11</c:v>
                </c:pt>
                <c:pt idx="10">
                  <c:v>10.199999999999999</c:v>
                </c:pt>
                <c:pt idx="11">
                  <c:v>9.6</c:v>
                </c:pt>
                <c:pt idx="12">
                  <c:v>9.1999999999999993</c:v>
                </c:pt>
                <c:pt idx="13">
                  <c:v>8.6999999999999993</c:v>
                </c:pt>
                <c:pt idx="14">
                  <c:v>8.6</c:v>
                </c:pt>
                <c:pt idx="15">
                  <c:v>8.6999999999999993</c:v>
                </c:pt>
                <c:pt idx="16">
                  <c:v>8.1</c:v>
                </c:pt>
                <c:pt idx="17">
                  <c:v>7.7</c:v>
                </c:pt>
                <c:pt idx="18">
                  <c:v>6.7</c:v>
                </c:pt>
                <c:pt idx="19">
                  <c:v>6.1</c:v>
                </c:pt>
                <c:pt idx="20">
                  <c:v>5.6</c:v>
                </c:pt>
                <c:pt idx="21">
                  <c:v>5.0999999999999996</c:v>
                </c:pt>
                <c:pt idx="22">
                  <c:v>4.5</c:v>
                </c:pt>
              </c:numCache>
            </c:numRef>
          </c:val>
          <c:smooth val="0"/>
          <c:extLst>
            <c:ext xmlns:c16="http://schemas.microsoft.com/office/drawing/2014/chart" uri="{C3380CC4-5D6E-409C-BE32-E72D297353CC}">
              <c16:uniqueId val="{00000046-5AB7-4744-8A9E-B7C09D0A12A6}"/>
            </c:ext>
          </c:extLst>
        </c:ser>
        <c:ser>
          <c:idx val="3"/>
          <c:order val="3"/>
          <c:tx>
            <c:strRef>
              <c:f>Sheet1!$E$1</c:f>
              <c:strCache>
                <c:ptCount val="1"/>
                <c:pt idx="0">
                  <c:v>TB mortality, including penitentiary</c:v>
                </c:pt>
              </c:strCache>
            </c:strRef>
          </c:tx>
          <c:dLbls>
            <c:dLbl>
              <c:idx val="1"/>
              <c:layout>
                <c:manualLayout>
                  <c:x val="-2.7777777777777801E-2"/>
                  <c:y val="-4.68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7-5AB7-4744-8A9E-B7C09D0A12A6}"/>
                </c:ext>
              </c:extLst>
            </c:dLbl>
            <c:dLbl>
              <c:idx val="2"/>
              <c:layout>
                <c:manualLayout>
                  <c:x val="-3.0864197530864199E-2"/>
                  <c:y val="-3.1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8-5AB7-4744-8A9E-B7C09D0A12A6}"/>
                </c:ext>
              </c:extLst>
            </c:dLbl>
            <c:dLbl>
              <c:idx val="3"/>
              <c:layout>
                <c:manualLayout>
                  <c:x val="-2.4691358024691398E-2"/>
                  <c:y val="-4.94791666666666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9-5AB7-4744-8A9E-B7C09D0A12A6}"/>
                </c:ext>
              </c:extLst>
            </c:dLbl>
            <c:dLbl>
              <c:idx val="4"/>
              <c:layout>
                <c:manualLayout>
                  <c:x val="-2.6234567901234601E-2"/>
                  <c:y val="-3.906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A-5AB7-4744-8A9E-B7C09D0A12A6}"/>
                </c:ext>
              </c:extLst>
            </c:dLbl>
            <c:dLbl>
              <c:idx val="5"/>
              <c:layout>
                <c:manualLayout>
                  <c:x val="-2.00617283950617E-2"/>
                  <c:y val="-3.38541666666666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B-5AB7-4744-8A9E-B7C09D0A12A6}"/>
                </c:ext>
              </c:extLst>
            </c:dLbl>
            <c:dLbl>
              <c:idx val="6"/>
              <c:layout>
                <c:manualLayout>
                  <c:x val="-3.2407407407407399E-2"/>
                  <c:y val="-4.16666666666666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C-5AB7-4744-8A9E-B7C09D0A12A6}"/>
                </c:ext>
              </c:extLst>
            </c:dLbl>
            <c:dLbl>
              <c:idx val="7"/>
              <c:layout>
                <c:manualLayout>
                  <c:x val="-3.3950617283950602E-2"/>
                  <c:y val="-3.64583333333333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D-5AB7-4744-8A9E-B7C09D0A12A6}"/>
                </c:ext>
              </c:extLst>
            </c:dLbl>
            <c:dLbl>
              <c:idx val="8"/>
              <c:layout>
                <c:manualLayout>
                  <c:x val="-3.7037037037037E-2"/>
                  <c:y val="-4.42708333333333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E-5AB7-4744-8A9E-B7C09D0A12A6}"/>
                </c:ext>
              </c:extLst>
            </c:dLbl>
            <c:dLbl>
              <c:idx val="9"/>
              <c:layout>
                <c:manualLayout>
                  <c:x val="-3.08641975308643E-2"/>
                  <c:y val="-4.94791666666666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F-5AB7-4744-8A9E-B7C09D0A12A6}"/>
                </c:ext>
              </c:extLst>
            </c:dLbl>
            <c:dLbl>
              <c:idx val="10"/>
              <c:layout>
                <c:manualLayout>
                  <c:x val="-3.3950617283950602E-2"/>
                  <c:y val="-4.94791666666666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0-5AB7-4744-8A9E-B7C09D0A12A6}"/>
                </c:ext>
              </c:extLst>
            </c:dLbl>
            <c:dLbl>
              <c:idx val="11"/>
              <c:layout>
                <c:manualLayout>
                  <c:x val="-3.5493827160493797E-2"/>
                  <c:y val="-4.16666666666666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1-5AB7-4744-8A9E-B7C09D0A12A6}"/>
                </c:ext>
              </c:extLst>
            </c:dLbl>
            <c:dLbl>
              <c:idx val="12"/>
              <c:layout>
                <c:manualLayout>
                  <c:x val="-2.9320987654321E-2"/>
                  <c:y val="-3.38541666666666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2-5AB7-4744-8A9E-B7C09D0A12A6}"/>
                </c:ext>
              </c:extLst>
            </c:dLbl>
            <c:dLbl>
              <c:idx val="13"/>
              <c:layout>
                <c:manualLayout>
                  <c:x val="-3.2407407407407399E-2"/>
                  <c:y val="-3.64583333333333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3-5AB7-4744-8A9E-B7C09D0A12A6}"/>
                </c:ext>
              </c:extLst>
            </c:dLbl>
            <c:dLbl>
              <c:idx val="14"/>
              <c:layout>
                <c:manualLayout>
                  <c:x val="-2.4691358024691398E-2"/>
                  <c:y val="-3.64583333333333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4-5AB7-4744-8A9E-B7C09D0A12A6}"/>
                </c:ext>
              </c:extLst>
            </c:dLbl>
            <c:dLbl>
              <c:idx val="15"/>
              <c:layout>
                <c:manualLayout>
                  <c:x val="-2.7777777777777801E-2"/>
                  <c:y val="-3.906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5-5AB7-4744-8A9E-B7C09D0A12A6}"/>
                </c:ext>
              </c:extLst>
            </c:dLbl>
            <c:dLbl>
              <c:idx val="16"/>
              <c:layout>
                <c:manualLayout>
                  <c:x val="-3.0864197530864199E-2"/>
                  <c:y val="-3.906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6-5AB7-4744-8A9E-B7C09D0A12A6}"/>
                </c:ext>
              </c:extLst>
            </c:dLbl>
            <c:dLbl>
              <c:idx val="17"/>
              <c:layout>
                <c:manualLayout>
                  <c:x val="-3.3950617283950602E-2"/>
                  <c:y val="-4.16666666666666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7-5AB7-4744-8A9E-B7C09D0A12A6}"/>
                </c:ext>
              </c:extLst>
            </c:dLbl>
            <c:dLbl>
              <c:idx val="18"/>
              <c:layout>
                <c:manualLayout>
                  <c:x val="-2.6234567901234501E-2"/>
                  <c:y val="-3.64583333333333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8-5AB7-4744-8A9E-B7C09D0A12A6}"/>
                </c:ext>
              </c:extLst>
            </c:dLbl>
            <c:dLbl>
              <c:idx val="19"/>
              <c:layout>
                <c:manualLayout>
                  <c:x val="-3.8580246913580203E-2"/>
                  <c:y val="-3.38541666666666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9-5AB7-4744-8A9E-B7C09D0A12A6}"/>
                </c:ext>
              </c:extLst>
            </c:dLbl>
            <c:dLbl>
              <c:idx val="20"/>
              <c:layout>
                <c:manualLayout>
                  <c:x val="-3.2407407407407399E-2"/>
                  <c:y val="-3.64583333333333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A-5AB7-4744-8A9E-B7C09D0A12A6}"/>
                </c:ext>
              </c:extLst>
            </c:dLbl>
            <c:dLbl>
              <c:idx val="21"/>
              <c:layout>
                <c:manualLayout>
                  <c:x val="-3.3950617283950602E-2"/>
                  <c:y val="-3.64583333333333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B-5AB7-4744-8A9E-B7C09D0A12A6}"/>
                </c:ext>
              </c:extLst>
            </c:dLbl>
            <c:dLbl>
              <c:idx val="22"/>
              <c:layout>
                <c:manualLayout>
                  <c:x val="-7.7160493827159397E-3"/>
                  <c:y val="-3.90625000000000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C-5AB7-4744-8A9E-B7C09D0A12A6}"/>
                </c:ext>
              </c:extLst>
            </c:dLbl>
            <c:spPr>
              <a:noFill/>
              <a:ln>
                <a:noFill/>
              </a:ln>
              <a:effectLst/>
            </c:spPr>
            <c:txPr>
              <a:bodyPr rot="-1800000"/>
              <a:lstStyle/>
              <a:p>
                <a:pPr>
                  <a:defRPr sz="1000" b="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Sheet1!$A$2:$A$24</c:f>
              <c:numCache>
                <c:formatCode>General</c:formatCode>
                <c:ptCount val="23"/>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numCache>
            </c:numRef>
          </c:cat>
          <c:val>
            <c:numRef>
              <c:f>Sheet1!$E$2:$E$24</c:f>
              <c:numCache>
                <c:formatCode>General</c:formatCode>
                <c:ptCount val="23"/>
                <c:pt idx="1">
                  <c:v>21.4</c:v>
                </c:pt>
                <c:pt idx="2">
                  <c:v>17.899999999999999</c:v>
                </c:pt>
                <c:pt idx="3">
                  <c:v>21.3</c:v>
                </c:pt>
                <c:pt idx="4">
                  <c:v>23.7</c:v>
                </c:pt>
                <c:pt idx="5">
                  <c:v>27</c:v>
                </c:pt>
                <c:pt idx="6">
                  <c:v>22.7</c:v>
                </c:pt>
                <c:pt idx="7">
                  <c:v>16.3</c:v>
                </c:pt>
                <c:pt idx="8">
                  <c:v>14.1</c:v>
                </c:pt>
                <c:pt idx="9">
                  <c:v>11</c:v>
                </c:pt>
                <c:pt idx="10">
                  <c:v>12.8</c:v>
                </c:pt>
                <c:pt idx="11">
                  <c:v>11.2</c:v>
                </c:pt>
                <c:pt idx="12">
                  <c:v>9.9</c:v>
                </c:pt>
                <c:pt idx="13">
                  <c:v>9.3000000000000007</c:v>
                </c:pt>
                <c:pt idx="14">
                  <c:v>9.1999999999999993</c:v>
                </c:pt>
                <c:pt idx="15">
                  <c:v>9.1</c:v>
                </c:pt>
                <c:pt idx="16">
                  <c:v>8.6</c:v>
                </c:pt>
                <c:pt idx="17">
                  <c:v>8.1</c:v>
                </c:pt>
                <c:pt idx="18">
                  <c:v>7</c:v>
                </c:pt>
                <c:pt idx="19">
                  <c:v>6.3</c:v>
                </c:pt>
                <c:pt idx="20">
                  <c:v>5.6</c:v>
                </c:pt>
                <c:pt idx="21">
                  <c:v>5.2</c:v>
                </c:pt>
                <c:pt idx="22">
                  <c:v>4.5999999999999996</c:v>
                </c:pt>
              </c:numCache>
            </c:numRef>
          </c:val>
          <c:smooth val="0"/>
          <c:extLst>
            <c:ext xmlns:c16="http://schemas.microsoft.com/office/drawing/2014/chart" uri="{C3380CC4-5D6E-409C-BE32-E72D297353CC}">
              <c16:uniqueId val="{0000005D-5AB7-4744-8A9E-B7C09D0A12A6}"/>
            </c:ext>
          </c:extLst>
        </c:ser>
        <c:dLbls>
          <c:showLegendKey val="0"/>
          <c:showVal val="0"/>
          <c:showCatName val="0"/>
          <c:showSerName val="0"/>
          <c:showPercent val="0"/>
          <c:showBubbleSize val="0"/>
        </c:dLbls>
        <c:marker val="1"/>
        <c:smooth val="0"/>
        <c:axId val="-2068194984"/>
        <c:axId val="-2068241560"/>
      </c:lineChart>
      <c:catAx>
        <c:axId val="-2068194984"/>
        <c:scaling>
          <c:orientation val="minMax"/>
        </c:scaling>
        <c:delete val="0"/>
        <c:axPos val="b"/>
        <c:numFmt formatCode="General" sourceLinked="0"/>
        <c:majorTickMark val="out"/>
        <c:minorTickMark val="none"/>
        <c:tickLblPos val="nextTo"/>
        <c:txPr>
          <a:bodyPr/>
          <a:lstStyle/>
          <a:p>
            <a:pPr>
              <a:defRPr sz="1000" baseline="0"/>
            </a:pPr>
            <a:endParaRPr lang="ru-RU"/>
          </a:p>
        </c:txPr>
        <c:crossAx val="-2068241560"/>
        <c:crosses val="autoZero"/>
        <c:auto val="1"/>
        <c:lblAlgn val="ctr"/>
        <c:lblOffset val="100"/>
        <c:noMultiLvlLbl val="0"/>
      </c:catAx>
      <c:valAx>
        <c:axId val="-2068241560"/>
        <c:scaling>
          <c:orientation val="minMax"/>
        </c:scaling>
        <c:delete val="0"/>
        <c:axPos val="l"/>
        <c:majorGridlines>
          <c:spPr>
            <a:ln>
              <a:noFill/>
            </a:ln>
          </c:spPr>
        </c:majorGridlines>
        <c:numFmt formatCode="General" sourceLinked="1"/>
        <c:majorTickMark val="out"/>
        <c:minorTickMark val="none"/>
        <c:tickLblPos val="nextTo"/>
        <c:txPr>
          <a:bodyPr/>
          <a:lstStyle/>
          <a:p>
            <a:pPr>
              <a:defRPr sz="1000" baseline="0"/>
            </a:pPr>
            <a:endParaRPr lang="ru-RU"/>
          </a:p>
        </c:txPr>
        <c:crossAx val="-2068194984"/>
        <c:crosses val="autoZero"/>
        <c:crossBetween val="between"/>
        <c:majorUnit val="20"/>
      </c:valAx>
    </c:plotArea>
    <c:legend>
      <c:legendPos val="b"/>
      <c:layout>
        <c:manualLayout>
          <c:xMode val="edge"/>
          <c:yMode val="edge"/>
          <c:x val="0"/>
          <c:y val="0.89711696194225699"/>
          <c:w val="1"/>
          <c:h val="0.102883038057743"/>
        </c:manualLayout>
      </c:layout>
      <c:overlay val="0"/>
      <c:txPr>
        <a:bodyPr/>
        <a:lstStyle/>
        <a:p>
          <a:pPr>
            <a:defRPr sz="1000" b="0" i="0" baseline="0"/>
          </a:pPr>
          <a:endParaRPr lang="ru-RU"/>
        </a:p>
      </c:txPr>
    </c:legend>
    <c:plotVisOnly val="1"/>
    <c:dispBlanksAs val="gap"/>
    <c:showDLblsOverMax val="0"/>
  </c:chart>
  <c:txPr>
    <a:bodyPr/>
    <a:lstStyle/>
    <a:p>
      <a:pPr>
        <a:defRPr sz="1800"/>
      </a:pPr>
      <a:endParaRPr lang="ru-RU"/>
    </a:p>
  </c:txPr>
  <c:externalData r:id="rId1">
    <c:autoUpdate val="0"/>
  </c:externalData>
</c:chartSpace>
</file>

<file path=word/theme/theme1.xml><?xml version="1.0" encoding="utf-8"?>
<a:theme xmlns:a="http://schemas.openxmlformats.org/drawingml/2006/main" name="Office Theme">
  <a:themeElements>
    <a:clrScheme name="GF Black">
      <a:dk1>
        <a:srgbClr val="404040"/>
      </a:dk1>
      <a:lt1>
        <a:sysClr val="window" lastClr="FFFFFF"/>
      </a:lt1>
      <a:dk2>
        <a:srgbClr val="FFFFFF"/>
      </a:dk2>
      <a:lt2>
        <a:srgbClr val="1E1E1E"/>
      </a:lt2>
      <a:accent1>
        <a:srgbClr val="C7C8CA"/>
      </a:accent1>
      <a:accent2>
        <a:srgbClr val="939598"/>
      </a:accent2>
      <a:accent3>
        <a:srgbClr val="636466"/>
      </a:accent3>
      <a:accent4>
        <a:srgbClr val="CD202C"/>
      </a:accent4>
      <a:accent5>
        <a:srgbClr val="0055AA"/>
      </a:accent5>
      <a:accent6>
        <a:srgbClr val="FFAA22"/>
      </a:accent6>
      <a:hlink>
        <a:srgbClr val="0563C1"/>
      </a:hlink>
      <a:folHlink>
        <a:srgbClr val="954F72"/>
      </a:folHlink>
    </a:clrScheme>
    <a:fontScheme name="Global Fund">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mplafyFormConfiguration><![CDATA[{"formFields":[{"dataSource":"ColourThemes","displayColumn":"displayName","hideIfNoUserInteractionRequired":false,"distinct":true,"required":true,"defaultValue":"3","autoSelectFirstOption":false,"type":"dropDown","name":"ColourTheme","label":"Colour theme","helpTexts":{"prefix":"","postfix":""},"spacing":{},"fullyQualifiedName":"ColourTheme"},{"type":"heading","name":"ReportHeadingA","label":"Items for title page and footer text","helpTexts":{"prefix":"","postfix":""},"spacing":{},"fullyQualifiedName":"ReportHeadingA"},{"type":"instructions","name":"ReportInstructionsA","label":"The date, location and country will appear on the front sheet and in the footer of the main part of the document.","helpTexts":{"prefix":"","postfix":""},"spacing":{},"fullyQualifiedName":"ReportInstructionsA"},{"required":true,"type":"datePicker","name":"ReportDate","label":"Document date","helpTexts":{"prefix":"","postfix":""},"spacing":{},"fullyQualifiedName":"ReportDate"},{"required":true,"placeholder":"","lines":0,"defaultValue":"Geneva","type":"textBox","name":"ReportLocation","label":"Location","helpTexts":{"prefix":"","postfix":"The entry on the title page will not be updatable through this form."},"spacing":{},"fullyQualifiedName":"ReportLocation"},{"required":true,"placeholder":"","lines":0,"defaultValue":"Switzerland","type":"textBox","name":"ReportCountry","label":"Country","helpTexts":{"prefix":"","postfix":"The entry on the title page will not be updatable through this form."},"spacing":{},"fullyQualifiedName":"ReportCountry"}],"formDataEntries":[{"name":"ColourTheme","value":"PHxKaO3dKTWBZQ8bFHvPTA=="},{"name":"ReportLocation","value":"TWCzxzGaVv/noqKfmWFd3g=="},{"name":"ReportCountry","value":"nBoaWl++UMM5RwVrtZXUvg=="}]}]]></TemplafyFormConfiguration>
</file>

<file path=customXml/item2.xml><?xml version="1.0" encoding="utf-8"?>
<TemplafyTemplateConfiguration><![CDATA[{"elementsMetadata":[{"type":"richTextContentControl","id":"12bec168-d80f-4ad3-b827-e94b457987f4","elementConfiguration":{"format":"d MMMM yyyy","binding":"Form.ReportDate","removeAndKeepContent":false,"disableUpdates":false,"type":"date"}},{"type":"richTextContentControl","id":"fe01dc37-8ac1-4b47-a65d-6e38f83aed95","elementConfiguration":{"binding":"Form.ReportLocation","removeAndKeepContent":false,"disableUpdates":false,"type":"text"}},{"type":"richTextContentControl","id":"a25d74cb-6c4b-40fa-9ec1-ddd0a35393d3","elementConfiguration":{"binding":"Form.ReportCountry","removeAndKeepContent":false,"disableUpdates":false,"type":"text"}},{"type":"richTextContentControl","id":"df3addba-5040-40ab-9b8a-156bd632013e","elementConfiguration":{"binding":"Form.ReportLocation","removeAndKeepContent":false,"disableUpdates":false,"type":"text"}},{"type":"richTextContentControl","id":"c0e2ba74-3394-4c55-b0cc-2fc8a393067e","elementConfiguration":{"binding":"Form.ReportCountry","removeAndKeepContent":false,"disableUpdates":false,"type":"text"}},{"type":"richTextContentControl","id":"227033cd-8895-47c3-9030-98457c383c51","elementConfiguration":{"format":"d MMMM yyyy","binding":"Form.ReportDate","removeAndKeepContent":false,"disableUpdates":false,"type":"date"}},{"type":"richTextContentControl","id":"15b78cde-5b03-4a4d-a494-ede7e8fb7397","elementConfiguration":{"binding":"Form.ReportLocation","removeAndKeepContent":false,"disableUpdates":false,"type":"text"}},{"type":"richTextContentControl","id":"44816cc2-e3cd-4b49-ba70-f976ad9120f6","elementConfiguration":{"binding":"Form.ReportCountry","removeAndKeepContent":false,"disableUpdates":false,"type":"text"}}],"transformationConfigurations":[{"colorTheme":"{{Form.ColourTheme.ThemeName}}","originalColorThemeXml":"<a:clrScheme name=\"GF Green\" xmlns:a=\"http://schemas.openxmlformats.org/drawingml/2006/main\"><a:dk1><a:srgbClr val=\"404040\" /></a:dk1><a:lt1><a:sysClr val=\"window\" lastClr=\"FFFFFF\" /></a:lt1><a:dk2><a:srgbClr val=\"F0F8EA\" /></a:dk2><a:lt2><a:srgbClr val=\"69BE28\" /></a:lt2><a:accent1><a:srgbClr val=\"D4EAC0\" /></a:accent1><a:accent2><a:srgbClr val=\"B7DD97\" /></a:accent2><a:accent3><a:srgbClr val=\"8CC95A\" /></a:accent3><a:accent4><a:srgbClr val=\"00B0CA\" /></a:accent4><a:accent5><a:srgbClr val=\"9A996E\" /></a:accent5><a:accent6><a:srgbClr val=\"9A996E\" /></a:accent6><a:hlink><a:srgbClr val=\"0563C1\" /></a:hlink><a:folHlink><a:srgbClr val=\"954F72\" /></a:folHlink></a:clrScheme>","disableUpdates":false,"type":"colorTheme"},{"propertyName":"Language","propertyValue":"en-US","disableUpdates":false,"type":"customDocumentProperty"},{"language":"en-US","disableUpdates":false,"type":"proofingLanguage"}],"isBaseTemplate":false,"templateName":"Report 1 Column","templateDescription":"","enableDocumentContentUpdater":true,"version":"1.3"}]]></TemplafyTemplateConfigura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a03ac030-8fc0-429e-a59d-aec15056182b">3NAZ7T4E3CZ3-539361286-741</_dlc_DocId>
    <_dlc_DocIdUrl xmlns="a03ac030-8fc0-429e-a59d-aec15056182b">
      <Url>https://tgf.sharepoint.com/sites/TSA2F1/A2FD/_layouts/15/DocIdRedir.aspx?ID=3NAZ7T4E3CZ3-539361286-741</Url>
      <Description>3NAZ7T4E3CZ3-539361286-741</Description>
    </_dlc_DocIdUrl>
    <Note xmlns="2219519e-2df8-4e68-9bc8-47ece53c639c" xsi:nil="true"/>
  </documentManagement>
</p:properties>
</file>

<file path=customXml/item5.xml><?xml version="1.0" encoding="utf-8"?>
<ct:contentTypeSchema xmlns:ct="http://schemas.microsoft.com/office/2006/metadata/contentType" xmlns:ma="http://schemas.microsoft.com/office/2006/metadata/properties/metaAttributes" ct:_="" ma:_="" ma:contentTypeName="Working Document" ma:contentTypeID="0x010100DB1926E75FE6D448A94BA4FC7E9CAC0400EB82F3FDC0493647B521A7A424B5B012" ma:contentTypeVersion="8" ma:contentTypeDescription=" Working Document (0 years retention period)" ma:contentTypeScope="" ma:versionID="2e9cd3450a7698f9077782a12829d500">
  <xsd:schema xmlns:xsd="http://www.w3.org/2001/XMLSchema" xmlns:xs="http://www.w3.org/2001/XMLSchema" xmlns:p="http://schemas.microsoft.com/office/2006/metadata/properties" xmlns:ns2="a03ac030-8fc0-429e-a59d-aec15056182b" xmlns:ns3="http://schemas.microsoft.com/sharepoint/v4" xmlns:ns4="2219519e-2df8-4e68-9bc8-47ece53c639c" targetNamespace="http://schemas.microsoft.com/office/2006/metadata/properties" ma:root="true" ma:fieldsID="32a84c95add331215c70071da39b10c5" ns2:_="" ns3:_="" ns4:_="">
    <xsd:import namespace="a03ac030-8fc0-429e-a59d-aec15056182b"/>
    <xsd:import namespace="http://schemas.microsoft.com/sharepoint/v4"/>
    <xsd:import namespace="2219519e-2df8-4e68-9bc8-47ece53c639c"/>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4:MediaServiceMetadata" minOccurs="0"/>
                <xsd:element ref="ns4:MediaServiceFastMetadata" minOccurs="0"/>
                <xsd:element ref="ns4:MediaServiceAutoKeyPoints" minOccurs="0"/>
                <xsd:element ref="ns4:MediaServiceKeyPoints" minOccurs="0"/>
                <xsd:element ref="ns4: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ac030-8fc0-429e-a59d-aec15056182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19519e-2df8-4e68-9bc8-47ece53c639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Note" ma:index="16" nillable="true" ma:displayName="Note" ma:format="Dropdown" ma:internalName="No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D8980-C987-48AF-BFD7-20D6444F7008}">
  <ds:schemaRefs/>
</ds:datastoreItem>
</file>

<file path=customXml/itemProps2.xml><?xml version="1.0" encoding="utf-8"?>
<ds:datastoreItem xmlns:ds="http://schemas.openxmlformats.org/officeDocument/2006/customXml" ds:itemID="{A7AE4FFB-B547-437A-A56E-613A8F346671}">
  <ds:schemaRefs/>
</ds:datastoreItem>
</file>

<file path=customXml/itemProps3.xml><?xml version="1.0" encoding="utf-8"?>
<ds:datastoreItem xmlns:ds="http://schemas.openxmlformats.org/officeDocument/2006/customXml" ds:itemID="{22310F86-9454-464A-B6A9-12945F3ED480}">
  <ds:schemaRefs>
    <ds:schemaRef ds:uri="http://schemas.microsoft.com/sharepoint/v3/contenttype/forms"/>
  </ds:schemaRefs>
</ds:datastoreItem>
</file>

<file path=customXml/itemProps4.xml><?xml version="1.0" encoding="utf-8"?>
<ds:datastoreItem xmlns:ds="http://schemas.openxmlformats.org/officeDocument/2006/customXml" ds:itemID="{B1B133AE-9B08-49ED-96FC-CC948069E978}">
  <ds:schemaRefs>
    <ds:schemaRef ds:uri="http://schemas.microsoft.com/office/2006/metadata/properties"/>
    <ds:schemaRef ds:uri="http://schemas.microsoft.com/office/infopath/2007/PartnerControls"/>
    <ds:schemaRef ds:uri="http://schemas.microsoft.com/sharepoint/v4"/>
    <ds:schemaRef ds:uri="a03ac030-8fc0-429e-a59d-aec15056182b"/>
    <ds:schemaRef ds:uri="2219519e-2df8-4e68-9bc8-47ece53c639c"/>
  </ds:schemaRefs>
</ds:datastoreItem>
</file>

<file path=customXml/itemProps5.xml><?xml version="1.0" encoding="utf-8"?>
<ds:datastoreItem xmlns:ds="http://schemas.openxmlformats.org/officeDocument/2006/customXml" ds:itemID="{C187B3E0-EAC8-4322-BD07-1E0653028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ac030-8fc0-429e-a59d-aec15056182b"/>
    <ds:schemaRef ds:uri="http://schemas.microsoft.com/sharepoint/v4"/>
    <ds:schemaRef ds:uri="2219519e-2df8-4e68-9bc8-47ece53c6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0729D3F-673D-4442-9462-0959E9D1DA0A}">
  <ds:schemaRefs>
    <ds:schemaRef ds:uri="http://schemas.microsoft.com/sharepoint/events"/>
  </ds:schemaRefs>
</ds:datastoreItem>
</file>

<file path=customXml/itemProps7.xml><?xml version="1.0" encoding="utf-8"?>
<ds:datastoreItem xmlns:ds="http://schemas.openxmlformats.org/officeDocument/2006/customXml" ds:itemID="{B7A15B17-084C-DA48-A68A-955263740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C:\Users\TVinichenko\AppData\Roaming\Microsoft\Templates\GF Report Template 1 Column.dotx</Template>
  <TotalTime>78</TotalTime>
  <Pages>29</Pages>
  <Words>18384</Words>
  <Characters>104792</Characters>
  <Application>Microsoft Office Word</Application>
  <DocSecurity>0</DocSecurity>
  <Lines>873</Lines>
  <Paragraphs>245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fundingrequest_focusedportfolio_template_en</vt:lpstr>
      <vt:lpstr>fundingrequest_focusedportfolio_template_en</vt:lpstr>
    </vt:vector>
  </TitlesOfParts>
  <Company/>
  <LinksUpToDate>false</LinksUpToDate>
  <CharactersWithSpaces>122931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fundingrequest_focusedportfolio_template_en</dc:title>
  <dc:subject/>
  <dc:creator>Rebecca Phillips</dc:creator>
  <cp:keywords/>
  <dc:description/>
  <cp:lastModifiedBy>Anna Katasonova</cp:lastModifiedBy>
  <cp:revision>37</cp:revision>
  <cp:lastPrinted>2019-11-01T16:10:00Z</cp:lastPrinted>
  <dcterms:created xsi:type="dcterms:W3CDTF">2020-03-25T10:28:00Z</dcterms:created>
  <dcterms:modified xsi:type="dcterms:W3CDTF">2020-03-25T12:53:00Z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theglobalfund</vt:lpwstr>
  </property>
  <property fmtid="{D5CDD505-2E9C-101B-9397-08002B2CF9AE}" pid="3" name="TemplafyTemplateId">
    <vt:lpwstr>636857370821766504</vt:lpwstr>
  </property>
  <property fmtid="{D5CDD505-2E9C-101B-9397-08002B2CF9AE}" pid="4" name="TemplafyUserProfileId">
    <vt:lpwstr>636740640861854487</vt:lpwstr>
  </property>
  <property fmtid="{D5CDD505-2E9C-101B-9397-08002B2CF9AE}" pid="5" name="TemplafyLanguageCode">
    <vt:lpwstr>en-US</vt:lpwstr>
  </property>
  <property fmtid="{D5CDD505-2E9C-101B-9397-08002B2CF9AE}" pid="6" name="Language">
    <vt:lpwstr>en-US</vt:lpwstr>
  </property>
  <property fmtid="{D5CDD505-2E9C-101B-9397-08002B2CF9AE}" pid="7" name="ContentTypeId">
    <vt:lpwstr>0x010100DB1926E75FE6D448A94BA4FC7E9CAC0400EB82F3FDC0493647B521A7A424B5B012</vt:lpwstr>
  </property>
  <property fmtid="{D5CDD505-2E9C-101B-9397-08002B2CF9AE}" pid="8" name="_dlc_DocId">
    <vt:lpwstr>3NAZ7T4E3CZ3-2063355578-4247</vt:lpwstr>
  </property>
  <property fmtid="{D5CDD505-2E9C-101B-9397-08002B2CF9AE}" pid="9" name="_dlc_DocIdUrl">
    <vt:lpwstr>https://tgf.sharepoint.com/sites/TSA2F1/A2FT/_layouts/15/DocIdRedir.aspx?ID=3NAZ7T4E3CZ3-2063355578-4247, 3NAZ7T4E3CZ3-2063355578-4247</vt:lpwstr>
  </property>
  <property fmtid="{D5CDD505-2E9C-101B-9397-08002B2CF9AE}" pid="10" name="_dlc_DocIdItemGuid">
    <vt:lpwstr>fe5bd4ff-a96f-401e-8e5c-d1fcc5a70143</vt:lpwstr>
  </property>
  <property fmtid="{D5CDD505-2E9C-101B-9397-08002B2CF9AE}" pid="11" name="Order">
    <vt:r8>393300</vt:r8>
  </property>
</Properties>
</file>