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
        <w:tblpPr w:leftFromText="187" w:rightFromText="187" w:vertAnchor="page" w:horzAnchor="page" w:tblpX="4253" w:tblpY="2838"/>
        <w:tblOverlap w:val="never"/>
        <w:tblW w:w="7110" w:type="dxa"/>
        <w:tblLook w:val="04A0" w:firstRow="1" w:lastRow="0" w:firstColumn="1" w:lastColumn="0" w:noHBand="0" w:noVBand="1"/>
      </w:tblPr>
      <w:tblGrid>
        <w:gridCol w:w="7110"/>
      </w:tblGrid>
      <w:tr w:rsidR="00A15D9E" w14:paraId="7F9698E8" w14:textId="77777777" w:rsidTr="00055EA0">
        <w:trPr>
          <w:trHeight w:val="346"/>
        </w:trPr>
        <w:tc>
          <w:tcPr>
            <w:tcW w:w="7110" w:type="dxa"/>
          </w:tcPr>
          <w:p w14:paraId="1D4873FE" w14:textId="7F24E162" w:rsidR="00A15D9E" w:rsidRPr="006105FC" w:rsidRDefault="00E9389F" w:rsidP="0026062D">
            <w:pPr>
              <w:pStyle w:val="Title"/>
              <w:widowControl w:val="0"/>
              <w:spacing w:line="240" w:lineRule="auto"/>
              <w:ind w:left="1470"/>
              <w:rPr>
                <w:szCs w:val="40"/>
              </w:rPr>
            </w:pPr>
            <w:r w:rsidRPr="006105FC">
              <w:rPr>
                <w:szCs w:val="40"/>
              </w:rPr>
              <w:t>Funding Request Form</w:t>
            </w:r>
          </w:p>
        </w:tc>
      </w:tr>
      <w:tr w:rsidR="00DD1ABB" w14:paraId="56B36B08" w14:textId="77777777" w:rsidTr="00055EA0">
        <w:trPr>
          <w:trHeight w:val="20"/>
        </w:trPr>
        <w:tc>
          <w:tcPr>
            <w:tcW w:w="7110" w:type="dxa"/>
          </w:tcPr>
          <w:p w14:paraId="4F7500FB" w14:textId="200EE4C4" w:rsidR="00DD1ABB" w:rsidRPr="00345A35" w:rsidRDefault="00B62418" w:rsidP="0026062D">
            <w:pPr>
              <w:pStyle w:val="Subtitle"/>
              <w:widowControl w:val="0"/>
              <w:spacing w:after="240"/>
              <w:ind w:left="1470"/>
              <w:rPr>
                <w:color w:val="7F7F7F" w:themeColor="text1" w:themeTint="80"/>
                <w:sz w:val="32"/>
                <w:szCs w:val="32"/>
              </w:rPr>
            </w:pPr>
            <w:r w:rsidRPr="1B9E13B1">
              <w:rPr>
                <w:color w:val="7F7F7F" w:themeColor="text1" w:themeTint="80"/>
                <w:sz w:val="32"/>
                <w:szCs w:val="32"/>
              </w:rPr>
              <w:t>Tailored for Focused Portfolios</w:t>
            </w:r>
            <w:r w:rsidR="001232F4">
              <w:rPr>
                <w:color w:val="7F7F7F" w:themeColor="text1" w:themeTint="80"/>
                <w:sz w:val="32"/>
                <w:szCs w:val="32"/>
              </w:rPr>
              <w:t xml:space="preserve"> and</w:t>
            </w:r>
            <w:r w:rsidR="00345A35">
              <w:rPr>
                <w:color w:val="7F7F7F" w:themeColor="text1" w:themeTint="80"/>
                <w:sz w:val="32"/>
                <w:szCs w:val="32"/>
              </w:rPr>
              <w:br/>
            </w:r>
            <w:r w:rsidR="00784B31">
              <w:rPr>
                <w:color w:val="7F7F7F" w:themeColor="text1" w:themeTint="80"/>
                <w:sz w:val="32"/>
                <w:szCs w:val="32"/>
              </w:rPr>
              <w:t xml:space="preserve">Tailored for </w:t>
            </w:r>
            <w:r w:rsidR="00312B95" w:rsidRPr="1B9E13B1">
              <w:rPr>
                <w:color w:val="7F7F7F" w:themeColor="text1" w:themeTint="80"/>
                <w:sz w:val="32"/>
                <w:szCs w:val="32"/>
              </w:rPr>
              <w:t xml:space="preserve">Transition </w:t>
            </w:r>
          </w:p>
        </w:tc>
      </w:tr>
      <w:tr w:rsidR="00A15D9E" w14:paraId="67144014" w14:textId="77777777" w:rsidTr="00055EA0">
        <w:trPr>
          <w:trHeight w:val="20"/>
        </w:trPr>
        <w:tc>
          <w:tcPr>
            <w:tcW w:w="7110" w:type="dxa"/>
          </w:tcPr>
          <w:p w14:paraId="3C1E078B" w14:textId="77777777" w:rsidR="00A14F67" w:rsidRPr="006105FC" w:rsidRDefault="005D49CA" w:rsidP="0026062D">
            <w:pPr>
              <w:pStyle w:val="Subtitle"/>
              <w:widowControl w:val="0"/>
              <w:spacing w:after="240"/>
              <w:ind w:left="1470"/>
              <w:rPr>
                <w:rFonts w:asciiTheme="majorHAnsi" w:hAnsiTheme="majorHAnsi"/>
                <w:sz w:val="32"/>
                <w:szCs w:val="32"/>
              </w:rPr>
            </w:pPr>
            <w:r w:rsidRPr="006105FC">
              <w:rPr>
                <w:rFonts w:asciiTheme="majorHAnsi" w:hAnsiTheme="majorHAnsi"/>
                <w:sz w:val="32"/>
                <w:szCs w:val="32"/>
              </w:rPr>
              <w:t>Allocation Period 2023-2025</w:t>
            </w:r>
          </w:p>
        </w:tc>
      </w:tr>
    </w:tbl>
    <w:p w14:paraId="0DCF79FC" w14:textId="2133CDB6" w:rsidR="00A4453A" w:rsidRPr="00A83D4D" w:rsidRDefault="00A4453A" w:rsidP="0026062D">
      <w:pPr>
        <w:pStyle w:val="Heading1"/>
        <w:pageBreakBefore w:val="0"/>
        <w:widowControl w:val="0"/>
        <w:spacing w:before="600" w:after="360"/>
        <w:ind w:left="1800" w:hanging="1800"/>
        <w:rPr>
          <w:rStyle w:val="Heading1Char"/>
          <w:b/>
          <w:bCs/>
          <w:szCs w:val="28"/>
          <w:lang w:val="en-US"/>
        </w:rPr>
      </w:pPr>
      <w:bookmarkStart w:id="0" w:name="_Hlk14265541"/>
      <w:r w:rsidRPr="00A83D4D">
        <w:rPr>
          <w:rStyle w:val="Heading1Char"/>
          <w:b/>
          <w:bCs/>
          <w:szCs w:val="28"/>
          <w:lang w:val="en-US"/>
        </w:rPr>
        <w:t>Summary Information</w:t>
      </w:r>
    </w:p>
    <w:tbl>
      <w:tblPr>
        <w:tblStyle w:val="GlobalFundNoSpac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28" w:type="dxa"/>
        </w:tblCellMar>
        <w:tblLook w:val="0480" w:firstRow="0" w:lastRow="0" w:firstColumn="1" w:lastColumn="0" w:noHBand="0" w:noVBand="1"/>
      </w:tblPr>
      <w:tblGrid>
        <w:gridCol w:w="5760"/>
        <w:gridCol w:w="3712"/>
      </w:tblGrid>
      <w:tr w:rsidR="005D11A0" w:rsidRPr="00B271DB" w14:paraId="48F3DC0D"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bookmarkEnd w:id="0"/>
          <w:p w14:paraId="1EE8E354"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Country</w:t>
            </w:r>
            <w:r w:rsidR="002E1CD6" w:rsidRPr="00955D30">
              <w:rPr>
                <w:color w:val="000000" w:themeColor="text1"/>
                <w:sz w:val="22"/>
              </w:rPr>
              <w:t>(s)</w:t>
            </w:r>
          </w:p>
        </w:tc>
        <w:tc>
          <w:tcPr>
            <w:tcW w:w="3712" w:type="dxa"/>
          </w:tcPr>
          <w:p w14:paraId="6765D6F1" w14:textId="0334862A" w:rsidR="00504E65" w:rsidRPr="00075BC2" w:rsidRDefault="007353BA" w:rsidP="0026062D">
            <w:pPr>
              <w:pStyle w:val="BodyTextNoSpace"/>
              <w:widowControl w:val="0"/>
              <w:spacing w:line="240" w:lineRule="auto"/>
              <w:rPr>
                <w:rFonts w:cs="Arial"/>
                <w:color w:val="auto"/>
              </w:rPr>
            </w:pPr>
            <w:r w:rsidRPr="00075BC2">
              <w:rPr>
                <w:rFonts w:cs="Arial"/>
                <w:color w:val="auto"/>
              </w:rPr>
              <w:t>Kyrgyz Republic</w:t>
            </w:r>
          </w:p>
        </w:tc>
      </w:tr>
      <w:tr w:rsidR="005D11A0" w:rsidRPr="00B271DB" w14:paraId="7FE38F2D"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4E4DCC44"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Component(s)</w:t>
            </w:r>
          </w:p>
        </w:tc>
        <w:tc>
          <w:tcPr>
            <w:tcW w:w="3712" w:type="dxa"/>
          </w:tcPr>
          <w:p w14:paraId="19A23BF9" w14:textId="5966D48F" w:rsidR="00504E65" w:rsidRPr="00075BC2" w:rsidRDefault="007353BA" w:rsidP="0026062D">
            <w:pPr>
              <w:pStyle w:val="BodyTextNoSpace"/>
              <w:widowControl w:val="0"/>
              <w:spacing w:line="240" w:lineRule="auto"/>
              <w:rPr>
                <w:rFonts w:cs="Arial"/>
                <w:color w:val="auto"/>
              </w:rPr>
            </w:pPr>
            <w:r w:rsidRPr="00075BC2">
              <w:rPr>
                <w:rFonts w:cs="Arial"/>
                <w:color w:val="auto"/>
              </w:rPr>
              <w:t xml:space="preserve">HIV, </w:t>
            </w:r>
            <w:r w:rsidR="00771958" w:rsidRPr="00075BC2">
              <w:rPr>
                <w:rFonts w:cs="Arial"/>
                <w:color w:val="auto"/>
              </w:rPr>
              <w:t>Tuberculosis (</w:t>
            </w:r>
            <w:r w:rsidRPr="00075BC2">
              <w:rPr>
                <w:rFonts w:cs="Arial"/>
                <w:color w:val="auto"/>
              </w:rPr>
              <w:t>TB</w:t>
            </w:r>
            <w:r w:rsidR="00771958" w:rsidRPr="00075BC2">
              <w:rPr>
                <w:rFonts w:cs="Arial"/>
                <w:color w:val="auto"/>
              </w:rPr>
              <w:t>)</w:t>
            </w:r>
          </w:p>
        </w:tc>
      </w:tr>
      <w:tr w:rsidR="005D11A0" w:rsidRPr="00B271DB" w14:paraId="51CB2E95"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57F8BBBD"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Planned grant start date(s)</w:t>
            </w:r>
          </w:p>
        </w:tc>
        <w:tc>
          <w:tcPr>
            <w:tcW w:w="3712" w:type="dxa"/>
          </w:tcPr>
          <w:p w14:paraId="7C472E61" w14:textId="6E90E4EF" w:rsidR="00504E65" w:rsidRPr="00075BC2" w:rsidRDefault="007353BA" w:rsidP="0026062D">
            <w:pPr>
              <w:pStyle w:val="BodyTextNoSpace"/>
              <w:widowControl w:val="0"/>
              <w:spacing w:line="240" w:lineRule="auto"/>
              <w:rPr>
                <w:rFonts w:cs="Arial"/>
                <w:color w:val="auto"/>
              </w:rPr>
            </w:pPr>
            <w:r w:rsidRPr="00075BC2">
              <w:rPr>
                <w:rFonts w:cs="Arial"/>
                <w:color w:val="auto"/>
              </w:rPr>
              <w:t>January 01, 2024</w:t>
            </w:r>
          </w:p>
        </w:tc>
      </w:tr>
      <w:tr w:rsidR="005D11A0" w:rsidRPr="00B271DB" w14:paraId="4553171E"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7AC6E0F8"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Planned grant end date(s)</w:t>
            </w:r>
          </w:p>
        </w:tc>
        <w:tc>
          <w:tcPr>
            <w:tcW w:w="3712" w:type="dxa"/>
          </w:tcPr>
          <w:p w14:paraId="3AB177F0" w14:textId="680BB895" w:rsidR="00504E65" w:rsidRPr="00075BC2" w:rsidRDefault="007353BA" w:rsidP="0026062D">
            <w:pPr>
              <w:pStyle w:val="BodyTextNoSpace"/>
              <w:widowControl w:val="0"/>
              <w:spacing w:line="240" w:lineRule="auto"/>
              <w:rPr>
                <w:rFonts w:cs="Arial"/>
                <w:color w:val="auto"/>
              </w:rPr>
            </w:pPr>
            <w:r w:rsidRPr="00075BC2">
              <w:rPr>
                <w:rFonts w:cs="Arial"/>
                <w:color w:val="auto"/>
              </w:rPr>
              <w:t>December 31, 2026</w:t>
            </w:r>
          </w:p>
        </w:tc>
      </w:tr>
      <w:tr w:rsidR="006A0139" w:rsidRPr="006A0139" w14:paraId="38154DBF"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1FAAA714"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 xml:space="preserve">Principal Recipient(s) </w:t>
            </w:r>
          </w:p>
        </w:tc>
        <w:tc>
          <w:tcPr>
            <w:tcW w:w="3712" w:type="dxa"/>
          </w:tcPr>
          <w:p w14:paraId="70D8612F" w14:textId="6478CF67" w:rsidR="00504E65" w:rsidRPr="00075BC2" w:rsidRDefault="007353BA" w:rsidP="0026062D">
            <w:pPr>
              <w:pStyle w:val="BodyTextNoSpace"/>
              <w:widowControl w:val="0"/>
              <w:spacing w:line="240" w:lineRule="auto"/>
              <w:rPr>
                <w:rFonts w:cs="Arial"/>
                <w:color w:val="auto"/>
              </w:rPr>
            </w:pPr>
            <w:r w:rsidRPr="00075BC2">
              <w:rPr>
                <w:rFonts w:cs="Arial"/>
                <w:color w:val="auto"/>
              </w:rPr>
              <w:t>United Nations Development Programme (UNDP)</w:t>
            </w:r>
          </w:p>
        </w:tc>
      </w:tr>
      <w:tr w:rsidR="005D11A0" w:rsidRPr="00B271DB" w14:paraId="6656FBC9"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24547407"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Currency</w:t>
            </w:r>
          </w:p>
        </w:tc>
        <w:tc>
          <w:tcPr>
            <w:tcW w:w="3712" w:type="dxa"/>
          </w:tcPr>
          <w:p w14:paraId="56F3E9A3" w14:textId="074783A8" w:rsidR="00504E65" w:rsidRPr="00075BC2" w:rsidRDefault="007353BA" w:rsidP="0026062D">
            <w:pPr>
              <w:pStyle w:val="BodyTextNoSpace"/>
              <w:widowControl w:val="0"/>
              <w:spacing w:line="240" w:lineRule="auto"/>
              <w:rPr>
                <w:rFonts w:cs="Arial"/>
                <w:color w:val="auto"/>
              </w:rPr>
            </w:pPr>
            <w:r w:rsidRPr="00075BC2">
              <w:rPr>
                <w:rFonts w:cs="Arial"/>
                <w:color w:val="auto"/>
              </w:rPr>
              <w:t>US Dollars ($)</w:t>
            </w:r>
          </w:p>
        </w:tc>
      </w:tr>
      <w:tr w:rsidR="004F0E9A" w:rsidRPr="00B271DB" w14:paraId="3F8B8ECE"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29A4F0A3" w14:textId="77777777" w:rsidR="00784B31" w:rsidRDefault="004F0E9A" w:rsidP="0026062D">
            <w:pPr>
              <w:pStyle w:val="BodyTextNoSpace"/>
              <w:widowControl w:val="0"/>
              <w:spacing w:line="240" w:lineRule="auto"/>
              <w:rPr>
                <w:sz w:val="22"/>
              </w:rPr>
            </w:pPr>
            <w:r w:rsidRPr="00955D30">
              <w:rPr>
                <w:color w:val="000000" w:themeColor="text1"/>
                <w:sz w:val="22"/>
              </w:rPr>
              <w:t xml:space="preserve">Areas of focus to be covered by this Funding Request </w:t>
            </w:r>
          </w:p>
          <w:p w14:paraId="695633DF" w14:textId="7794FC6E" w:rsidR="004F0E9A" w:rsidRPr="00955D30" w:rsidRDefault="004F0E9A" w:rsidP="0026062D">
            <w:pPr>
              <w:pStyle w:val="BodyTextNoSpace"/>
              <w:widowControl w:val="0"/>
              <w:spacing w:line="240" w:lineRule="auto"/>
              <w:rPr>
                <w:color w:val="000000" w:themeColor="text1"/>
                <w:sz w:val="22"/>
              </w:rPr>
            </w:pPr>
            <w:r w:rsidRPr="00955D30">
              <w:rPr>
                <w:color w:val="000000" w:themeColor="text1"/>
                <w:sz w:val="22"/>
              </w:rPr>
              <w:t>(</w:t>
            </w:r>
            <w:proofErr w:type="gramStart"/>
            <w:r w:rsidRPr="00955D30">
              <w:rPr>
                <w:color w:val="000000" w:themeColor="text1"/>
                <w:sz w:val="22"/>
              </w:rPr>
              <w:t>as</w:t>
            </w:r>
            <w:proofErr w:type="gramEnd"/>
            <w:r w:rsidRPr="00955D30">
              <w:rPr>
                <w:color w:val="000000" w:themeColor="text1"/>
                <w:sz w:val="22"/>
              </w:rPr>
              <w:t xml:space="preserve"> indicated in the allocation letter or otherwise agreed with the Global Fund)</w:t>
            </w:r>
          </w:p>
        </w:tc>
        <w:tc>
          <w:tcPr>
            <w:tcW w:w="3712" w:type="dxa"/>
          </w:tcPr>
          <w:p w14:paraId="2B10D36C" w14:textId="178BF666" w:rsidR="004F0E9A" w:rsidRPr="00075BC2" w:rsidRDefault="007353BA" w:rsidP="0026062D">
            <w:pPr>
              <w:pStyle w:val="BodyTextNoSpace"/>
              <w:widowControl w:val="0"/>
              <w:spacing w:line="240" w:lineRule="auto"/>
              <w:rPr>
                <w:rFonts w:cs="Arial"/>
                <w:color w:val="auto"/>
              </w:rPr>
            </w:pPr>
            <w:r w:rsidRPr="00075BC2">
              <w:rPr>
                <w:rFonts w:ascii="Arial" w:hAnsi="Arial" w:cs="Arial"/>
                <w:color w:val="auto"/>
                <w:spacing w:val="-4"/>
                <w:sz w:val="20"/>
                <w:szCs w:val="18"/>
              </w:rPr>
              <w:t xml:space="preserve">Precision interventions for KPs with the highest </w:t>
            </w:r>
            <w:r w:rsidRPr="00075BC2">
              <w:rPr>
                <w:rFonts w:cs="Arial"/>
                <w:color w:val="auto"/>
                <w:sz w:val="20"/>
                <w:szCs w:val="20"/>
                <w:lang w:val="en"/>
              </w:rPr>
              <w:t xml:space="preserve">HIV and TB </w:t>
            </w:r>
            <w:r w:rsidRPr="00075BC2">
              <w:rPr>
                <w:rFonts w:ascii="Arial" w:hAnsi="Arial" w:cs="Arial"/>
                <w:color w:val="auto"/>
                <w:spacing w:val="-4"/>
                <w:sz w:val="20"/>
                <w:szCs w:val="18"/>
              </w:rPr>
              <w:t xml:space="preserve">epidemiological burden, </w:t>
            </w:r>
            <w:r w:rsidRPr="00075BC2">
              <w:rPr>
                <w:rFonts w:cs="Arial"/>
                <w:color w:val="auto"/>
                <w:sz w:val="20"/>
                <w:szCs w:val="20"/>
                <w:lang w:val="en"/>
              </w:rPr>
              <w:t>including interventions that respond to human rights and gender-related barriers, inequities and vulnerabilities in access to services</w:t>
            </w:r>
          </w:p>
        </w:tc>
      </w:tr>
      <w:tr w:rsidR="005D11A0" w:rsidRPr="00B271DB" w14:paraId="2A6E9275"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32064B9A" w14:textId="77777777"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Allocation Funding Request Amount</w:t>
            </w:r>
          </w:p>
        </w:tc>
        <w:tc>
          <w:tcPr>
            <w:tcW w:w="3712" w:type="dxa"/>
          </w:tcPr>
          <w:p w14:paraId="368F16E8" w14:textId="687FEC1C" w:rsidR="00504E65" w:rsidRPr="00075BC2" w:rsidRDefault="007353BA" w:rsidP="0026062D">
            <w:pPr>
              <w:pStyle w:val="BodyTextNoSpace"/>
              <w:widowControl w:val="0"/>
              <w:spacing w:line="240" w:lineRule="auto"/>
              <w:rPr>
                <w:rFonts w:cs="Arial"/>
                <w:color w:val="auto"/>
              </w:rPr>
            </w:pPr>
            <w:r w:rsidRPr="00075BC2">
              <w:rPr>
                <w:rFonts w:cs="Arial"/>
                <w:color w:val="auto"/>
              </w:rPr>
              <w:t>$27,400,758</w:t>
            </w:r>
          </w:p>
        </w:tc>
      </w:tr>
      <w:tr w:rsidR="005D11A0" w:rsidRPr="00B271DB" w14:paraId="0C67160D"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6EF5539D" w14:textId="069C4E12" w:rsidR="00504E65" w:rsidRPr="00955D30" w:rsidRDefault="00504E65" w:rsidP="0026062D">
            <w:pPr>
              <w:pStyle w:val="BodyTextNoSpace"/>
              <w:widowControl w:val="0"/>
              <w:spacing w:line="240" w:lineRule="auto"/>
              <w:rPr>
                <w:rFonts w:cs="Arial"/>
                <w:color w:val="000000" w:themeColor="text1"/>
                <w:sz w:val="22"/>
              </w:rPr>
            </w:pPr>
            <w:r w:rsidRPr="00955D30">
              <w:rPr>
                <w:color w:val="000000" w:themeColor="text1"/>
                <w:sz w:val="22"/>
              </w:rPr>
              <w:t xml:space="preserve">Prioritized Above Allocation Request (PAAR) Amount </w:t>
            </w:r>
          </w:p>
        </w:tc>
        <w:tc>
          <w:tcPr>
            <w:tcW w:w="3712" w:type="dxa"/>
          </w:tcPr>
          <w:p w14:paraId="5495A851" w14:textId="4A5A1E9A" w:rsidR="00504E65" w:rsidRPr="00075BC2" w:rsidRDefault="007353BA" w:rsidP="0026062D">
            <w:pPr>
              <w:pStyle w:val="BodyTextNoSpace"/>
              <w:widowControl w:val="0"/>
              <w:spacing w:line="240" w:lineRule="auto"/>
              <w:rPr>
                <w:rFonts w:cs="Arial"/>
                <w:color w:val="auto"/>
              </w:rPr>
            </w:pPr>
            <w:r w:rsidRPr="00075BC2">
              <w:rPr>
                <w:rFonts w:cs="Arial"/>
                <w:color w:val="auto"/>
              </w:rPr>
              <w:t>$13,000,000</w:t>
            </w:r>
          </w:p>
        </w:tc>
      </w:tr>
      <w:tr w:rsidR="00524004" w:rsidRPr="00B271DB" w14:paraId="2ACA69DF"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69C5B667" w14:textId="7AA8FABB" w:rsidR="00524004" w:rsidRPr="00955D30" w:rsidRDefault="00524004" w:rsidP="0026062D">
            <w:pPr>
              <w:pStyle w:val="BodyTextNoSpace"/>
              <w:widowControl w:val="0"/>
              <w:spacing w:line="240" w:lineRule="auto"/>
              <w:rPr>
                <w:color w:val="000000" w:themeColor="text1"/>
                <w:sz w:val="22"/>
              </w:rPr>
            </w:pPr>
            <w:r w:rsidRPr="00955D30">
              <w:rPr>
                <w:color w:val="000000" w:themeColor="text1"/>
                <w:sz w:val="22"/>
              </w:rPr>
              <w:t>Matching Funds Request Amount</w:t>
            </w:r>
          </w:p>
          <w:p w14:paraId="60F38AC5" w14:textId="77777777" w:rsidR="00524004" w:rsidRPr="00955D30" w:rsidRDefault="00524004" w:rsidP="0026062D">
            <w:pPr>
              <w:pStyle w:val="BodyTextNoSpace"/>
              <w:widowControl w:val="0"/>
              <w:spacing w:line="240" w:lineRule="auto"/>
              <w:rPr>
                <w:rFonts w:cs="Arial"/>
                <w:color w:val="000000" w:themeColor="text1"/>
                <w:sz w:val="22"/>
              </w:rPr>
            </w:pPr>
            <w:r w:rsidRPr="00955D30">
              <w:rPr>
                <w:color w:val="000000" w:themeColor="text1"/>
                <w:sz w:val="22"/>
              </w:rPr>
              <w:t>(</w:t>
            </w:r>
            <w:proofErr w:type="gramStart"/>
            <w:r w:rsidRPr="00955D30">
              <w:rPr>
                <w:color w:val="000000" w:themeColor="text1"/>
                <w:sz w:val="22"/>
              </w:rPr>
              <w:t>if</w:t>
            </w:r>
            <w:proofErr w:type="gramEnd"/>
            <w:r w:rsidRPr="00955D30">
              <w:rPr>
                <w:color w:val="000000" w:themeColor="text1"/>
                <w:sz w:val="22"/>
              </w:rPr>
              <w:t xml:space="preserve"> applicable)</w:t>
            </w:r>
          </w:p>
        </w:tc>
        <w:tc>
          <w:tcPr>
            <w:tcW w:w="3712" w:type="dxa"/>
          </w:tcPr>
          <w:p w14:paraId="7A1FA358" w14:textId="79AC016F" w:rsidR="00524004" w:rsidRPr="00075BC2" w:rsidRDefault="007353BA" w:rsidP="0026062D">
            <w:pPr>
              <w:pStyle w:val="BodyTextNoSpace"/>
              <w:widowControl w:val="0"/>
              <w:spacing w:line="240" w:lineRule="auto"/>
              <w:rPr>
                <w:rFonts w:cs="Arial"/>
                <w:color w:val="auto"/>
                <w:lang w:val="en-US"/>
              </w:rPr>
            </w:pPr>
            <w:r w:rsidRPr="00075BC2">
              <w:rPr>
                <w:rFonts w:cs="Arial"/>
                <w:color w:val="auto"/>
              </w:rPr>
              <w:t>$500,000</w:t>
            </w:r>
          </w:p>
        </w:tc>
      </w:tr>
    </w:tbl>
    <w:p w14:paraId="1588F177" w14:textId="5216C4CC" w:rsidR="006764CA" w:rsidRPr="00A83D4D" w:rsidRDefault="006764CA" w:rsidP="0026062D">
      <w:pPr>
        <w:pStyle w:val="BodyText"/>
        <w:widowControl w:val="0"/>
        <w:spacing w:before="120" w:line="240" w:lineRule="auto"/>
        <w:jc w:val="both"/>
        <w:rPr>
          <w:color w:val="000000" w:themeColor="text1"/>
          <w:lang w:val="en-US"/>
        </w:rPr>
      </w:pPr>
      <w:r w:rsidRPr="00A83D4D">
        <w:rPr>
          <w:color w:val="000000" w:themeColor="text1"/>
          <w:szCs w:val="24"/>
          <w:lang w:val="en-US"/>
        </w:rPr>
        <w:t xml:space="preserve">Refer to the </w:t>
      </w:r>
      <w:hyperlink r:id="rId14" w:history="1">
        <w:r w:rsidRPr="001B6362">
          <w:rPr>
            <w:rStyle w:val="Hyperlink"/>
            <w:szCs w:val="24"/>
            <w:lang w:val="en-US"/>
          </w:rPr>
          <w:t>Tailored for Focused Portfolios Instructions</w:t>
        </w:r>
      </w:hyperlink>
      <w:r w:rsidRPr="00A83D4D">
        <w:rPr>
          <w:color w:val="000000" w:themeColor="text1"/>
          <w:szCs w:val="24"/>
          <w:lang w:val="en-US"/>
        </w:rPr>
        <w:t xml:space="preserve"> for </w:t>
      </w:r>
      <w:r w:rsidR="00207A1A">
        <w:rPr>
          <w:color w:val="000000" w:themeColor="text1"/>
          <w:szCs w:val="24"/>
          <w:lang w:val="en-US"/>
        </w:rPr>
        <w:t>detailed</w:t>
      </w:r>
      <w:r>
        <w:rPr>
          <w:color w:val="000000" w:themeColor="text1"/>
          <w:szCs w:val="24"/>
          <w:lang w:val="en-US"/>
        </w:rPr>
        <w:t xml:space="preserve"> elements </w:t>
      </w:r>
      <w:r w:rsidR="00207A1A">
        <w:rPr>
          <w:color w:val="000000" w:themeColor="text1"/>
          <w:szCs w:val="24"/>
          <w:lang w:val="en-US"/>
        </w:rPr>
        <w:t xml:space="preserve">related to each question </w:t>
      </w:r>
      <w:r>
        <w:rPr>
          <w:color w:val="000000" w:themeColor="text1"/>
          <w:szCs w:val="24"/>
          <w:lang w:val="en-US"/>
        </w:rPr>
        <w:t>which should be addressed for a response to be considered complete. The Instructions also include</w:t>
      </w:r>
      <w:r w:rsidRPr="00A83D4D">
        <w:rPr>
          <w:color w:val="000000" w:themeColor="text1"/>
          <w:szCs w:val="24"/>
          <w:lang w:val="en-US"/>
        </w:rPr>
        <w:t xml:space="preserve"> information, resources</w:t>
      </w:r>
      <w:r>
        <w:rPr>
          <w:color w:val="000000" w:themeColor="text1"/>
          <w:szCs w:val="24"/>
          <w:lang w:val="en-US"/>
        </w:rPr>
        <w:t xml:space="preserve">, and a description of </w:t>
      </w:r>
      <w:r w:rsidRPr="00A83D4D">
        <w:rPr>
          <w:color w:val="000000" w:themeColor="text1"/>
          <w:szCs w:val="24"/>
          <w:lang w:val="en-US"/>
        </w:rPr>
        <w:t xml:space="preserve">necessary </w:t>
      </w:r>
      <w:r>
        <w:rPr>
          <w:color w:val="000000" w:themeColor="text1"/>
          <w:szCs w:val="24"/>
          <w:lang w:val="en-US"/>
        </w:rPr>
        <w:t xml:space="preserve">documents to be submitted along with </w:t>
      </w:r>
      <w:r w:rsidRPr="00A83D4D">
        <w:rPr>
          <w:color w:val="000000" w:themeColor="text1"/>
          <w:szCs w:val="24"/>
          <w:lang w:val="en-US"/>
        </w:rPr>
        <w:t>this form.</w:t>
      </w:r>
    </w:p>
    <w:p w14:paraId="62346D9E" w14:textId="77777777" w:rsidR="00411FE1" w:rsidRDefault="00411FE1" w:rsidP="0026062D">
      <w:pPr>
        <w:widowControl w:val="0"/>
        <w:spacing w:after="200" w:line="240" w:lineRule="auto"/>
        <w:jc w:val="both"/>
        <w:rPr>
          <w:color w:val="000000" w:themeColor="text1"/>
        </w:rPr>
        <w:sectPr w:rsidR="00411FE1" w:rsidSect="00E06F3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0" w:right="1584" w:bottom="1872" w:left="850" w:header="288" w:footer="288" w:gutter="0"/>
          <w:cols w:space="708"/>
          <w:titlePg/>
          <w:docGrid w:linePitch="360"/>
        </w:sectPr>
      </w:pPr>
    </w:p>
    <w:p w14:paraId="18BBF2F8" w14:textId="6FFF7852" w:rsidR="00411FE1" w:rsidRDefault="00411FE1" w:rsidP="0026062D">
      <w:pPr>
        <w:widowControl w:val="0"/>
        <w:spacing w:after="200" w:line="240" w:lineRule="auto"/>
        <w:rPr>
          <w:color w:val="000000" w:themeColor="text1"/>
        </w:rPr>
        <w:sectPr w:rsidR="00411FE1" w:rsidSect="00E06F3C">
          <w:headerReference w:type="default" r:id="rId21"/>
          <w:footerReference w:type="default" r:id="rId22"/>
          <w:headerReference w:type="first" r:id="rId23"/>
          <w:footerReference w:type="first" r:id="rId24"/>
          <w:type w:val="continuous"/>
          <w:pgSz w:w="11906" w:h="16838" w:code="9"/>
          <w:pgMar w:top="850" w:right="1584" w:bottom="1872" w:left="850" w:header="288" w:footer="288" w:gutter="0"/>
          <w:cols w:space="708"/>
          <w:titlePg/>
          <w:docGrid w:linePitch="360"/>
        </w:sectPr>
      </w:pPr>
    </w:p>
    <w:p w14:paraId="4D5CAC92" w14:textId="6C245425" w:rsidR="002138FE" w:rsidRPr="00233BE6" w:rsidRDefault="006F4B7C" w:rsidP="0026062D">
      <w:pPr>
        <w:pStyle w:val="Heading1"/>
        <w:widowControl w:val="0"/>
        <w:spacing w:before="600"/>
      </w:pPr>
      <w:r>
        <w:lastRenderedPageBreak/>
        <w:t>Section</w:t>
      </w:r>
      <w:r w:rsidR="009505F2">
        <w:t xml:space="preserve"> </w:t>
      </w:r>
      <w:r>
        <w:t xml:space="preserve">1. </w:t>
      </w:r>
      <w:r w:rsidR="002138FE" w:rsidRPr="00233BE6">
        <w:t>Funding Request and Rationale</w:t>
      </w:r>
    </w:p>
    <w:p w14:paraId="76B5DBA7" w14:textId="5AE20774" w:rsidR="00C4455F" w:rsidRDefault="008219A9" w:rsidP="0026062D">
      <w:pPr>
        <w:pStyle w:val="BodyText"/>
        <w:widowControl w:val="0"/>
        <w:numPr>
          <w:ilvl w:val="1"/>
          <w:numId w:val="13"/>
        </w:numPr>
        <w:spacing w:line="240" w:lineRule="auto"/>
        <w:ind w:left="720" w:hanging="630"/>
        <w:jc w:val="both"/>
        <w:rPr>
          <w:color w:val="000000" w:themeColor="text1"/>
        </w:rPr>
      </w:pPr>
      <w:r w:rsidRPr="008219A9">
        <w:rPr>
          <w:b/>
          <w:bCs/>
          <w:color w:val="000000" w:themeColor="text1"/>
        </w:rPr>
        <w:t>Prioritized request</w:t>
      </w:r>
      <w:r>
        <w:rPr>
          <w:color w:val="000000" w:themeColor="text1"/>
        </w:rPr>
        <w:t>:</w:t>
      </w:r>
    </w:p>
    <w:p w14:paraId="48D89A83" w14:textId="6E5DC315" w:rsidR="002647DC" w:rsidRDefault="002647DC" w:rsidP="0026062D">
      <w:pPr>
        <w:pStyle w:val="BodyText"/>
        <w:widowControl w:val="0"/>
        <w:numPr>
          <w:ilvl w:val="0"/>
          <w:numId w:val="29"/>
        </w:numPr>
        <w:spacing w:line="240" w:lineRule="auto"/>
      </w:pPr>
      <w:r>
        <w:t xml:space="preserve">As applicable, for each module </w:t>
      </w:r>
      <w:r w:rsidRPr="00E20D47">
        <w:t xml:space="preserve">provide information on the funding </w:t>
      </w:r>
      <w:proofErr w:type="gramStart"/>
      <w:r w:rsidRPr="00E20D47">
        <w:t>being requested</w:t>
      </w:r>
      <w:proofErr w:type="gramEnd"/>
      <w:r w:rsidRPr="00E20D47">
        <w:t xml:space="preserve"> from the Global Fund</w:t>
      </w:r>
      <w:r>
        <w:t>,</w:t>
      </w:r>
      <w:r w:rsidRPr="00E20D47">
        <w:t xml:space="preserve"> </w:t>
      </w:r>
      <w:r>
        <w:t xml:space="preserve">limited to the areas of focus as indicated in the allocation letter or otherwise agreed with the Global Fund. </w:t>
      </w:r>
    </w:p>
    <w:p w14:paraId="2C44CB07" w14:textId="77777777" w:rsidR="002647DC" w:rsidRDefault="002647DC" w:rsidP="0026062D">
      <w:pPr>
        <w:pStyle w:val="BodyText"/>
        <w:widowControl w:val="0"/>
        <w:spacing w:line="240" w:lineRule="auto"/>
        <w:ind w:left="90"/>
        <w:jc w:val="both"/>
        <w:rPr>
          <w:color w:val="000000" w:themeColor="text1"/>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175304" w14:paraId="3DC47A0F" w14:textId="77777777" w:rsidTr="00264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E1D0EB" w14:textId="74F3F2DC" w:rsidR="00175304" w:rsidRDefault="00175304" w:rsidP="0026062D">
            <w:pPr>
              <w:pStyle w:val="BodyText"/>
              <w:widowControl w:val="0"/>
              <w:spacing w:line="240" w:lineRule="auto"/>
            </w:pPr>
            <w:r>
              <w:t>Module #</w:t>
            </w:r>
            <w:r w:rsidR="00771958">
              <w:t>1</w:t>
            </w:r>
          </w:p>
        </w:tc>
        <w:tc>
          <w:tcPr>
            <w:tcW w:w="12616" w:type="dxa"/>
          </w:tcPr>
          <w:p w14:paraId="4618BAD6" w14:textId="3927D744" w:rsidR="00175304" w:rsidRPr="00771958" w:rsidRDefault="00771958"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771958">
              <w:rPr>
                <w:sz w:val="22"/>
                <w:szCs w:val="22"/>
              </w:rPr>
              <w:t>RSSH: Health Sector Planning and Governance for Integrated People-</w:t>
            </w:r>
            <w:proofErr w:type="spellStart"/>
            <w:r w:rsidRPr="00771958">
              <w:rPr>
                <w:sz w:val="22"/>
                <w:szCs w:val="22"/>
              </w:rPr>
              <w:t>centered</w:t>
            </w:r>
            <w:proofErr w:type="spellEnd"/>
            <w:r w:rsidRPr="00771958">
              <w:rPr>
                <w:sz w:val="22"/>
                <w:szCs w:val="22"/>
              </w:rPr>
              <w:t xml:space="preserve"> Services</w:t>
            </w:r>
          </w:p>
        </w:tc>
      </w:tr>
      <w:tr w:rsidR="00175304" w14:paraId="6FEC5DFA" w14:textId="77777777" w:rsidTr="00264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8B74E1" w14:textId="77777777" w:rsidR="00175304" w:rsidRDefault="00175304" w:rsidP="0026062D">
            <w:pPr>
              <w:pStyle w:val="BodyText"/>
              <w:widowControl w:val="0"/>
              <w:spacing w:line="240" w:lineRule="auto"/>
            </w:pPr>
            <w:r>
              <w:t>Intervention(s)</w:t>
            </w:r>
          </w:p>
        </w:tc>
        <w:tc>
          <w:tcPr>
            <w:tcW w:w="12616" w:type="dxa"/>
          </w:tcPr>
          <w:p w14:paraId="3E3E2037" w14:textId="77777777" w:rsidR="00175304" w:rsidRPr="00771958" w:rsidRDefault="00771958" w:rsidP="0026062D">
            <w:pPr>
              <w:pStyle w:val="Default"/>
              <w:widowControl w:val="0"/>
              <w:spacing w:after="120"/>
              <w:cnfStyle w:val="000000100000" w:firstRow="0" w:lastRow="0" w:firstColumn="0" w:lastColumn="0" w:oddVBand="0" w:evenVBand="0" w:oddHBand="1" w:evenHBand="0" w:firstRowFirstColumn="0" w:firstRowLastColumn="0" w:lastRowFirstColumn="0" w:lastRowLastColumn="0"/>
              <w:rPr>
                <w:b/>
                <w:bCs/>
                <w:sz w:val="22"/>
                <w:szCs w:val="22"/>
              </w:rPr>
            </w:pPr>
            <w:r w:rsidRPr="00771958">
              <w:rPr>
                <w:b/>
                <w:bCs/>
                <w:sz w:val="22"/>
                <w:szCs w:val="22"/>
              </w:rPr>
              <w:t>Integration/coordination across disease programs and at the service delivery level</w:t>
            </w:r>
          </w:p>
          <w:p w14:paraId="45E05967" w14:textId="6EBDD80A" w:rsidR="00771958" w:rsidRPr="00771958" w:rsidRDefault="00771958" w:rsidP="0026062D">
            <w:pPr>
              <w:pStyle w:val="BodyText"/>
              <w:widowControl w:val="0"/>
              <w:spacing w:line="240" w:lineRule="auto"/>
              <w:ind w:left="14"/>
              <w:jc w:val="both"/>
              <w:cnfStyle w:val="000000100000" w:firstRow="0" w:lastRow="0" w:firstColumn="0" w:lastColumn="0" w:oddVBand="0" w:evenVBand="0" w:oddHBand="1" w:evenHBand="0" w:firstRowFirstColumn="0" w:firstRowLastColumn="0" w:lastRowFirstColumn="0" w:lastRowLastColumn="0"/>
              <w:rPr>
                <w:bCs/>
                <w:sz w:val="22"/>
                <w:lang w:val="en-US"/>
              </w:rPr>
            </w:pPr>
            <w:r w:rsidRPr="00771958">
              <w:rPr>
                <w:bCs/>
                <w:sz w:val="22"/>
                <w:lang w:val="en"/>
              </w:rPr>
              <w:t xml:space="preserve">In 2021-2022, the Kyrgyz Republic underwent significant legislative changes. A new Constitution was adopted, a number of basic codes and laws were revised, including 3 key laws in the health sector </w:t>
            </w:r>
            <w:r w:rsidR="00D606F6">
              <w:rPr>
                <w:bCs/>
                <w:sz w:val="22"/>
                <w:lang w:val="en"/>
              </w:rPr>
              <w:t>–</w:t>
            </w:r>
            <w:r w:rsidRPr="00771958">
              <w:rPr>
                <w:bCs/>
                <w:sz w:val="22"/>
                <w:lang w:val="en"/>
              </w:rPr>
              <w:t xml:space="preserve"> "On Public Health"</w:t>
            </w:r>
            <w:r w:rsidRPr="00771958">
              <w:rPr>
                <w:rStyle w:val="FootnoteReference"/>
                <w:bCs/>
                <w:sz w:val="22"/>
                <w:lang w:val="ru-RU"/>
              </w:rPr>
              <w:footnoteReference w:id="2"/>
            </w:r>
            <w:r w:rsidRPr="00771958">
              <w:rPr>
                <w:bCs/>
                <w:sz w:val="22"/>
                <w:lang w:val="en"/>
              </w:rPr>
              <w:t>, "On Public Health Protection"</w:t>
            </w:r>
            <w:r w:rsidRPr="00771958">
              <w:rPr>
                <w:rStyle w:val="FootnoteReference"/>
                <w:bCs/>
                <w:sz w:val="22"/>
                <w:lang w:val="ru-RU"/>
              </w:rPr>
              <w:footnoteReference w:id="3"/>
            </w:r>
            <w:r w:rsidRPr="00771958">
              <w:rPr>
                <w:bCs/>
                <w:sz w:val="22"/>
                <w:lang w:val="en"/>
              </w:rPr>
              <w:t xml:space="preserve"> and "On Circulation of Medicines"</w:t>
            </w:r>
            <w:r w:rsidRPr="00771958">
              <w:rPr>
                <w:rStyle w:val="FootnoteReference"/>
                <w:bCs/>
                <w:sz w:val="22"/>
                <w:lang w:val="en"/>
              </w:rPr>
              <w:footnoteReference w:id="4"/>
            </w:r>
            <w:r w:rsidRPr="00771958">
              <w:rPr>
                <w:bCs/>
                <w:sz w:val="22"/>
                <w:lang w:val="en"/>
              </w:rPr>
              <w:t>, which included 15 existing laws, including "On HIV/AIDS in the Kyrgyz Republic" and "On Protection of Population from Tuberculosis". Within the framework of the grant, there will be (a)</w:t>
            </w:r>
            <w:r w:rsidRPr="00771958">
              <w:rPr>
                <w:b/>
                <w:bCs/>
                <w:sz w:val="22"/>
                <w:lang w:val="en"/>
              </w:rPr>
              <w:t xml:space="preserve"> revision of all by-laws to ensure expanded HIV and TB services,</w:t>
            </w:r>
            <w:r w:rsidRPr="00771958">
              <w:rPr>
                <w:bCs/>
                <w:sz w:val="22"/>
                <w:lang w:val="en"/>
              </w:rPr>
              <w:t xml:space="preserve"> (b)</w:t>
            </w:r>
            <w:r w:rsidRPr="00771958">
              <w:rPr>
                <w:b/>
                <w:bCs/>
                <w:sz w:val="22"/>
                <w:lang w:val="en"/>
              </w:rPr>
              <w:t xml:space="preserve"> revision of the </w:t>
            </w:r>
            <w:r w:rsidR="00285053">
              <w:rPr>
                <w:b/>
                <w:bCs/>
                <w:sz w:val="22"/>
                <w:lang w:val="en"/>
              </w:rPr>
              <w:t>program on State-guaranteed benefit package</w:t>
            </w:r>
            <w:r w:rsidRPr="00771958">
              <w:rPr>
                <w:b/>
                <w:bCs/>
                <w:sz w:val="22"/>
                <w:lang w:val="en"/>
              </w:rPr>
              <w:t>, the list of vital drugs, introduction of drug procurement through international platforms, institutionalization of harm reduction programs, etc.</w:t>
            </w:r>
          </w:p>
          <w:p w14:paraId="4AD2A945" w14:textId="397C14EB" w:rsidR="00771958" w:rsidRPr="00771958" w:rsidRDefault="00771958" w:rsidP="0026062D">
            <w:pPr>
              <w:pStyle w:val="BodyText"/>
              <w:widowControl w:val="0"/>
              <w:spacing w:line="240" w:lineRule="auto"/>
              <w:ind w:left="14"/>
              <w:jc w:val="both"/>
              <w:cnfStyle w:val="000000100000" w:firstRow="0" w:lastRow="0" w:firstColumn="0" w:lastColumn="0" w:oddVBand="0" w:evenVBand="0" w:oddHBand="1" w:evenHBand="0" w:firstRowFirstColumn="0" w:firstRowLastColumn="0" w:lastRowFirstColumn="0" w:lastRowLastColumn="0"/>
              <w:rPr>
                <w:bCs/>
                <w:sz w:val="22"/>
                <w:lang w:val="en-US"/>
              </w:rPr>
            </w:pPr>
            <w:r w:rsidRPr="00771958">
              <w:rPr>
                <w:bCs/>
                <w:sz w:val="22"/>
                <w:lang w:val="en"/>
              </w:rPr>
              <w:t>Following commitments to expand public funding for HIV and TB programs, more than 80% of the country's ARVs have been purchased with public funds since 2021</w:t>
            </w:r>
            <w:r w:rsidRPr="00771958">
              <w:rPr>
                <w:rStyle w:val="FootnoteReference"/>
                <w:bCs/>
                <w:sz w:val="22"/>
                <w:lang w:val="ru-RU"/>
              </w:rPr>
              <w:footnoteReference w:id="5"/>
            </w:r>
            <w:r w:rsidRPr="00771958">
              <w:rPr>
                <w:bCs/>
                <w:sz w:val="22"/>
                <w:lang w:val="en"/>
              </w:rPr>
              <w:t>. More funds have also been allocated for diagnosis and monitoring of HIV treatment. In 2023 funding for opioid substitution therapy (OST) programs has begun</w:t>
            </w:r>
            <w:r w:rsidRPr="00771958">
              <w:rPr>
                <w:rStyle w:val="FootnoteReference"/>
                <w:bCs/>
                <w:sz w:val="22"/>
                <w:lang w:val="ru-RU"/>
              </w:rPr>
              <w:footnoteReference w:id="6"/>
            </w:r>
            <w:r w:rsidRPr="00771958">
              <w:rPr>
                <w:bCs/>
                <w:sz w:val="22"/>
                <w:lang w:val="en"/>
              </w:rPr>
              <w:t>, 2nd line TB drugs have been purchased</w:t>
            </w:r>
            <w:r w:rsidRPr="00771958">
              <w:rPr>
                <w:rStyle w:val="FootnoteReference"/>
                <w:bCs/>
                <w:sz w:val="22"/>
                <w:lang w:val="ru-RU"/>
              </w:rPr>
              <w:footnoteReference w:id="7"/>
            </w:r>
            <w:r w:rsidRPr="00771958">
              <w:rPr>
                <w:bCs/>
                <w:sz w:val="22"/>
              </w:rPr>
              <w:t xml:space="preserve"> and </w:t>
            </w:r>
            <w:r w:rsidRPr="00771958">
              <w:rPr>
                <w:bCs/>
                <w:sz w:val="22"/>
                <w:lang w:val="en"/>
              </w:rPr>
              <w:t xml:space="preserve">government social contracting has been implemented in the field of HIV and TB. In order to maintain and intensify work in these areas, the grant will include (a) </w:t>
            </w:r>
            <w:r w:rsidRPr="00771958">
              <w:rPr>
                <w:b/>
                <w:bCs/>
                <w:sz w:val="22"/>
                <w:lang w:val="en"/>
              </w:rPr>
              <w:t>revision of national plans for the transition to public funding, (b) advocacy for registration of medicines and diagnostic tests for the treatment of HIV, TB, OST, and drug addiction disorders to create public procurement opportunities, (c)</w:t>
            </w:r>
            <w:r w:rsidRPr="00771958">
              <w:rPr>
                <w:bCs/>
                <w:sz w:val="22"/>
                <w:lang w:val="en"/>
              </w:rPr>
              <w:t xml:space="preserve"> to expand the implementation of state social contracting programs, including in the area of TB, probation institutions and at the level of </w:t>
            </w:r>
            <w:r w:rsidR="00E2673D">
              <w:rPr>
                <w:bCs/>
                <w:sz w:val="22"/>
                <w:lang w:val="en"/>
              </w:rPr>
              <w:t>primary healthcare (</w:t>
            </w:r>
            <w:r w:rsidRPr="00771958">
              <w:rPr>
                <w:bCs/>
                <w:sz w:val="22"/>
                <w:lang w:val="en"/>
              </w:rPr>
              <w:t>PHC</w:t>
            </w:r>
            <w:r w:rsidR="00E2673D">
              <w:rPr>
                <w:bCs/>
                <w:sz w:val="22"/>
                <w:lang w:val="en"/>
              </w:rPr>
              <w:t>)</w:t>
            </w:r>
            <w:r w:rsidRPr="00771958">
              <w:rPr>
                <w:bCs/>
                <w:sz w:val="22"/>
                <w:lang w:val="en"/>
              </w:rPr>
              <w:t xml:space="preserve">, </w:t>
            </w:r>
            <w:r w:rsidRPr="00771958">
              <w:rPr>
                <w:b/>
                <w:sz w:val="22"/>
                <w:lang w:val="en"/>
              </w:rPr>
              <w:t xml:space="preserve">regular review of state social contracting programs, development and approval of wage rates, ensuring continuity of funding, building the capacity of service </w:t>
            </w:r>
            <w:r w:rsidRPr="00771958">
              <w:rPr>
                <w:b/>
                <w:sz w:val="22"/>
                <w:lang w:val="en"/>
              </w:rPr>
              <w:lastRenderedPageBreak/>
              <w:t>commissioners and NGOs on state social contracting mechanisms</w:t>
            </w:r>
            <w:r w:rsidRPr="00771958">
              <w:rPr>
                <w:bCs/>
                <w:sz w:val="22"/>
                <w:lang w:val="en"/>
              </w:rPr>
              <w:t>. Progress in the implementation plan for the transition to public funding of the HIV and TB programs will be assessed on a regular basis.</w:t>
            </w:r>
          </w:p>
          <w:p w14:paraId="0EB4A8A4" w14:textId="77777777" w:rsidR="00771958" w:rsidRPr="00771958" w:rsidRDefault="00771958" w:rsidP="0026062D">
            <w:pPr>
              <w:pStyle w:val="BodyText"/>
              <w:widowControl w:val="0"/>
              <w:spacing w:line="240" w:lineRule="auto"/>
              <w:ind w:left="14"/>
              <w:jc w:val="both"/>
              <w:cnfStyle w:val="000000100000" w:firstRow="0" w:lastRow="0" w:firstColumn="0" w:lastColumn="0" w:oddVBand="0" w:evenVBand="0" w:oddHBand="1" w:evenHBand="0" w:firstRowFirstColumn="0" w:firstRowLastColumn="0" w:lastRowFirstColumn="0" w:lastRowLastColumn="0"/>
              <w:rPr>
                <w:b/>
                <w:sz w:val="22"/>
                <w:lang w:val="en-US"/>
              </w:rPr>
            </w:pPr>
            <w:r w:rsidRPr="00771958">
              <w:rPr>
                <w:bCs/>
                <w:sz w:val="22"/>
                <w:lang w:val="en"/>
              </w:rPr>
              <w:t>The government program to optimize the TB service is being implemented.</w:t>
            </w:r>
            <w:r w:rsidRPr="00771958">
              <w:rPr>
                <w:rStyle w:val="FootnoteReference"/>
                <w:sz w:val="22"/>
                <w:lang w:val="ru-RU"/>
              </w:rPr>
              <w:footnoteReference w:id="8"/>
            </w:r>
            <w:r w:rsidRPr="00771958">
              <w:rPr>
                <w:bCs/>
                <w:sz w:val="22"/>
              </w:rPr>
              <w:t xml:space="preserve"> </w:t>
            </w:r>
            <w:r w:rsidRPr="00771958">
              <w:rPr>
                <w:bCs/>
                <w:sz w:val="22"/>
                <w:lang w:val="en"/>
              </w:rPr>
              <w:t xml:space="preserve">To intensify efforts in this area, minimize the risks of losing staff and laboratory capacity when facilities are liquidated, and strengthen coordination between TB centers and PHC, a </w:t>
            </w:r>
            <w:r w:rsidRPr="00771958">
              <w:rPr>
                <w:b/>
                <w:sz w:val="22"/>
                <w:lang w:val="en"/>
              </w:rPr>
              <w:t>detailed roadmap for service optimization and transition to outpatient TB treatment will be developed and implemented</w:t>
            </w:r>
            <w:r w:rsidRPr="00771958">
              <w:rPr>
                <w:bCs/>
                <w:sz w:val="22"/>
                <w:lang w:val="en"/>
              </w:rPr>
              <w:t>.</w:t>
            </w:r>
          </w:p>
          <w:p w14:paraId="1CC13421" w14:textId="3CED8111" w:rsidR="00771958" w:rsidRPr="006E1283" w:rsidRDefault="00771958" w:rsidP="0026062D">
            <w:pPr>
              <w:pStyle w:val="BodyText"/>
              <w:widowControl w:val="0"/>
              <w:spacing w:line="240" w:lineRule="auto"/>
              <w:ind w:left="14"/>
              <w:jc w:val="both"/>
              <w:cnfStyle w:val="000000100000" w:firstRow="0" w:lastRow="0" w:firstColumn="0" w:lastColumn="0" w:oddVBand="0" w:evenVBand="0" w:oddHBand="1" w:evenHBand="0" w:firstRowFirstColumn="0" w:firstRowLastColumn="0" w:lastRowFirstColumn="0" w:lastRowLastColumn="0"/>
              <w:rPr>
                <w:bCs/>
                <w:sz w:val="22"/>
                <w:lang w:val="en"/>
              </w:rPr>
            </w:pPr>
            <w:r w:rsidRPr="006E1283">
              <w:rPr>
                <w:bCs/>
                <w:sz w:val="22"/>
                <w:lang w:val="en"/>
              </w:rPr>
              <w:t xml:space="preserve">Diagnosis and treatment of HIV and TB is carried out </w:t>
            </w:r>
            <w:r w:rsidR="005B1BD5">
              <w:rPr>
                <w:bCs/>
                <w:sz w:val="22"/>
                <w:lang w:val="en"/>
              </w:rPr>
              <w:t>In line with</w:t>
            </w:r>
            <w:r w:rsidRPr="006E1283">
              <w:rPr>
                <w:bCs/>
                <w:sz w:val="22"/>
                <w:lang w:val="en"/>
              </w:rPr>
              <w:t xml:space="preserve"> the latest WHO recommendations. The use of the </w:t>
            </w:r>
            <w:proofErr w:type="spellStart"/>
            <w:r w:rsidRPr="006E1283">
              <w:rPr>
                <w:bCs/>
                <w:sz w:val="22"/>
                <w:lang w:val="en"/>
              </w:rPr>
              <w:t>BPaL</w:t>
            </w:r>
            <w:proofErr w:type="spellEnd"/>
            <w:r w:rsidRPr="006E1283">
              <w:rPr>
                <w:bCs/>
                <w:sz w:val="22"/>
                <w:lang w:val="en"/>
              </w:rPr>
              <w:t xml:space="preserve"> regimen, individual and short-term TB treatment regimens is expanding. </w:t>
            </w:r>
            <w:r w:rsidRPr="006E1283">
              <w:rPr>
                <w:b/>
                <w:sz w:val="22"/>
                <w:lang w:val="en"/>
              </w:rPr>
              <w:t>Clinical protocols for the diagnosis and treatment of HIV, TB, and OST will be reviewed</w:t>
            </w:r>
            <w:r w:rsidRPr="006E1283">
              <w:rPr>
                <w:bCs/>
                <w:sz w:val="22"/>
                <w:lang w:val="en"/>
              </w:rPr>
              <w:t xml:space="preserve"> to include </w:t>
            </w:r>
            <w:proofErr w:type="spellStart"/>
            <w:r w:rsidRPr="006E1283">
              <w:rPr>
                <w:bCs/>
                <w:sz w:val="22"/>
                <w:lang w:val="en"/>
              </w:rPr>
              <w:t>pretomanid</w:t>
            </w:r>
            <w:proofErr w:type="spellEnd"/>
            <w:r w:rsidRPr="006E1283">
              <w:rPr>
                <w:bCs/>
                <w:sz w:val="22"/>
                <w:lang w:val="en"/>
              </w:rPr>
              <w:t xml:space="preserve"> </w:t>
            </w:r>
            <w:r w:rsidR="00F479F0" w:rsidRPr="006E1283">
              <w:rPr>
                <w:bCs/>
                <w:sz w:val="22"/>
                <w:lang w:val="en"/>
              </w:rPr>
              <w:t xml:space="preserve">(Pa) </w:t>
            </w:r>
            <w:r w:rsidRPr="006E1283">
              <w:rPr>
                <w:bCs/>
                <w:sz w:val="22"/>
                <w:lang w:val="en"/>
              </w:rPr>
              <w:t xml:space="preserve">and </w:t>
            </w:r>
            <w:proofErr w:type="spellStart"/>
            <w:r w:rsidRPr="006E1283">
              <w:rPr>
                <w:bCs/>
                <w:sz w:val="22"/>
                <w:lang w:val="en"/>
              </w:rPr>
              <w:t>bedaquiline</w:t>
            </w:r>
            <w:proofErr w:type="spellEnd"/>
            <w:r w:rsidRPr="006E1283">
              <w:rPr>
                <w:bCs/>
                <w:sz w:val="22"/>
                <w:lang w:val="en"/>
              </w:rPr>
              <w:t xml:space="preserve"> </w:t>
            </w:r>
            <w:r w:rsidR="00F479F0" w:rsidRPr="006E1283">
              <w:rPr>
                <w:bCs/>
                <w:sz w:val="22"/>
                <w:lang w:val="en"/>
              </w:rPr>
              <w:t>(</w:t>
            </w:r>
            <w:proofErr w:type="spellStart"/>
            <w:r w:rsidR="00F479F0" w:rsidRPr="006E1283">
              <w:rPr>
                <w:bCs/>
                <w:sz w:val="22"/>
                <w:lang w:val="en"/>
              </w:rPr>
              <w:t>Bdq</w:t>
            </w:r>
            <w:proofErr w:type="spellEnd"/>
            <w:r w:rsidR="00F479F0" w:rsidRPr="006E1283">
              <w:rPr>
                <w:bCs/>
                <w:sz w:val="22"/>
                <w:lang w:val="en"/>
              </w:rPr>
              <w:t xml:space="preserve">) </w:t>
            </w:r>
            <w:r w:rsidRPr="006E1283">
              <w:rPr>
                <w:bCs/>
                <w:sz w:val="22"/>
                <w:lang w:val="en"/>
              </w:rPr>
              <w:t>in main routine treatment regimens, increase dispensing of ARV and TB drugs for longer periods, and expand the list of available drugs in OST programs.</w:t>
            </w:r>
          </w:p>
          <w:p w14:paraId="3B66FC8E" w14:textId="65742737" w:rsidR="006E1283" w:rsidRPr="00B90A00" w:rsidRDefault="006E1283" w:rsidP="0026062D">
            <w:pPr>
              <w:pStyle w:val="BodyText"/>
              <w:widowControl w:val="0"/>
              <w:spacing w:line="240" w:lineRule="auto"/>
              <w:ind w:left="14"/>
              <w:jc w:val="both"/>
              <w:cnfStyle w:val="000000100000" w:firstRow="0" w:lastRow="0" w:firstColumn="0" w:lastColumn="0" w:oddVBand="0" w:evenVBand="0" w:oddHBand="1" w:evenHBand="0" w:firstRowFirstColumn="0" w:firstRowLastColumn="0" w:lastRowFirstColumn="0" w:lastRowLastColumn="0"/>
              <w:rPr>
                <w:b/>
                <w:bCs/>
                <w:sz w:val="22"/>
                <w:szCs w:val="20"/>
                <w:lang w:val="en-US"/>
              </w:rPr>
            </w:pPr>
            <w:r>
              <w:rPr>
                <w:sz w:val="22"/>
                <w:szCs w:val="20"/>
                <w:lang w:val="en"/>
              </w:rPr>
              <w:t>In 2023, Kyrgyzstan, guided by the new WHO strategy to fight HIV, hepatitis, and STIs, will approve a joint Government program to fight HIV and parenteral hepatitis epidemics</w:t>
            </w:r>
            <w:r>
              <w:rPr>
                <w:rStyle w:val="FootnoteReference"/>
                <w:sz w:val="22"/>
                <w:szCs w:val="20"/>
                <w:lang w:val="ru-RU"/>
              </w:rPr>
              <w:footnoteReference w:id="9"/>
            </w:r>
            <w:r>
              <w:rPr>
                <w:sz w:val="22"/>
                <w:szCs w:val="20"/>
                <w:lang w:val="en"/>
              </w:rPr>
              <w:t xml:space="preserve">. In 2022 the </w:t>
            </w:r>
            <w:r w:rsidR="007C1A90">
              <w:rPr>
                <w:sz w:val="22"/>
                <w:szCs w:val="20"/>
                <w:lang w:val="en"/>
              </w:rPr>
              <w:t xml:space="preserve">Republican </w:t>
            </w:r>
            <w:r>
              <w:rPr>
                <w:sz w:val="22"/>
                <w:szCs w:val="20"/>
                <w:lang w:val="en"/>
              </w:rPr>
              <w:t xml:space="preserve">AIDS Center was transformed into a Center for the Control of </w:t>
            </w:r>
            <w:proofErr w:type="spellStart"/>
            <w:r>
              <w:rPr>
                <w:sz w:val="22"/>
                <w:szCs w:val="20"/>
                <w:lang w:val="en"/>
              </w:rPr>
              <w:t>Hemocontact</w:t>
            </w:r>
            <w:proofErr w:type="spellEnd"/>
            <w:r>
              <w:rPr>
                <w:sz w:val="22"/>
                <w:szCs w:val="20"/>
                <w:lang w:val="en"/>
              </w:rPr>
              <w:t xml:space="preserve"> Viral Hepatitis and HIV</w:t>
            </w:r>
            <w:r>
              <w:rPr>
                <w:rStyle w:val="FootnoteReference"/>
                <w:sz w:val="22"/>
                <w:szCs w:val="20"/>
                <w:lang w:val="ru-RU"/>
              </w:rPr>
              <w:footnoteReference w:id="10"/>
            </w:r>
            <w:r>
              <w:rPr>
                <w:sz w:val="22"/>
                <w:szCs w:val="20"/>
                <w:lang w:val="en"/>
              </w:rPr>
              <w:t>. More than $2</w:t>
            </w:r>
            <w:r w:rsidR="004D2DD3">
              <w:rPr>
                <w:sz w:val="22"/>
                <w:szCs w:val="20"/>
                <w:lang w:val="en"/>
              </w:rPr>
              <w:t> </w:t>
            </w:r>
            <w:r>
              <w:rPr>
                <w:sz w:val="22"/>
                <w:szCs w:val="20"/>
                <w:lang w:val="en"/>
              </w:rPr>
              <w:t xml:space="preserve">million has been allocated from the state budget for 2023 for purchase of tests, reagents for the diagnosis of </w:t>
            </w:r>
            <w:r w:rsidR="00B90A00">
              <w:rPr>
                <w:sz w:val="22"/>
                <w:szCs w:val="20"/>
                <w:lang w:val="en"/>
              </w:rPr>
              <w:t>hepatitis</w:t>
            </w:r>
            <w:r>
              <w:rPr>
                <w:sz w:val="22"/>
                <w:szCs w:val="20"/>
                <w:lang w:val="en"/>
              </w:rPr>
              <w:t xml:space="preserve"> and drugs for their treatment</w:t>
            </w:r>
            <w:r>
              <w:rPr>
                <w:rStyle w:val="FootnoteReference"/>
                <w:sz w:val="22"/>
                <w:szCs w:val="20"/>
                <w:lang w:val="ru-RU"/>
              </w:rPr>
              <w:footnoteReference w:id="11"/>
            </w:r>
            <w:r>
              <w:rPr>
                <w:sz w:val="22"/>
                <w:szCs w:val="20"/>
                <w:lang w:val="en"/>
              </w:rPr>
              <w:t xml:space="preserve">. </w:t>
            </w:r>
            <w:r w:rsidR="00B90A00" w:rsidRPr="00B90A00">
              <w:rPr>
                <w:sz w:val="22"/>
                <w:szCs w:val="20"/>
                <w:lang w:val="en"/>
              </w:rPr>
              <w:t xml:space="preserve">To implement this component, the Ministry of Health </w:t>
            </w:r>
            <w:r w:rsidR="00B90A00">
              <w:rPr>
                <w:sz w:val="22"/>
                <w:szCs w:val="20"/>
                <w:lang w:val="en"/>
              </w:rPr>
              <w:t xml:space="preserve">(MoH) </w:t>
            </w:r>
            <w:r w:rsidR="00B90A00" w:rsidRPr="00B90A00">
              <w:rPr>
                <w:sz w:val="22"/>
                <w:szCs w:val="20"/>
                <w:lang w:val="en"/>
              </w:rPr>
              <w:t>has developed a list of people</w:t>
            </w:r>
            <w:r w:rsidR="00040B36">
              <w:rPr>
                <w:rStyle w:val="FootnoteReference"/>
                <w:sz w:val="22"/>
                <w:szCs w:val="20"/>
                <w:lang w:val="en"/>
              </w:rPr>
              <w:footnoteReference w:id="12"/>
            </w:r>
            <w:r w:rsidR="00B90A00" w:rsidRPr="00B90A00">
              <w:rPr>
                <w:sz w:val="22"/>
                <w:szCs w:val="20"/>
                <w:lang w:val="en"/>
              </w:rPr>
              <w:t xml:space="preserve"> who will </w:t>
            </w:r>
            <w:r w:rsidR="00B90A00">
              <w:rPr>
                <w:sz w:val="22"/>
                <w:szCs w:val="20"/>
                <w:lang w:val="en"/>
              </w:rPr>
              <w:t>primarily</w:t>
            </w:r>
            <w:r w:rsidR="00B90A00" w:rsidRPr="00B90A00">
              <w:rPr>
                <w:sz w:val="22"/>
                <w:szCs w:val="20"/>
                <w:lang w:val="en"/>
              </w:rPr>
              <w:t xml:space="preserve"> get access to diagnosis and treatment of </w:t>
            </w:r>
            <w:r w:rsidR="00B90A00">
              <w:rPr>
                <w:sz w:val="22"/>
                <w:szCs w:val="20"/>
                <w:lang w:val="en"/>
              </w:rPr>
              <w:t>hepatitis</w:t>
            </w:r>
            <w:r w:rsidR="00B90A00" w:rsidRPr="00B90A00">
              <w:rPr>
                <w:sz w:val="22"/>
                <w:szCs w:val="20"/>
                <w:lang w:val="en"/>
              </w:rPr>
              <w:t xml:space="preserve">. PLHIV, prisoners, </w:t>
            </w:r>
            <w:r w:rsidR="0042651B">
              <w:rPr>
                <w:sz w:val="22"/>
                <w:szCs w:val="20"/>
                <w:lang w:val="en"/>
              </w:rPr>
              <w:t>people with TB</w:t>
            </w:r>
            <w:r w:rsidR="00B90A00" w:rsidRPr="00B90A00">
              <w:rPr>
                <w:sz w:val="22"/>
                <w:szCs w:val="20"/>
                <w:lang w:val="en"/>
              </w:rPr>
              <w:t xml:space="preserve">, PWID with liver cirrhosis were included in the first category, who will receive free HBV and HCV treatment in 2023. PWID, MSM, and other key populations will also be able to receive free HBV and HCV treatment when the program expands. </w:t>
            </w:r>
            <w:r w:rsidR="0042651B">
              <w:rPr>
                <w:sz w:val="22"/>
                <w:szCs w:val="20"/>
                <w:lang w:val="en"/>
              </w:rPr>
              <w:t>All KPs, w</w:t>
            </w:r>
            <w:r w:rsidR="00B90A00" w:rsidRPr="00B90A00">
              <w:rPr>
                <w:sz w:val="22"/>
                <w:szCs w:val="20"/>
                <w:lang w:val="en"/>
              </w:rPr>
              <w:t xml:space="preserve">ithout exception, will be able to receive free HCV rapid testing and HBV vaccination. At the same time, in order to rapidly expand the program and provide services to key populations it is necessary to </w:t>
            </w:r>
            <w:r w:rsidR="00B90A00" w:rsidRPr="00CD409F">
              <w:rPr>
                <w:b/>
                <w:bCs/>
                <w:sz w:val="22"/>
                <w:szCs w:val="20"/>
                <w:lang w:val="en"/>
              </w:rPr>
              <w:t xml:space="preserve">form a national system of services, develop and implement mechanisms of </w:t>
            </w:r>
            <w:r w:rsidR="007B62F6">
              <w:rPr>
                <w:b/>
                <w:bCs/>
                <w:sz w:val="22"/>
                <w:szCs w:val="20"/>
                <w:lang w:val="en"/>
              </w:rPr>
              <w:t>hepatitis</w:t>
            </w:r>
            <w:r w:rsidR="00B90A00" w:rsidRPr="00CD409F">
              <w:rPr>
                <w:b/>
                <w:bCs/>
                <w:sz w:val="22"/>
                <w:szCs w:val="20"/>
                <w:lang w:val="en"/>
              </w:rPr>
              <w:t xml:space="preserve"> services, including for key populations</w:t>
            </w:r>
            <w:r w:rsidR="00B90A00" w:rsidRPr="00B90A00">
              <w:rPr>
                <w:sz w:val="22"/>
                <w:szCs w:val="20"/>
                <w:lang w:val="en"/>
              </w:rPr>
              <w:t>.</w:t>
            </w:r>
          </w:p>
          <w:p w14:paraId="545C8A2B" w14:textId="5CCCCF7F" w:rsidR="00CD409F" w:rsidRPr="00E769B9" w:rsidRDefault="00CD409F"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en-US"/>
              </w:rPr>
            </w:pPr>
            <w:r>
              <w:rPr>
                <w:sz w:val="22"/>
                <w:szCs w:val="20"/>
                <w:lang w:val="en"/>
              </w:rPr>
              <w:t>To allow the integrated management of HIV programs and the integration of the HIV monitoring system into the unified health information system of the country</w:t>
            </w:r>
            <w:r w:rsidR="00AA7390">
              <w:rPr>
                <w:sz w:val="22"/>
                <w:szCs w:val="20"/>
                <w:lang w:val="en"/>
              </w:rPr>
              <w:t xml:space="preserve"> the following will be implemented</w:t>
            </w:r>
            <w:r w:rsidRPr="00761686">
              <w:rPr>
                <w:sz w:val="22"/>
                <w:szCs w:val="20"/>
                <w:lang w:val="en"/>
              </w:rPr>
              <w:t>:</w:t>
            </w:r>
            <w:r>
              <w:rPr>
                <w:b/>
                <w:sz w:val="22"/>
                <w:szCs w:val="20"/>
                <w:lang w:val="en"/>
              </w:rPr>
              <w:t xml:space="preserve"> </w:t>
            </w:r>
            <w:r w:rsidR="00AA7390">
              <w:rPr>
                <w:b/>
                <w:sz w:val="22"/>
                <w:szCs w:val="20"/>
                <w:lang w:val="en"/>
              </w:rPr>
              <w:t>e</w:t>
            </w:r>
            <w:r w:rsidRPr="00B76E2E">
              <w:rPr>
                <w:b/>
                <w:sz w:val="22"/>
                <w:szCs w:val="20"/>
                <w:lang w:val="en"/>
              </w:rPr>
              <w:t>xpansion of the electronic HIV tracking system, including monitoring the implementation of prevention, care and support programs, monitoring of drug inventory management and adherence to HIV treatment through the integration of the treatment module operating in the AIDS service with MIS programs used by the</w:t>
            </w:r>
            <w:r>
              <w:rPr>
                <w:b/>
                <w:sz w:val="22"/>
                <w:szCs w:val="20"/>
                <w:lang w:val="en"/>
              </w:rPr>
              <w:t xml:space="preserve"> </w:t>
            </w:r>
            <w:r w:rsidRPr="00B76E2E">
              <w:rPr>
                <w:b/>
                <w:sz w:val="22"/>
                <w:szCs w:val="20"/>
                <w:lang w:val="en"/>
              </w:rPr>
              <w:t xml:space="preserve">UNDP to account for preventive services, and subsequently the entire system of services in the integration of HIV into the </w:t>
            </w:r>
            <w:r>
              <w:rPr>
                <w:sz w:val="22"/>
                <w:szCs w:val="20"/>
                <w:lang w:val="en"/>
              </w:rPr>
              <w:t>system of the e-health center under the MoH of the Kyrgyz Republic.</w:t>
            </w:r>
          </w:p>
          <w:p w14:paraId="420FB700" w14:textId="55F04BDA" w:rsidR="00771958" w:rsidRPr="00771958" w:rsidRDefault="00CD409F" w:rsidP="0026062D">
            <w:pPr>
              <w:pStyle w:val="Default"/>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B76E2E">
              <w:rPr>
                <w:b/>
                <w:sz w:val="22"/>
                <w:szCs w:val="20"/>
                <w:lang w:val="en"/>
              </w:rPr>
              <w:t xml:space="preserve">Conducting a mid-term evaluation of the Cabinet of Ministers' HIV and TB Programs, assessing progress in the implementation of the interdepartmental plan to overcome legal barriers will </w:t>
            </w:r>
            <w:r>
              <w:rPr>
                <w:sz w:val="22"/>
                <w:szCs w:val="20"/>
                <w:lang w:val="en"/>
              </w:rPr>
              <w:t xml:space="preserve">allow timely identification of gaps in achieving </w:t>
            </w:r>
            <w:r>
              <w:rPr>
                <w:sz w:val="22"/>
                <w:szCs w:val="20"/>
                <w:lang w:val="en"/>
              </w:rPr>
              <w:lastRenderedPageBreak/>
              <w:t>goals and adjusting Program activities.</w:t>
            </w:r>
          </w:p>
        </w:tc>
      </w:tr>
      <w:tr w:rsidR="00175304" w14:paraId="3BA6148A" w14:textId="77777777" w:rsidTr="002647DC">
        <w:tc>
          <w:tcPr>
            <w:tcW w:w="2547" w:type="dxa"/>
          </w:tcPr>
          <w:p w14:paraId="59DE3E00" w14:textId="77777777" w:rsidR="00175304" w:rsidRDefault="00175304" w:rsidP="0026062D">
            <w:pPr>
              <w:pStyle w:val="BodyText"/>
              <w:widowControl w:val="0"/>
              <w:spacing w:line="240" w:lineRule="auto"/>
              <w:cnfStyle w:val="001000000000" w:firstRow="0" w:lastRow="0" w:firstColumn="1" w:lastColumn="0" w:oddVBand="0" w:evenVBand="0" w:oddHBand="0" w:evenHBand="0" w:firstRowFirstColumn="0" w:firstRowLastColumn="0" w:lastRowFirstColumn="0" w:lastRowLastColumn="0"/>
            </w:pPr>
            <w:r>
              <w:lastRenderedPageBreak/>
              <w:t>Population, geographies and/or barriers addressed</w:t>
            </w:r>
          </w:p>
        </w:tc>
        <w:tc>
          <w:tcPr>
            <w:tcW w:w="12616" w:type="dxa"/>
          </w:tcPr>
          <w:p w14:paraId="6114E7E3" w14:textId="2A2BBFCA" w:rsidR="007B62F6" w:rsidRPr="00E769B9" w:rsidRDefault="007B62F6" w:rsidP="0026062D">
            <w:pPr>
              <w:pStyle w:val="BodyText"/>
              <w:widowControl w:val="0"/>
              <w:spacing w:line="240" w:lineRule="auto"/>
              <w:jc w:val="both"/>
              <w:rPr>
                <w:sz w:val="22"/>
                <w:szCs w:val="20"/>
                <w:lang w:val="en-US"/>
              </w:rPr>
            </w:pPr>
            <w:r>
              <w:rPr>
                <w:sz w:val="22"/>
                <w:szCs w:val="20"/>
                <w:lang w:val="en"/>
              </w:rPr>
              <w:t xml:space="preserve">Healthcare systems of the Kyrgyz Republic related to the provision of HIV and TB services. </w:t>
            </w:r>
            <w:r w:rsidR="00D66F5C">
              <w:rPr>
                <w:sz w:val="22"/>
                <w:szCs w:val="20"/>
                <w:lang w:val="en"/>
              </w:rPr>
              <w:t>PLHIV</w:t>
            </w:r>
            <w:r>
              <w:rPr>
                <w:sz w:val="22"/>
                <w:szCs w:val="20"/>
                <w:lang w:val="en"/>
              </w:rPr>
              <w:t>, people with TB, key groups (MSM, TG, SW, PWUD, prisoners).</w:t>
            </w:r>
          </w:p>
          <w:p w14:paraId="7A10D8F6" w14:textId="67DE63DC" w:rsidR="007B62F6" w:rsidRPr="007B62F6" w:rsidRDefault="007B62F6" w:rsidP="0026062D">
            <w:pPr>
              <w:pStyle w:val="BodyText"/>
              <w:widowControl w:val="0"/>
              <w:spacing w:line="240" w:lineRule="auto"/>
              <w:jc w:val="both"/>
              <w:rPr>
                <w:sz w:val="22"/>
                <w:lang w:val="en-US"/>
              </w:rPr>
            </w:pPr>
            <w:r w:rsidRPr="007B62F6">
              <w:rPr>
                <w:sz w:val="22"/>
                <w:lang w:val="en"/>
              </w:rPr>
              <w:t xml:space="preserve">Adoption of new healthcare laws without the subsequent development and adoption of bylaws will reduce the effectiveness of service provision. It will slow down the expansion of state funding for programs, including the introduction of innovative approaches to TB treatment and implementation of OST. For example, the current </w:t>
            </w:r>
            <w:r w:rsidR="00285053">
              <w:rPr>
                <w:sz w:val="22"/>
                <w:lang w:val="en"/>
              </w:rPr>
              <w:t>Program on State-guaranteed benefit package</w:t>
            </w:r>
            <w:r w:rsidRPr="007B62F6">
              <w:rPr>
                <w:rFonts w:ascii="Arial" w:eastAsia="Arial" w:hAnsi="Arial"/>
                <w:sz w:val="22"/>
              </w:rPr>
              <w:t xml:space="preserve"> on provision of citizens with medical and sanitary assistance (hereinafter – the </w:t>
            </w:r>
            <w:r w:rsidR="00285053">
              <w:rPr>
                <w:rFonts w:ascii="Arial" w:eastAsia="Arial" w:hAnsi="Arial"/>
                <w:sz w:val="22"/>
              </w:rPr>
              <w:t>SGBP</w:t>
            </w:r>
            <w:r w:rsidRPr="007B62F6">
              <w:rPr>
                <w:rFonts w:ascii="Arial" w:eastAsia="Arial" w:hAnsi="Arial"/>
                <w:sz w:val="22"/>
              </w:rPr>
              <w:t xml:space="preserve">) </w:t>
            </w:r>
            <w:r w:rsidRPr="007B62F6">
              <w:rPr>
                <w:rStyle w:val="FootnoteReference"/>
                <w:sz w:val="22"/>
                <w:lang w:val="ru-RU"/>
              </w:rPr>
              <w:footnoteReference w:id="13"/>
            </w:r>
            <w:r w:rsidRPr="007B62F6">
              <w:rPr>
                <w:sz w:val="22"/>
                <w:lang w:val="en"/>
              </w:rPr>
              <w:t xml:space="preserve"> does not include OST and harm reduction programs as guaranteed services for the population. The EDL</w:t>
            </w:r>
            <w:r w:rsidRPr="007B62F6">
              <w:rPr>
                <w:rStyle w:val="FootnoteReference"/>
                <w:sz w:val="22"/>
                <w:lang w:val="ru-RU"/>
              </w:rPr>
              <w:footnoteReference w:id="14"/>
            </w:r>
            <w:r w:rsidRPr="007B62F6">
              <w:rPr>
                <w:sz w:val="22"/>
                <w:lang w:val="en"/>
              </w:rPr>
              <w:t xml:space="preserve">, last approved in 2018, does not include drugs such as </w:t>
            </w:r>
            <w:r w:rsidR="0032546F">
              <w:rPr>
                <w:sz w:val="22"/>
                <w:lang w:val="en"/>
              </w:rPr>
              <w:t>Pa</w:t>
            </w:r>
            <w:r w:rsidRPr="007B62F6">
              <w:rPr>
                <w:sz w:val="22"/>
                <w:lang w:val="en"/>
              </w:rPr>
              <w:t xml:space="preserve"> or combined TLD drugs. Despite the adoption of the new law "On Public Procurement" in 2022,</w:t>
            </w:r>
            <w:r w:rsidRPr="007B62F6">
              <w:rPr>
                <w:rStyle w:val="FootnoteReference"/>
                <w:sz w:val="22"/>
                <w:lang w:val="ru-RU"/>
              </w:rPr>
              <w:footnoteReference w:id="15"/>
            </w:r>
            <w:r w:rsidRPr="007B62F6">
              <w:rPr>
                <w:sz w:val="22"/>
                <w:lang w:val="en"/>
              </w:rPr>
              <w:t xml:space="preserve"> which contains the possibility of procurement through international platforms, a mechanism for its implementation has not yet been developed. Introduction of social contracting of NGOs at the expense of state funds is slow due to difficulties in salary alignments. State social contracting programs need to be updated on a regular basis. At</w:t>
            </w:r>
            <w:r w:rsidRPr="007B62F6">
              <w:rPr>
                <w:sz w:val="22"/>
                <w:lang w:val="en-US"/>
              </w:rPr>
              <w:t xml:space="preserve"> </w:t>
            </w:r>
            <w:r w:rsidRPr="007B62F6">
              <w:rPr>
                <w:sz w:val="22"/>
                <w:lang w:val="en"/>
              </w:rPr>
              <w:t>the</w:t>
            </w:r>
            <w:r w:rsidRPr="007B62F6">
              <w:rPr>
                <w:sz w:val="22"/>
                <w:lang w:val="en-US"/>
              </w:rPr>
              <w:t xml:space="preserve"> </w:t>
            </w:r>
            <w:r w:rsidRPr="007B62F6">
              <w:rPr>
                <w:sz w:val="22"/>
                <w:lang w:val="en"/>
              </w:rPr>
              <w:t>same</w:t>
            </w:r>
            <w:r w:rsidRPr="007B62F6">
              <w:rPr>
                <w:sz w:val="22"/>
                <w:lang w:val="en-US"/>
              </w:rPr>
              <w:t xml:space="preserve"> </w:t>
            </w:r>
            <w:r w:rsidRPr="007B62F6">
              <w:rPr>
                <w:sz w:val="22"/>
                <w:lang w:val="en"/>
              </w:rPr>
              <w:t>time</w:t>
            </w:r>
            <w:r w:rsidRPr="007B62F6">
              <w:rPr>
                <w:sz w:val="22"/>
                <w:lang w:val="en-US"/>
              </w:rPr>
              <w:t xml:space="preserve">, </w:t>
            </w:r>
            <w:r w:rsidRPr="007B62F6">
              <w:rPr>
                <w:sz w:val="22"/>
                <w:lang w:val="en"/>
              </w:rPr>
              <w:t>key</w:t>
            </w:r>
            <w:r w:rsidRPr="007B62F6">
              <w:rPr>
                <w:sz w:val="22"/>
                <w:lang w:val="en-US"/>
              </w:rPr>
              <w:t xml:space="preserve"> </w:t>
            </w:r>
            <w:r w:rsidRPr="007B62F6">
              <w:rPr>
                <w:sz w:val="22"/>
                <w:lang w:val="en"/>
              </w:rPr>
              <w:t>medicines</w:t>
            </w:r>
            <w:r w:rsidRPr="007B62F6">
              <w:rPr>
                <w:sz w:val="22"/>
                <w:lang w:val="en-US"/>
              </w:rPr>
              <w:t xml:space="preserve"> </w:t>
            </w:r>
            <w:r w:rsidRPr="007B62F6">
              <w:rPr>
                <w:sz w:val="22"/>
                <w:lang w:val="en"/>
              </w:rPr>
              <w:t>and</w:t>
            </w:r>
            <w:r w:rsidRPr="007B62F6">
              <w:rPr>
                <w:sz w:val="22"/>
                <w:lang w:val="en-US"/>
              </w:rPr>
              <w:t xml:space="preserve"> </w:t>
            </w:r>
            <w:r w:rsidRPr="007B62F6">
              <w:rPr>
                <w:sz w:val="22"/>
                <w:lang w:val="en"/>
              </w:rPr>
              <w:t>diagnostic</w:t>
            </w:r>
            <w:r w:rsidRPr="007B62F6">
              <w:rPr>
                <w:sz w:val="22"/>
                <w:lang w:val="en-US"/>
              </w:rPr>
              <w:t xml:space="preserve"> </w:t>
            </w:r>
            <w:r w:rsidRPr="007B62F6">
              <w:rPr>
                <w:sz w:val="22"/>
                <w:lang w:val="en"/>
              </w:rPr>
              <w:t>tests</w:t>
            </w:r>
            <w:r w:rsidRPr="007B62F6">
              <w:rPr>
                <w:sz w:val="22"/>
                <w:lang w:val="en-US"/>
              </w:rPr>
              <w:t xml:space="preserve"> </w:t>
            </w:r>
            <w:r w:rsidRPr="007B62F6">
              <w:rPr>
                <w:sz w:val="22"/>
                <w:lang w:val="en"/>
              </w:rPr>
              <w:t>for</w:t>
            </w:r>
            <w:r w:rsidRPr="007B62F6">
              <w:rPr>
                <w:sz w:val="22"/>
                <w:lang w:val="en-US"/>
              </w:rPr>
              <w:t xml:space="preserve"> </w:t>
            </w:r>
            <w:r w:rsidRPr="007B62F6">
              <w:rPr>
                <w:sz w:val="22"/>
                <w:lang w:val="en"/>
              </w:rPr>
              <w:t>HIV</w:t>
            </w:r>
            <w:r w:rsidRPr="007B62F6">
              <w:rPr>
                <w:sz w:val="22"/>
                <w:lang w:val="en-US"/>
              </w:rPr>
              <w:t xml:space="preserve">, </w:t>
            </w:r>
            <w:r w:rsidRPr="007B62F6">
              <w:rPr>
                <w:sz w:val="22"/>
                <w:lang w:val="en"/>
              </w:rPr>
              <w:t>TB</w:t>
            </w:r>
            <w:r w:rsidRPr="007B62F6">
              <w:rPr>
                <w:sz w:val="22"/>
                <w:lang w:val="en-US"/>
              </w:rPr>
              <w:t xml:space="preserve">, </w:t>
            </w:r>
            <w:r w:rsidRPr="007B62F6">
              <w:rPr>
                <w:sz w:val="22"/>
                <w:lang w:val="en"/>
              </w:rPr>
              <w:t>and</w:t>
            </w:r>
            <w:r w:rsidRPr="007B62F6">
              <w:rPr>
                <w:sz w:val="22"/>
                <w:lang w:val="en-US"/>
              </w:rPr>
              <w:t xml:space="preserve"> </w:t>
            </w:r>
            <w:r w:rsidRPr="007B62F6">
              <w:rPr>
                <w:sz w:val="22"/>
                <w:lang w:val="en"/>
              </w:rPr>
              <w:t>OST</w:t>
            </w:r>
            <w:r w:rsidRPr="007B62F6">
              <w:rPr>
                <w:sz w:val="22"/>
                <w:lang w:val="en-US"/>
              </w:rPr>
              <w:t xml:space="preserve"> </w:t>
            </w:r>
            <w:r w:rsidRPr="007B62F6">
              <w:rPr>
                <w:sz w:val="22"/>
                <w:lang w:val="en"/>
              </w:rPr>
              <w:t>are</w:t>
            </w:r>
            <w:r w:rsidRPr="007B62F6">
              <w:rPr>
                <w:sz w:val="22"/>
                <w:lang w:val="en-US"/>
              </w:rPr>
              <w:t xml:space="preserve"> </w:t>
            </w:r>
            <w:r w:rsidRPr="007B62F6">
              <w:rPr>
                <w:sz w:val="22"/>
                <w:lang w:val="en"/>
              </w:rPr>
              <w:t>not</w:t>
            </w:r>
            <w:r w:rsidRPr="007B62F6">
              <w:rPr>
                <w:sz w:val="22"/>
                <w:lang w:val="en-US"/>
              </w:rPr>
              <w:t xml:space="preserve"> </w:t>
            </w:r>
            <w:r w:rsidRPr="007B62F6">
              <w:rPr>
                <w:sz w:val="22"/>
                <w:lang w:val="en"/>
              </w:rPr>
              <w:t>registered</w:t>
            </w:r>
            <w:r w:rsidRPr="007B62F6">
              <w:rPr>
                <w:sz w:val="22"/>
                <w:lang w:val="en-US"/>
              </w:rPr>
              <w:t xml:space="preserve"> </w:t>
            </w:r>
            <w:r w:rsidRPr="007B62F6">
              <w:rPr>
                <w:sz w:val="22"/>
                <w:lang w:val="en"/>
              </w:rPr>
              <w:t>on</w:t>
            </w:r>
            <w:r w:rsidRPr="007B62F6">
              <w:rPr>
                <w:sz w:val="22"/>
                <w:lang w:val="en-US"/>
              </w:rPr>
              <w:t xml:space="preserve"> </w:t>
            </w:r>
            <w:r w:rsidRPr="007B62F6">
              <w:rPr>
                <w:sz w:val="22"/>
                <w:lang w:val="en"/>
              </w:rPr>
              <w:t>the</w:t>
            </w:r>
            <w:r w:rsidRPr="007B62F6">
              <w:rPr>
                <w:sz w:val="22"/>
                <w:lang w:val="en-US"/>
              </w:rPr>
              <w:t xml:space="preserve"> </w:t>
            </w:r>
            <w:r w:rsidRPr="007B62F6">
              <w:rPr>
                <w:sz w:val="22"/>
                <w:lang w:val="en"/>
              </w:rPr>
              <w:t>local</w:t>
            </w:r>
            <w:r w:rsidRPr="007B62F6">
              <w:rPr>
                <w:sz w:val="22"/>
                <w:lang w:val="en-US"/>
              </w:rPr>
              <w:t xml:space="preserve"> </w:t>
            </w:r>
            <w:r w:rsidRPr="007B62F6">
              <w:rPr>
                <w:sz w:val="22"/>
                <w:lang w:val="en"/>
              </w:rPr>
              <w:t>market</w:t>
            </w:r>
            <w:r w:rsidRPr="007B62F6">
              <w:rPr>
                <w:sz w:val="22"/>
                <w:lang w:val="en-US"/>
              </w:rPr>
              <w:t xml:space="preserve">, </w:t>
            </w:r>
            <w:r w:rsidRPr="007B62F6">
              <w:rPr>
                <w:sz w:val="22"/>
                <w:lang w:val="en"/>
              </w:rPr>
              <w:t>which</w:t>
            </w:r>
            <w:r w:rsidRPr="007B62F6">
              <w:rPr>
                <w:sz w:val="22"/>
                <w:lang w:val="en-US"/>
              </w:rPr>
              <w:t xml:space="preserve"> </w:t>
            </w:r>
            <w:r w:rsidRPr="007B62F6">
              <w:rPr>
                <w:sz w:val="22"/>
                <w:lang w:val="en"/>
              </w:rPr>
              <w:t>makes</w:t>
            </w:r>
            <w:r w:rsidRPr="007B62F6">
              <w:rPr>
                <w:sz w:val="22"/>
                <w:lang w:val="en-US"/>
              </w:rPr>
              <w:t xml:space="preserve"> </w:t>
            </w:r>
            <w:r w:rsidRPr="007B62F6">
              <w:rPr>
                <w:sz w:val="22"/>
                <w:lang w:val="en"/>
              </w:rPr>
              <w:t>it</w:t>
            </w:r>
            <w:r w:rsidRPr="007B62F6">
              <w:rPr>
                <w:sz w:val="22"/>
                <w:lang w:val="en-US"/>
              </w:rPr>
              <w:t xml:space="preserve"> </w:t>
            </w:r>
            <w:r w:rsidRPr="007B62F6">
              <w:rPr>
                <w:sz w:val="22"/>
                <w:lang w:val="en"/>
              </w:rPr>
              <w:t>impossible</w:t>
            </w:r>
            <w:r w:rsidRPr="007B62F6">
              <w:rPr>
                <w:sz w:val="22"/>
                <w:lang w:val="en-US"/>
              </w:rPr>
              <w:t xml:space="preserve"> </w:t>
            </w:r>
            <w:r w:rsidRPr="007B62F6">
              <w:rPr>
                <w:sz w:val="22"/>
                <w:lang w:val="en"/>
              </w:rPr>
              <w:t>to</w:t>
            </w:r>
            <w:r w:rsidRPr="007B62F6">
              <w:rPr>
                <w:sz w:val="22"/>
                <w:lang w:val="en-US"/>
              </w:rPr>
              <w:t xml:space="preserve"> </w:t>
            </w:r>
            <w:r w:rsidRPr="007B62F6">
              <w:rPr>
                <w:sz w:val="22"/>
                <w:lang w:val="en"/>
              </w:rPr>
              <w:t>procure</w:t>
            </w:r>
            <w:r w:rsidRPr="007B62F6">
              <w:rPr>
                <w:sz w:val="22"/>
                <w:lang w:val="en-US"/>
              </w:rPr>
              <w:t xml:space="preserve"> </w:t>
            </w:r>
            <w:r w:rsidRPr="007B62F6">
              <w:rPr>
                <w:sz w:val="22"/>
                <w:lang w:val="en"/>
              </w:rPr>
              <w:t>at</w:t>
            </w:r>
            <w:r w:rsidRPr="007B62F6">
              <w:rPr>
                <w:sz w:val="22"/>
                <w:lang w:val="en-US"/>
              </w:rPr>
              <w:t xml:space="preserve"> </w:t>
            </w:r>
            <w:r w:rsidRPr="007B62F6">
              <w:rPr>
                <w:sz w:val="22"/>
                <w:lang w:val="en"/>
              </w:rPr>
              <w:t>public</w:t>
            </w:r>
            <w:r w:rsidRPr="007B62F6">
              <w:rPr>
                <w:sz w:val="22"/>
                <w:lang w:val="en-US"/>
              </w:rPr>
              <w:t xml:space="preserve"> </w:t>
            </w:r>
            <w:r w:rsidRPr="007B62F6">
              <w:rPr>
                <w:sz w:val="22"/>
                <w:lang w:val="en"/>
              </w:rPr>
              <w:t>expense</w:t>
            </w:r>
            <w:r w:rsidRPr="007B62F6">
              <w:rPr>
                <w:sz w:val="22"/>
                <w:lang w:val="en-US"/>
              </w:rPr>
              <w:t xml:space="preserve">. </w:t>
            </w:r>
            <w:r w:rsidRPr="007B62F6">
              <w:rPr>
                <w:sz w:val="22"/>
                <w:lang w:val="en"/>
              </w:rPr>
              <w:t>There is a need for regular assessments in regard to the fulfillment of country commitments on domestic resource mobilization.</w:t>
            </w:r>
          </w:p>
          <w:p w14:paraId="3DFD5B58" w14:textId="1684DE8B" w:rsidR="00175304" w:rsidRPr="00771958" w:rsidRDefault="007B62F6" w:rsidP="0026062D">
            <w:pPr>
              <w:pStyle w:val="BodyText"/>
              <w:widowControl w:val="0"/>
              <w:spacing w:line="240" w:lineRule="auto"/>
              <w:jc w:val="both"/>
              <w:rPr>
                <w:sz w:val="22"/>
              </w:rPr>
            </w:pPr>
            <w:r>
              <w:rPr>
                <w:sz w:val="22"/>
                <w:szCs w:val="20"/>
                <w:lang w:val="en"/>
              </w:rPr>
              <w:t xml:space="preserve">The Government's Program to optimize the TB service is designed to last until 2026. In December 2021, the Ministry of Health of the Kyrgyz Republic issued a series of orders to reduce TB hospital beds and to close TB hospitals (Uzgen, </w:t>
            </w:r>
            <w:proofErr w:type="spellStart"/>
            <w:r>
              <w:rPr>
                <w:sz w:val="22"/>
                <w:szCs w:val="20"/>
                <w:lang w:val="en"/>
              </w:rPr>
              <w:t>Toktogul</w:t>
            </w:r>
            <w:proofErr w:type="spellEnd"/>
            <w:r>
              <w:rPr>
                <w:sz w:val="22"/>
                <w:szCs w:val="20"/>
                <w:lang w:val="en"/>
              </w:rPr>
              <w:t xml:space="preserve">, </w:t>
            </w:r>
            <w:proofErr w:type="spellStart"/>
            <w:r>
              <w:rPr>
                <w:sz w:val="22"/>
                <w:szCs w:val="20"/>
                <w:lang w:val="en"/>
              </w:rPr>
              <w:t>Nookat</w:t>
            </w:r>
            <w:proofErr w:type="spellEnd"/>
            <w:r>
              <w:rPr>
                <w:sz w:val="22"/>
                <w:szCs w:val="20"/>
                <w:lang w:val="en"/>
              </w:rPr>
              <w:t xml:space="preserve">, as well as in the cities </w:t>
            </w:r>
            <w:proofErr w:type="spellStart"/>
            <w:r>
              <w:rPr>
                <w:sz w:val="22"/>
                <w:szCs w:val="20"/>
                <w:lang w:val="en"/>
              </w:rPr>
              <w:t>Shekaftar</w:t>
            </w:r>
            <w:proofErr w:type="spellEnd"/>
            <w:r>
              <w:rPr>
                <w:sz w:val="22"/>
                <w:szCs w:val="20"/>
                <w:lang w:val="en"/>
              </w:rPr>
              <w:t xml:space="preserve"> and Kyzyl-Kiya).</w:t>
            </w:r>
            <w:r>
              <w:rPr>
                <w:rStyle w:val="FootnoteReference"/>
                <w:sz w:val="22"/>
                <w:szCs w:val="20"/>
                <w:lang w:val="ru-RU"/>
              </w:rPr>
              <w:footnoteReference w:id="16"/>
            </w:r>
            <w:r>
              <w:rPr>
                <w:sz w:val="22"/>
                <w:szCs w:val="20"/>
                <w:lang w:val="en"/>
              </w:rPr>
              <w:t xml:space="preserve"> To date, 400 beds in 5 geographic regions have been reduced (5 inpatient facilities closed), more than 23% (2021, UNDP) of patients with TB are in outpatient care. Released funds are allocated to the PHC for TB </w:t>
            </w:r>
            <w:r w:rsidR="002647DC">
              <w:rPr>
                <w:sz w:val="22"/>
                <w:szCs w:val="20"/>
                <w:lang w:val="en"/>
              </w:rPr>
              <w:t>services</w:t>
            </w:r>
            <w:r>
              <w:rPr>
                <w:sz w:val="22"/>
                <w:szCs w:val="20"/>
                <w:lang w:val="en"/>
              </w:rPr>
              <w:t>. There are also losses of TB patients during their transfer to outpatient care. Diagnosis and treatment monitoring become difficult in regions where hospitals and TB centers are closed, whereas qualified specialists don’t continue their work after the institutions are shut down. These problems arise due to insufficient planning of optimization measures and poor coordination between TB service and PHC</w:t>
            </w:r>
            <w:r w:rsidR="002647DC">
              <w:rPr>
                <w:sz w:val="22"/>
                <w:szCs w:val="20"/>
                <w:lang w:val="en"/>
              </w:rPr>
              <w:t>.</w:t>
            </w:r>
          </w:p>
        </w:tc>
      </w:tr>
      <w:tr w:rsidR="00175304" w14:paraId="2E6C9416" w14:textId="77777777" w:rsidTr="00264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6EB63D" w14:textId="77777777" w:rsidR="00175304" w:rsidRDefault="00175304" w:rsidP="0026062D">
            <w:pPr>
              <w:pStyle w:val="BodyText"/>
              <w:widowControl w:val="0"/>
              <w:spacing w:line="240" w:lineRule="auto"/>
            </w:pPr>
            <w:r>
              <w:t>Amount requested</w:t>
            </w:r>
          </w:p>
        </w:tc>
        <w:tc>
          <w:tcPr>
            <w:tcW w:w="12616" w:type="dxa"/>
          </w:tcPr>
          <w:p w14:paraId="4B5246A2" w14:textId="513393BB" w:rsidR="00175304" w:rsidRPr="00771958" w:rsidRDefault="002647DC"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$80,228</w:t>
            </w:r>
          </w:p>
        </w:tc>
      </w:tr>
      <w:tr w:rsidR="00175304" w14:paraId="631FDBA8" w14:textId="77777777" w:rsidTr="002647DC">
        <w:tc>
          <w:tcPr>
            <w:cnfStyle w:val="001000000000" w:firstRow="0" w:lastRow="0" w:firstColumn="1" w:lastColumn="0" w:oddVBand="0" w:evenVBand="0" w:oddHBand="0" w:evenHBand="0" w:firstRowFirstColumn="0" w:firstRowLastColumn="0" w:lastRowFirstColumn="0" w:lastRowLastColumn="0"/>
            <w:tcW w:w="2547" w:type="dxa"/>
          </w:tcPr>
          <w:p w14:paraId="1679E4AA" w14:textId="77777777" w:rsidR="00175304" w:rsidRDefault="00175304" w:rsidP="0026062D">
            <w:pPr>
              <w:pStyle w:val="BodyText"/>
              <w:widowControl w:val="0"/>
              <w:spacing w:line="240" w:lineRule="auto"/>
            </w:pPr>
            <w:r>
              <w:t>Expected outcome</w:t>
            </w:r>
          </w:p>
        </w:tc>
        <w:tc>
          <w:tcPr>
            <w:tcW w:w="12616" w:type="dxa"/>
          </w:tcPr>
          <w:p w14:paraId="5D460AF9" w14:textId="4D1E66A6" w:rsidR="00175304" w:rsidRPr="002647DC" w:rsidRDefault="002647DC"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sidRPr="002647DC">
              <w:rPr>
                <w:sz w:val="22"/>
              </w:rPr>
              <w:t xml:space="preserve">Laws and regulations directly or indirectly related to HIV and TB are in place; clinical protocols </w:t>
            </w:r>
            <w:proofErr w:type="gramStart"/>
            <w:r w:rsidRPr="002647DC">
              <w:rPr>
                <w:sz w:val="22"/>
              </w:rPr>
              <w:t>are approved</w:t>
            </w:r>
            <w:proofErr w:type="gramEnd"/>
            <w:r w:rsidRPr="002647DC">
              <w:rPr>
                <w:sz w:val="22"/>
              </w:rPr>
              <w:t>; and revisions of HIV and TB programs are based on the findings of regular evaluation of current programs</w:t>
            </w:r>
          </w:p>
        </w:tc>
      </w:tr>
    </w:tbl>
    <w:p w14:paraId="12BC3DC1" w14:textId="77777777" w:rsidR="00FD52B3" w:rsidRPr="00075BC2" w:rsidRDefault="00FD52B3"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FD52B3" w14:paraId="1603A5C5"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955DAA" w14:textId="6B6894C3" w:rsidR="00FD52B3" w:rsidRDefault="00FD52B3" w:rsidP="0026062D">
            <w:pPr>
              <w:pStyle w:val="BodyText"/>
              <w:widowControl w:val="0"/>
              <w:spacing w:line="240" w:lineRule="auto"/>
            </w:pPr>
            <w:r>
              <w:t>Module #</w:t>
            </w:r>
            <w:r w:rsidR="00662E6E">
              <w:t>2</w:t>
            </w:r>
          </w:p>
        </w:tc>
        <w:tc>
          <w:tcPr>
            <w:tcW w:w="12616" w:type="dxa"/>
          </w:tcPr>
          <w:p w14:paraId="77370D3C" w14:textId="62F422AD" w:rsidR="00FD52B3" w:rsidRPr="004B5476" w:rsidRDefault="00A65439"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4B5476">
              <w:rPr>
                <w:sz w:val="22"/>
                <w:szCs w:val="22"/>
              </w:rPr>
              <w:t>RSSH: Community Systems Strengthening</w:t>
            </w:r>
          </w:p>
        </w:tc>
      </w:tr>
      <w:tr w:rsidR="00FD52B3" w14:paraId="0F64B4CA"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FB2A7E" w14:textId="77777777" w:rsidR="00FD52B3" w:rsidRDefault="00FD52B3" w:rsidP="0026062D">
            <w:pPr>
              <w:pStyle w:val="BodyText"/>
              <w:widowControl w:val="0"/>
              <w:spacing w:line="240" w:lineRule="auto"/>
            </w:pPr>
            <w:r>
              <w:lastRenderedPageBreak/>
              <w:t>Intervention(s)</w:t>
            </w:r>
          </w:p>
        </w:tc>
        <w:tc>
          <w:tcPr>
            <w:tcW w:w="12616" w:type="dxa"/>
          </w:tcPr>
          <w:p w14:paraId="12B75253" w14:textId="77777777" w:rsidR="00A65439" w:rsidRPr="004B5476" w:rsidRDefault="00A65439"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b/>
                <w:sz w:val="22"/>
                <w:lang w:val="en-US"/>
              </w:rPr>
            </w:pPr>
            <w:r w:rsidRPr="004B5476">
              <w:rPr>
                <w:b/>
                <w:sz w:val="22"/>
                <w:lang w:val="en"/>
              </w:rPr>
              <w:t>Community-led monitoring</w:t>
            </w:r>
          </w:p>
          <w:p w14:paraId="1DDDE636" w14:textId="77777777"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
              </w:rPr>
            </w:pPr>
            <w:r w:rsidRPr="004B5476">
              <w:rPr>
                <w:sz w:val="22"/>
                <w:lang w:val="en"/>
              </w:rPr>
              <w:t xml:space="preserve">The civil society sector, which carries out its activities in the field of HIV and TB, has been monitoring programs for several years, using electronic systems for documenting rights violations such as </w:t>
            </w:r>
            <w:proofErr w:type="spellStart"/>
            <w:r w:rsidRPr="004B5476">
              <w:rPr>
                <w:sz w:val="22"/>
                <w:lang w:val="en"/>
              </w:rPr>
              <w:t>REAct</w:t>
            </w:r>
            <w:proofErr w:type="spellEnd"/>
            <w:r w:rsidRPr="004B5476">
              <w:rPr>
                <w:sz w:val="22"/>
                <w:lang w:val="en"/>
              </w:rPr>
              <w:t xml:space="preserve"> and </w:t>
            </w:r>
            <w:proofErr w:type="spellStart"/>
            <w:r w:rsidRPr="004B5476">
              <w:rPr>
                <w:sz w:val="22"/>
                <w:lang w:val="en"/>
              </w:rPr>
              <w:t>OneImpact</w:t>
            </w:r>
            <w:proofErr w:type="spellEnd"/>
            <w:r w:rsidRPr="004B5476">
              <w:rPr>
                <w:sz w:val="22"/>
                <w:lang w:val="en"/>
              </w:rPr>
              <w:t>, as well as pereboi.kg, the latter being a system for collecting complaints about the provision of drugs and diagnostics.</w:t>
            </w:r>
            <w:r w:rsidRPr="004B5476">
              <w:rPr>
                <w:sz w:val="22"/>
                <w:lang w:val="en-US"/>
              </w:rPr>
              <w:t xml:space="preserve"> </w:t>
            </w:r>
            <w:r w:rsidRPr="004B5476">
              <w:rPr>
                <w:sz w:val="22"/>
                <w:lang w:val="en"/>
              </w:rPr>
              <w:t>Through this the civil society sector has strengthened the monitoring of rights of key groups. With the support of UNITAID, the Partnership Network Association has been monitoring the procurement of ARVs purchased with both government and GF funds for several years. The cost of HIV treatment was reduced to less than $100 per year per PLHIV. The government's draft of HIV and TB programs for 2023-2027 include a wide range of activities to increase community participation in monitoring. An interagency work plan on overcoming legal barriers related to HIV and TB</w:t>
            </w:r>
            <w:r w:rsidRPr="004B5476">
              <w:rPr>
                <w:rStyle w:val="FootnoteReference"/>
                <w:sz w:val="22"/>
                <w:lang w:val="ru-RU"/>
              </w:rPr>
              <w:footnoteReference w:id="17"/>
            </w:r>
            <w:r w:rsidRPr="004B5476">
              <w:rPr>
                <w:sz w:val="22"/>
                <w:lang w:val="en"/>
              </w:rPr>
              <w:t xml:space="preserve"> is being implemented and provides the opportunity to monitor the rights of key populations.</w:t>
            </w:r>
          </w:p>
          <w:p w14:paraId="64D577F6" w14:textId="4113BB23"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t>In 2022, with the support of HAC, mapping of CLM activities</w:t>
            </w:r>
            <w:r w:rsidRPr="004B5476">
              <w:rPr>
                <w:rStyle w:val="FootnoteReference"/>
                <w:sz w:val="22"/>
                <w:lang w:val="ru-RU"/>
              </w:rPr>
              <w:footnoteReference w:id="18"/>
            </w:r>
            <w:r w:rsidRPr="004B5476">
              <w:rPr>
                <w:sz w:val="22"/>
                <w:lang w:val="en-US"/>
              </w:rPr>
              <w:t xml:space="preserve"> </w:t>
            </w:r>
            <w:r w:rsidRPr="004B5476">
              <w:rPr>
                <w:sz w:val="22"/>
                <w:lang w:val="en"/>
              </w:rPr>
              <w:t xml:space="preserve">was carried out in the countries of the </w:t>
            </w:r>
            <w:r w:rsidR="0004000E" w:rsidRPr="004B5476">
              <w:rPr>
                <w:sz w:val="22"/>
                <w:lang w:val="en"/>
              </w:rPr>
              <w:t xml:space="preserve">EECA </w:t>
            </w:r>
            <w:r w:rsidRPr="004B5476">
              <w:rPr>
                <w:sz w:val="22"/>
                <w:lang w:val="en"/>
              </w:rPr>
              <w:t xml:space="preserve">region, including Kyrgyzstan, and recommendations were proposed for expanding CLM in Kyrgyzstan. At the end of 2022, an evaluation of the </w:t>
            </w:r>
            <w:r w:rsidR="0004000E" w:rsidRPr="004B5476">
              <w:rPr>
                <w:sz w:val="22"/>
                <w:lang w:val="en"/>
              </w:rPr>
              <w:t>GF</w:t>
            </w:r>
            <w:r w:rsidRPr="004B5476">
              <w:rPr>
                <w:sz w:val="22"/>
                <w:lang w:val="en"/>
              </w:rPr>
              <w:t xml:space="preserve"> Breaking Down Barriers Initiative program in Kyrgyzstan</w:t>
            </w:r>
            <w:r w:rsidRPr="004B5476">
              <w:rPr>
                <w:rStyle w:val="FootnoteReference"/>
                <w:sz w:val="22"/>
                <w:lang w:val="ru-RU"/>
              </w:rPr>
              <w:footnoteReference w:id="19"/>
            </w:r>
            <w:r w:rsidRPr="004B5476">
              <w:rPr>
                <w:sz w:val="22"/>
                <w:lang w:val="en"/>
              </w:rPr>
              <w:t xml:space="preserve"> noted the need to strengthen community engagement, including in monitoring programs, in order to monitor levels of stigma and discrimination. It was also recommended to make use of CLM to inform on health worker training and policies, etc. Kyrgyzstan implemented a component on overcoming legal barriers under the GF grant, which included a number of </w:t>
            </w:r>
            <w:proofErr w:type="gramStart"/>
            <w:r w:rsidRPr="004B5476">
              <w:rPr>
                <w:sz w:val="22"/>
                <w:lang w:val="en"/>
              </w:rPr>
              <w:t>community</w:t>
            </w:r>
            <w:proofErr w:type="gramEnd"/>
            <w:r w:rsidRPr="004B5476">
              <w:rPr>
                <w:sz w:val="22"/>
                <w:lang w:val="en"/>
              </w:rPr>
              <w:t xml:space="preserve"> monitoring activities, including routine monitoring of the quality of services for PLHIV and key populations, surveys of recipients of HIV and TB services conducted by networks as well as monitoring of public procurement for HIV and TB. USAID supports community-based monitoring to assess and improve the quality of services in </w:t>
            </w:r>
            <w:proofErr w:type="spellStart"/>
            <w:r w:rsidRPr="004B5476">
              <w:rPr>
                <w:sz w:val="22"/>
                <w:lang w:val="en"/>
              </w:rPr>
              <w:t>E</w:t>
            </w:r>
            <w:r w:rsidR="0004000E" w:rsidRPr="004B5476">
              <w:rPr>
                <w:sz w:val="22"/>
                <w:lang w:val="en"/>
              </w:rPr>
              <w:t>pi</w:t>
            </w:r>
            <w:r w:rsidRPr="004B5476">
              <w:rPr>
                <w:sz w:val="22"/>
                <w:lang w:val="en"/>
              </w:rPr>
              <w:t>C</w:t>
            </w:r>
            <w:proofErr w:type="spellEnd"/>
            <w:r w:rsidRPr="004B5476">
              <w:rPr>
                <w:sz w:val="22"/>
                <w:lang w:val="en"/>
              </w:rPr>
              <w:t>, CDC priority project sites.</w:t>
            </w:r>
          </w:p>
          <w:p w14:paraId="6C680A1B" w14:textId="06487689"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t xml:space="preserve">Under the new GF grant, </w:t>
            </w:r>
            <w:r w:rsidR="0004000E" w:rsidRPr="004B5476">
              <w:rPr>
                <w:sz w:val="22"/>
                <w:lang w:val="en"/>
              </w:rPr>
              <w:t xml:space="preserve">it is planned that </w:t>
            </w:r>
            <w:r w:rsidRPr="004B5476">
              <w:rPr>
                <w:sz w:val="22"/>
                <w:lang w:val="en"/>
              </w:rPr>
              <w:t xml:space="preserve">communities will be fully involved in the implementation of module 12 of this </w:t>
            </w:r>
            <w:r w:rsidR="0004000E" w:rsidRPr="004B5476">
              <w:rPr>
                <w:sz w:val="22"/>
                <w:lang w:val="en"/>
              </w:rPr>
              <w:t>FR</w:t>
            </w:r>
            <w:r w:rsidRPr="004B5476">
              <w:rPr>
                <w:sz w:val="22"/>
                <w:lang w:val="en"/>
              </w:rPr>
              <w:t xml:space="preserve"> to eliminate legal barriers. They will work within the Unified Monitoring Group under the Office of the Cabinet of Ministers of the Kyrgyz Republic together with the technical support team for implementation the Intersectoral plan to overcome legal barriers. Communities will provide </w:t>
            </w:r>
            <w:r w:rsidRPr="004B5476">
              <w:rPr>
                <w:b/>
                <w:bCs/>
                <w:sz w:val="22"/>
                <w:lang w:val="en"/>
              </w:rPr>
              <w:t>support the electronic systems for documenting rights violations</w:t>
            </w:r>
            <w:r w:rsidRPr="004B5476">
              <w:rPr>
                <w:sz w:val="22"/>
                <w:lang w:val="en"/>
              </w:rPr>
              <w:t xml:space="preserve"> such as </w:t>
            </w:r>
            <w:proofErr w:type="spellStart"/>
            <w:r w:rsidRPr="004B5476">
              <w:rPr>
                <w:sz w:val="22"/>
                <w:lang w:val="en"/>
              </w:rPr>
              <w:t>REAct</w:t>
            </w:r>
            <w:proofErr w:type="spellEnd"/>
            <w:r w:rsidRPr="004B5476">
              <w:rPr>
                <w:sz w:val="22"/>
                <w:lang w:val="en"/>
              </w:rPr>
              <w:t xml:space="preserve">, </w:t>
            </w:r>
            <w:proofErr w:type="spellStart"/>
            <w:r w:rsidRPr="004B5476">
              <w:rPr>
                <w:sz w:val="22"/>
                <w:lang w:val="en"/>
              </w:rPr>
              <w:t>OneImpact</w:t>
            </w:r>
            <w:proofErr w:type="spellEnd"/>
            <w:r w:rsidRPr="004B5476">
              <w:rPr>
                <w:sz w:val="22"/>
                <w:lang w:val="en"/>
              </w:rPr>
              <w:t xml:space="preserve">, and pereboi.kg and to conduct regular </w:t>
            </w:r>
            <w:r w:rsidR="0004000E" w:rsidRPr="004B5476">
              <w:rPr>
                <w:sz w:val="22"/>
                <w:lang w:val="en"/>
              </w:rPr>
              <w:t xml:space="preserve">analysis </w:t>
            </w:r>
            <w:r w:rsidRPr="004B5476">
              <w:rPr>
                <w:sz w:val="22"/>
                <w:lang w:val="en"/>
              </w:rPr>
              <w:t xml:space="preserve">of </w:t>
            </w:r>
            <w:r w:rsidR="0004000E" w:rsidRPr="004B5476">
              <w:rPr>
                <w:sz w:val="22"/>
                <w:lang w:val="en"/>
              </w:rPr>
              <w:t xml:space="preserve">health-related </w:t>
            </w:r>
            <w:r w:rsidRPr="004B5476">
              <w:rPr>
                <w:sz w:val="22"/>
                <w:lang w:val="en"/>
              </w:rPr>
              <w:t>procurements. Monitoring results will be presented on a regular basis at high-level platforms, including CCM, meetings of the Cabinet of Ministers, and intersectoral platforms. Communities and decision-makers will receive</w:t>
            </w:r>
            <w:r w:rsidRPr="004B5476">
              <w:rPr>
                <w:b/>
                <w:bCs/>
                <w:sz w:val="22"/>
                <w:lang w:val="en"/>
              </w:rPr>
              <w:t xml:space="preserve"> training to enhance their capacity for data collection, analysis, and use of monitoring results to support programmatic decision-making and protect their interests. </w:t>
            </w:r>
            <w:r w:rsidRPr="004B5476">
              <w:rPr>
                <w:sz w:val="22"/>
                <w:lang w:val="en"/>
              </w:rPr>
              <w:t>In general, the activities related to CLM and expanding community participation will be aimed at using the results of monitoring and research to improve the provision of services related to HIV and TB, creating a favorable environment, and eliminating all forms of stigma and discrimination.</w:t>
            </w:r>
          </w:p>
          <w:p w14:paraId="598BCCAF" w14:textId="77777777" w:rsidR="00A65439" w:rsidRPr="004B5476" w:rsidRDefault="00A65439"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b/>
                <w:sz w:val="22"/>
                <w:lang w:val="en-US"/>
              </w:rPr>
            </w:pPr>
            <w:r w:rsidRPr="004B5476">
              <w:rPr>
                <w:b/>
                <w:sz w:val="22"/>
                <w:lang w:val="en"/>
              </w:rPr>
              <w:t>Research and community advocacy</w:t>
            </w:r>
          </w:p>
          <w:p w14:paraId="63382F43" w14:textId="5C204929"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t xml:space="preserve">The changing landscape of drug use, sex work as well as internet and social media-based drug provision has led to intense </w:t>
            </w:r>
            <w:r w:rsidRPr="004B5476">
              <w:rPr>
                <w:sz w:val="22"/>
                <w:lang w:val="en"/>
              </w:rPr>
              <w:lastRenderedPageBreak/>
              <w:t xml:space="preserve">discussions about the number of </w:t>
            </w:r>
            <w:r w:rsidR="0004000E" w:rsidRPr="004B5476">
              <w:rPr>
                <w:sz w:val="22"/>
                <w:lang w:val="en"/>
              </w:rPr>
              <w:t>KPs</w:t>
            </w:r>
            <w:r w:rsidRPr="004B5476">
              <w:rPr>
                <w:sz w:val="22"/>
                <w:lang w:val="en"/>
              </w:rPr>
              <w:t xml:space="preserve">. The discussion has also highlighted the fact that there is </w:t>
            </w:r>
            <w:r w:rsidR="001A63C0" w:rsidRPr="004B5476">
              <w:rPr>
                <w:sz w:val="22"/>
                <w:lang w:val="en"/>
              </w:rPr>
              <w:t xml:space="preserve">a </w:t>
            </w:r>
            <w:r w:rsidRPr="004B5476">
              <w:rPr>
                <w:sz w:val="22"/>
                <w:lang w:val="en"/>
              </w:rPr>
              <w:t xml:space="preserve">need to gain access to previously inaccessible groups, and to change approaches in achieving the goals of the first 95. In this context, the availability of reliable data will allow evidence-based planning and implementation of interventions for key populations for strengthening efforts for human rights promotion and </w:t>
            </w:r>
            <w:r w:rsidR="00606977" w:rsidRPr="004B5476">
              <w:rPr>
                <w:sz w:val="22"/>
                <w:lang w:val="en"/>
              </w:rPr>
              <w:t>implementation</w:t>
            </w:r>
            <w:r w:rsidRPr="004B5476">
              <w:rPr>
                <w:sz w:val="22"/>
                <w:lang w:val="en"/>
              </w:rPr>
              <w:t>. In 2023, the BBS on sex workers and transgender people will be finalized. As part of the new grant in 2024, there are plans (</w:t>
            </w:r>
            <w:r w:rsidR="00606977" w:rsidRPr="004B5476">
              <w:rPr>
                <w:sz w:val="22"/>
                <w:lang w:val="en"/>
              </w:rPr>
              <w:t>together</w:t>
            </w:r>
            <w:r w:rsidRPr="004B5476">
              <w:rPr>
                <w:sz w:val="22"/>
                <w:lang w:val="en"/>
              </w:rPr>
              <w:t xml:space="preserve"> with the CDC) to </w:t>
            </w:r>
            <w:r w:rsidRPr="004B5476">
              <w:rPr>
                <w:b/>
                <w:bCs/>
                <w:sz w:val="22"/>
                <w:lang w:val="en"/>
              </w:rPr>
              <w:t xml:space="preserve">conduct </w:t>
            </w:r>
            <w:r w:rsidRPr="004B5476">
              <w:rPr>
                <w:sz w:val="22"/>
                <w:lang w:val="en"/>
              </w:rPr>
              <w:t xml:space="preserve">a further </w:t>
            </w:r>
            <w:r w:rsidRPr="004B5476">
              <w:rPr>
                <w:b/>
                <w:bCs/>
                <w:sz w:val="22"/>
                <w:lang w:val="en"/>
              </w:rPr>
              <w:t xml:space="preserve">BBS </w:t>
            </w:r>
            <w:r w:rsidR="00A97117" w:rsidRPr="004B5476">
              <w:rPr>
                <w:b/>
                <w:bCs/>
                <w:sz w:val="22"/>
                <w:lang w:val="en"/>
              </w:rPr>
              <w:t>and PSE</w:t>
            </w:r>
            <w:r w:rsidRPr="004B5476">
              <w:rPr>
                <w:b/>
                <w:bCs/>
                <w:sz w:val="22"/>
                <w:lang w:val="en"/>
              </w:rPr>
              <w:t xml:space="preserve"> among PWUD</w:t>
            </w:r>
            <w:r w:rsidR="00606977" w:rsidRPr="004B5476">
              <w:rPr>
                <w:b/>
                <w:bCs/>
                <w:sz w:val="22"/>
                <w:lang w:val="en"/>
              </w:rPr>
              <w:t xml:space="preserve"> and MSM</w:t>
            </w:r>
            <w:r w:rsidRPr="004B5476">
              <w:rPr>
                <w:sz w:val="22"/>
                <w:lang w:val="en"/>
              </w:rPr>
              <w:t xml:space="preserve">. This is also necessary as the 2022 study did not cover </w:t>
            </w:r>
            <w:r w:rsidR="00A97117" w:rsidRPr="004B5476">
              <w:rPr>
                <w:sz w:val="22"/>
                <w:lang w:val="en"/>
              </w:rPr>
              <w:t>people who use new psychoactive substances</w:t>
            </w:r>
            <w:r w:rsidRPr="004B5476">
              <w:rPr>
                <w:sz w:val="22"/>
                <w:lang w:val="en"/>
              </w:rPr>
              <w:t xml:space="preserve">. </w:t>
            </w:r>
            <w:r w:rsidR="00A97117" w:rsidRPr="004B5476">
              <w:rPr>
                <w:sz w:val="22"/>
                <w:lang w:val="en"/>
              </w:rPr>
              <w:t>Some</w:t>
            </w:r>
            <w:r w:rsidRPr="004B5476">
              <w:rPr>
                <w:sz w:val="22"/>
                <w:lang w:val="en"/>
              </w:rPr>
              <w:t xml:space="preserve"> of the Year 2 and Year 3 grant targets will be revised according to new data that becomes available.</w:t>
            </w:r>
          </w:p>
          <w:p w14:paraId="7D7A076F" w14:textId="16F7C4DE" w:rsidR="00A65439" w:rsidRPr="004B5476" w:rsidRDefault="00A97117"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US"/>
              </w:rPr>
              <w:t>A</w:t>
            </w:r>
            <w:r w:rsidR="00A65439" w:rsidRPr="004B5476">
              <w:rPr>
                <w:b/>
                <w:bCs/>
                <w:sz w:val="22"/>
                <w:lang w:val="en"/>
              </w:rPr>
              <w:t xml:space="preserve"> review of TB case surveillance mechanisms </w:t>
            </w:r>
            <w:r w:rsidRPr="004B5476">
              <w:rPr>
                <w:sz w:val="22"/>
                <w:lang w:val="en"/>
              </w:rPr>
              <w:t>is planned</w:t>
            </w:r>
            <w:r w:rsidRPr="004B5476">
              <w:rPr>
                <w:b/>
                <w:bCs/>
                <w:sz w:val="22"/>
                <w:lang w:val="en"/>
              </w:rPr>
              <w:t xml:space="preserve"> </w:t>
            </w:r>
            <w:r w:rsidR="00A65439" w:rsidRPr="004B5476">
              <w:rPr>
                <w:b/>
                <w:bCs/>
                <w:sz w:val="22"/>
                <w:lang w:val="en"/>
              </w:rPr>
              <w:t xml:space="preserve">to improve the reliability of the collected data, including </w:t>
            </w:r>
            <w:r w:rsidR="00A65439" w:rsidRPr="004B5476">
              <w:rPr>
                <w:sz w:val="22"/>
                <w:lang w:val="en"/>
              </w:rPr>
              <w:t xml:space="preserve">addressing the difference in routine </w:t>
            </w:r>
            <w:r w:rsidR="00027776" w:rsidRPr="004B5476">
              <w:rPr>
                <w:sz w:val="22"/>
                <w:lang w:val="en"/>
              </w:rPr>
              <w:t>NTP</w:t>
            </w:r>
            <w:r w:rsidR="00A65439" w:rsidRPr="004B5476">
              <w:rPr>
                <w:sz w:val="22"/>
                <w:lang w:val="en"/>
              </w:rPr>
              <w:t xml:space="preserve"> data and WHO estimates as well as strengthening the planned TB detection work</w:t>
            </w:r>
            <w:r w:rsidR="00A65439" w:rsidRPr="004B5476">
              <w:rPr>
                <w:b/>
                <w:bCs/>
                <w:sz w:val="22"/>
                <w:lang w:val="en"/>
              </w:rPr>
              <w:t>.</w:t>
            </w:r>
          </w:p>
          <w:p w14:paraId="4D7C3552" w14:textId="0ACFBE16"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t xml:space="preserve">In 2023, TB stigma and discrimination assessments are being conducted for the first time. </w:t>
            </w:r>
            <w:r w:rsidR="008412C4" w:rsidRPr="004B5476">
              <w:rPr>
                <w:sz w:val="22"/>
                <w:lang w:val="en"/>
              </w:rPr>
              <w:t>Nest round of</w:t>
            </w:r>
            <w:r w:rsidRPr="004B5476">
              <w:rPr>
                <w:sz w:val="22"/>
                <w:lang w:val="en"/>
              </w:rPr>
              <w:t xml:space="preserve"> </w:t>
            </w:r>
            <w:r w:rsidRPr="004B5476">
              <w:rPr>
                <w:b/>
                <w:bCs/>
                <w:sz w:val="22"/>
                <w:lang w:val="en"/>
              </w:rPr>
              <w:t>assessment of HIV and TB stigma and discrimination is planned for 2025</w:t>
            </w:r>
            <w:r w:rsidRPr="004B5476">
              <w:rPr>
                <w:sz w:val="22"/>
                <w:lang w:val="en"/>
              </w:rPr>
              <w:t xml:space="preserve"> to determine its impact on program effectiveness and in order to shape activities and reduce barriers.</w:t>
            </w:r>
          </w:p>
          <w:p w14:paraId="31165857" w14:textId="77777777"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t>A regular analysis of legislation and barriers in the national legal framework by civil society will lay the ground for further supporting the removal of legal barriers to HIV and TB services.</w:t>
            </w:r>
          </w:p>
          <w:p w14:paraId="4147DB5F" w14:textId="7CE6F40A"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b/>
                <w:bCs/>
                <w:sz w:val="22"/>
                <w:lang w:val="en"/>
              </w:rPr>
              <w:t xml:space="preserve">Surveys among </w:t>
            </w:r>
            <w:r w:rsidR="00027776" w:rsidRPr="004B5476">
              <w:rPr>
                <w:b/>
                <w:bCs/>
                <w:sz w:val="22"/>
                <w:lang w:val="en"/>
              </w:rPr>
              <w:t>KPs</w:t>
            </w:r>
            <w:r w:rsidRPr="004B5476">
              <w:rPr>
                <w:b/>
                <w:bCs/>
                <w:sz w:val="22"/>
                <w:lang w:val="en"/>
              </w:rPr>
              <w:t xml:space="preserve"> on the quality and accessibility of HIV and TB</w:t>
            </w:r>
            <w:r w:rsidRPr="004B5476">
              <w:rPr>
                <w:sz w:val="22"/>
                <w:lang w:val="en"/>
              </w:rPr>
              <w:t xml:space="preserve"> </w:t>
            </w:r>
            <w:r w:rsidRPr="004B5476">
              <w:rPr>
                <w:b/>
                <w:bCs/>
                <w:sz w:val="22"/>
                <w:lang w:val="en"/>
              </w:rPr>
              <w:t>services</w:t>
            </w:r>
            <w:r w:rsidRPr="004B5476">
              <w:rPr>
                <w:sz w:val="22"/>
                <w:lang w:val="en"/>
              </w:rPr>
              <w:t xml:space="preserve"> will allow to make timely adjustments regarding the implementation of activities and improvement of quality of services.</w:t>
            </w:r>
          </w:p>
          <w:p w14:paraId="7CB79636" w14:textId="6956F385"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
              </w:rPr>
            </w:pPr>
            <w:r w:rsidRPr="004B5476">
              <w:rPr>
                <w:sz w:val="22"/>
                <w:lang w:val="en"/>
              </w:rPr>
              <w:t>The results of the regular analysis of legislation during the C</w:t>
            </w:r>
            <w:r w:rsidR="00027776" w:rsidRPr="004B5476">
              <w:rPr>
                <w:sz w:val="22"/>
                <w:lang w:val="en"/>
              </w:rPr>
              <w:t>L</w:t>
            </w:r>
            <w:r w:rsidRPr="004B5476">
              <w:rPr>
                <w:sz w:val="22"/>
                <w:lang w:val="en"/>
              </w:rPr>
              <w:t xml:space="preserve">M, as well as the shadow reports prepared by the community, will form the basis of mediation and/or advocacy for the elimination of the provisions of the </w:t>
            </w:r>
            <w:r w:rsidR="00027776" w:rsidRPr="004B5476">
              <w:rPr>
                <w:sz w:val="22"/>
                <w:lang w:val="en"/>
              </w:rPr>
              <w:t>bylaws</w:t>
            </w:r>
            <w:r w:rsidRPr="004B5476">
              <w:rPr>
                <w:sz w:val="22"/>
                <w:lang w:val="en"/>
              </w:rPr>
              <w:t xml:space="preserve"> that create barriers to access to HIV and TB services, which will be conducted with the participation of members of the unified monitoring group and technical support teams.</w:t>
            </w:r>
          </w:p>
          <w:p w14:paraId="51247EF9" w14:textId="77777777"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b/>
                <w:bCs/>
                <w:sz w:val="22"/>
                <w:lang w:val="en"/>
              </w:rPr>
              <w:t xml:space="preserve">Research to identify needs and barriers that also take into account gender and the impact of violence as well as  prevention measures to reduce violence, </w:t>
            </w:r>
            <w:r w:rsidRPr="004B5476">
              <w:rPr>
                <w:sz w:val="22"/>
                <w:lang w:val="en"/>
              </w:rPr>
              <w:t xml:space="preserve">the latter being </w:t>
            </w:r>
            <w:r w:rsidRPr="004B5476">
              <w:rPr>
                <w:b/>
                <w:bCs/>
                <w:sz w:val="22"/>
                <w:lang w:val="en"/>
              </w:rPr>
              <w:t>conducted</w:t>
            </w:r>
            <w:r w:rsidRPr="004B5476">
              <w:rPr>
                <w:sz w:val="22"/>
                <w:lang w:val="en"/>
              </w:rPr>
              <w:t xml:space="preserve"> </w:t>
            </w:r>
            <w:r w:rsidRPr="004B5476">
              <w:rPr>
                <w:b/>
                <w:bCs/>
                <w:sz w:val="22"/>
                <w:lang w:val="en"/>
              </w:rPr>
              <w:t>by</w:t>
            </w:r>
            <w:r w:rsidRPr="004B5476">
              <w:rPr>
                <w:sz w:val="22"/>
                <w:lang w:val="en"/>
              </w:rPr>
              <w:t xml:space="preserve"> the </w:t>
            </w:r>
            <w:r w:rsidRPr="004B5476">
              <w:rPr>
                <w:b/>
                <w:bCs/>
                <w:sz w:val="22"/>
                <w:lang w:val="en"/>
              </w:rPr>
              <w:t>communities,</w:t>
            </w:r>
            <w:r w:rsidRPr="004B5476">
              <w:rPr>
                <w:sz w:val="22"/>
                <w:lang w:val="en"/>
              </w:rPr>
              <w:t xml:space="preserve"> will allow to formulate arguments for advocacy. It will also allow to adapt HIV and TB activities for the most vulnerable groups, primarily for the following key groups: women/girls, SWs, transgender people and MSM.</w:t>
            </w:r>
          </w:p>
          <w:p w14:paraId="0028092D" w14:textId="657DE77C"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t xml:space="preserve">Data collected by AIDS and TB services are more and more reporting an increase in HIV and TB among migrants. Yet, reliable data is not yet sufficient </w:t>
            </w:r>
            <w:r w:rsidR="007A2DF4" w:rsidRPr="004B5476">
              <w:rPr>
                <w:sz w:val="22"/>
                <w:lang w:val="en"/>
              </w:rPr>
              <w:t>for</w:t>
            </w:r>
            <w:r w:rsidRPr="004B5476">
              <w:rPr>
                <w:sz w:val="22"/>
                <w:lang w:val="en"/>
              </w:rPr>
              <w:t xml:space="preserve"> identifying them as a separate key group. A study of the situation and data collection </w:t>
            </w:r>
            <w:r w:rsidRPr="004B5476">
              <w:rPr>
                <w:b/>
                <w:bCs/>
                <w:sz w:val="22"/>
                <w:lang w:val="en"/>
              </w:rPr>
              <w:t>to assess the risk of HIV and TB infection among migrants</w:t>
            </w:r>
            <w:r w:rsidRPr="004B5476">
              <w:rPr>
                <w:sz w:val="22"/>
                <w:lang w:val="en"/>
              </w:rPr>
              <w:t xml:space="preserve"> is ongoing. In 2023</w:t>
            </w:r>
            <w:r w:rsidR="007A2DF4" w:rsidRPr="004B5476">
              <w:rPr>
                <w:sz w:val="22"/>
                <w:lang w:val="en"/>
              </w:rPr>
              <w:t>,</w:t>
            </w:r>
            <w:r w:rsidRPr="004B5476">
              <w:rPr>
                <w:sz w:val="22"/>
                <w:lang w:val="en"/>
              </w:rPr>
              <w:t xml:space="preserve"> the BBS among </w:t>
            </w:r>
            <w:r w:rsidR="007A2DF4" w:rsidRPr="004B5476">
              <w:rPr>
                <w:sz w:val="22"/>
                <w:lang w:val="en"/>
              </w:rPr>
              <w:t>labor</w:t>
            </w:r>
            <w:r w:rsidRPr="004B5476">
              <w:rPr>
                <w:sz w:val="22"/>
                <w:lang w:val="en"/>
              </w:rPr>
              <w:t xml:space="preserve"> migrants </w:t>
            </w:r>
            <w:r w:rsidR="007A2DF4" w:rsidRPr="004B5476">
              <w:rPr>
                <w:sz w:val="22"/>
                <w:lang w:val="en"/>
              </w:rPr>
              <w:t xml:space="preserve">(supported by GIZ) and “Situational and Economic Analysis on Migration and HIV/TB Health Services in Kyrgyzstan” (by Regional Expert Group on Migration and Health (REG) in EECA) </w:t>
            </w:r>
            <w:r w:rsidRPr="004B5476">
              <w:rPr>
                <w:sz w:val="22"/>
                <w:lang w:val="en"/>
              </w:rPr>
              <w:t>will be completed.</w:t>
            </w:r>
            <w:r w:rsidRPr="004B5476" w:rsidDel="00323DDD">
              <w:rPr>
                <w:sz w:val="22"/>
                <w:lang w:val="en"/>
              </w:rPr>
              <w:t xml:space="preserve"> </w:t>
            </w:r>
            <w:r w:rsidRPr="004B5476">
              <w:rPr>
                <w:sz w:val="22"/>
                <w:lang w:val="en"/>
              </w:rPr>
              <w:t>Further</w:t>
            </w:r>
            <w:r w:rsidRPr="004B5476" w:rsidDel="00323DDD">
              <w:rPr>
                <w:sz w:val="22"/>
                <w:lang w:val="en"/>
              </w:rPr>
              <w:t xml:space="preserve"> </w:t>
            </w:r>
            <w:r w:rsidRPr="004B5476">
              <w:rPr>
                <w:sz w:val="22"/>
                <w:lang w:val="en"/>
              </w:rPr>
              <w:t>studies on HIV and TB incidence among labor migrants are planned.</w:t>
            </w:r>
          </w:p>
          <w:p w14:paraId="1AF4BA59" w14:textId="68B92E32"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US"/>
              </w:rPr>
            </w:pPr>
            <w:r w:rsidRPr="004B5476">
              <w:rPr>
                <w:sz w:val="22"/>
                <w:lang w:val="en"/>
              </w:rPr>
              <w:lastRenderedPageBreak/>
              <w:t>At the end of 2022, the state authorities initiated a bill to amend the law "On Non-profit Organizations"</w:t>
            </w:r>
            <w:r w:rsidRPr="004B5476">
              <w:rPr>
                <w:rStyle w:val="FootnoteReference"/>
                <w:sz w:val="22"/>
                <w:lang w:val="ru-RU"/>
              </w:rPr>
              <w:footnoteReference w:id="20"/>
            </w:r>
            <w:r w:rsidRPr="004B5476">
              <w:rPr>
                <w:sz w:val="22"/>
                <w:lang w:val="en"/>
              </w:rPr>
              <w:t xml:space="preserve">. In consequence, the further functioning of public organizations to provide HIV and TB services is at risk. In 2023, some activities have already been planned to provide technical assistance to these organizations </w:t>
            </w:r>
            <w:r w:rsidR="00A06EBE" w:rsidRPr="004B5476">
              <w:rPr>
                <w:sz w:val="22"/>
                <w:lang w:val="en"/>
              </w:rPr>
              <w:t>on</w:t>
            </w:r>
            <w:r w:rsidRPr="004B5476">
              <w:rPr>
                <w:sz w:val="22"/>
                <w:lang w:val="en"/>
              </w:rPr>
              <w:t xml:space="preserve"> risk assessment, organizational development, and enhancing their capacity in administrative management. If changes to the law are adopted, an </w:t>
            </w:r>
            <w:r w:rsidRPr="004B5476">
              <w:rPr>
                <w:b/>
                <w:bCs/>
                <w:sz w:val="22"/>
                <w:lang w:val="en"/>
              </w:rPr>
              <w:t xml:space="preserve">assessment will be conducted on the prospects for obtaining international financial support for the Kyrgyz Republic in areas of health protection and the impact on the availability of HIV and TB services for </w:t>
            </w:r>
            <w:r w:rsidR="00A06EBE" w:rsidRPr="004B5476">
              <w:rPr>
                <w:b/>
                <w:bCs/>
                <w:sz w:val="22"/>
                <w:lang w:val="en"/>
              </w:rPr>
              <w:t>KPs</w:t>
            </w:r>
            <w:r w:rsidRPr="004B5476">
              <w:rPr>
                <w:b/>
                <w:bCs/>
                <w:sz w:val="22"/>
                <w:lang w:val="en"/>
              </w:rPr>
              <w:t xml:space="preserve"> due to the closure of NGOs.</w:t>
            </w:r>
            <w:r w:rsidRPr="004B5476">
              <w:rPr>
                <w:sz w:val="22"/>
                <w:lang w:val="en"/>
              </w:rPr>
              <w:t xml:space="preserve"> The impact of the adoption of this law on corruption </w:t>
            </w:r>
            <w:r w:rsidR="002B3FFD" w:rsidRPr="004B5476">
              <w:rPr>
                <w:sz w:val="22"/>
                <w:lang w:val="en"/>
              </w:rPr>
              <w:t xml:space="preserve">level </w:t>
            </w:r>
            <w:r w:rsidRPr="004B5476">
              <w:rPr>
                <w:sz w:val="22"/>
                <w:lang w:val="en"/>
              </w:rPr>
              <w:t xml:space="preserve">and the international image of the country will also be assessed, taking into account the experience of similar consequences of other countries in the region. </w:t>
            </w:r>
            <w:r w:rsidRPr="004B5476">
              <w:rPr>
                <w:b/>
                <w:bCs/>
                <w:sz w:val="22"/>
                <w:lang w:val="en"/>
              </w:rPr>
              <w:t xml:space="preserve">Technical assistance to </w:t>
            </w:r>
            <w:r w:rsidR="002B3FFD" w:rsidRPr="004B5476">
              <w:rPr>
                <w:b/>
                <w:bCs/>
                <w:sz w:val="22"/>
                <w:lang w:val="en"/>
              </w:rPr>
              <w:t>NGOs</w:t>
            </w:r>
            <w:r w:rsidRPr="004B5476">
              <w:rPr>
                <w:b/>
                <w:bCs/>
                <w:sz w:val="22"/>
                <w:lang w:val="en"/>
              </w:rPr>
              <w:t xml:space="preserve"> in organizational development will be continued so that they can adapt their activities to the new regulatory framework.</w:t>
            </w:r>
          </w:p>
          <w:p w14:paraId="399DA840" w14:textId="0CEC591E"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lang w:val="en-US"/>
              </w:rPr>
            </w:pPr>
            <w:r w:rsidRPr="004B5476">
              <w:rPr>
                <w:sz w:val="22"/>
                <w:lang w:val="en"/>
              </w:rPr>
              <w:t xml:space="preserve">There are several civil society/community networks operating in Kyrgyzstan that bring together communities and organizations from across the country. Coordination and implementation of activities are carried out through networks in following fields: CLM, advocacy, national </w:t>
            </w:r>
            <w:r w:rsidR="0045578D" w:rsidRPr="004B5476">
              <w:rPr>
                <w:sz w:val="22"/>
                <w:lang w:val="en"/>
              </w:rPr>
              <w:t>efforts</w:t>
            </w:r>
            <w:r w:rsidRPr="004B5476">
              <w:rPr>
                <w:sz w:val="22"/>
                <w:lang w:val="en"/>
              </w:rPr>
              <w:t xml:space="preserve"> to overcome legal barriers, elimination of stigma and discrimination and capacity </w:t>
            </w:r>
            <w:r w:rsidR="0045578D" w:rsidRPr="004B5476">
              <w:rPr>
                <w:sz w:val="22"/>
                <w:lang w:val="en"/>
              </w:rPr>
              <w:t>development</w:t>
            </w:r>
            <w:r w:rsidRPr="004B5476">
              <w:rPr>
                <w:sz w:val="22"/>
                <w:lang w:val="en"/>
              </w:rPr>
              <w:t xml:space="preserve"> for communities. </w:t>
            </w:r>
            <w:r w:rsidR="006974B1" w:rsidRPr="004B5476">
              <w:rPr>
                <w:b/>
                <w:bCs/>
                <w:sz w:val="22"/>
                <w:lang w:val="en"/>
              </w:rPr>
              <w:t>T</w:t>
            </w:r>
            <w:r w:rsidRPr="004B5476">
              <w:rPr>
                <w:b/>
                <w:bCs/>
                <w:sz w:val="22"/>
                <w:lang w:val="en"/>
              </w:rPr>
              <w:t>wo networks</w:t>
            </w:r>
            <w:r w:rsidR="006974B1" w:rsidRPr="004B5476">
              <w:rPr>
                <w:b/>
                <w:bCs/>
                <w:sz w:val="22"/>
                <w:lang w:val="en"/>
              </w:rPr>
              <w:t xml:space="preserve"> will be supported</w:t>
            </w:r>
            <w:r w:rsidRPr="004B5476">
              <w:rPr>
                <w:sz w:val="22"/>
                <w:lang w:val="en"/>
              </w:rPr>
              <w:t xml:space="preserve">. One will </w:t>
            </w:r>
            <w:r w:rsidRPr="004B5476">
              <w:rPr>
                <w:b/>
                <w:bCs/>
                <w:sz w:val="22"/>
                <w:lang w:val="en"/>
              </w:rPr>
              <w:t>focus on</w:t>
            </w:r>
            <w:r w:rsidRPr="004B5476">
              <w:rPr>
                <w:sz w:val="22"/>
                <w:lang w:val="en"/>
              </w:rPr>
              <w:t xml:space="preserve"> </w:t>
            </w:r>
            <w:r w:rsidRPr="004B5476">
              <w:rPr>
                <w:b/>
                <w:bCs/>
                <w:sz w:val="22"/>
                <w:lang w:val="en"/>
              </w:rPr>
              <w:t xml:space="preserve">gender and rights of </w:t>
            </w:r>
            <w:r w:rsidR="006974B1" w:rsidRPr="004B5476">
              <w:rPr>
                <w:b/>
                <w:bCs/>
                <w:sz w:val="22"/>
                <w:lang w:val="en"/>
              </w:rPr>
              <w:t>KPs</w:t>
            </w:r>
            <w:r w:rsidRPr="004B5476">
              <w:rPr>
                <w:sz w:val="22"/>
                <w:lang w:val="en"/>
              </w:rPr>
              <w:t>, while the priority of the second will be on</w:t>
            </w:r>
            <w:r w:rsidRPr="004B5476">
              <w:rPr>
                <w:b/>
                <w:bCs/>
                <w:sz w:val="22"/>
                <w:lang w:val="en"/>
              </w:rPr>
              <w:t xml:space="preserve"> systemic changes in policies, expanding access to services, </w:t>
            </w:r>
            <w:r w:rsidRPr="004B5476">
              <w:rPr>
                <w:sz w:val="22"/>
                <w:lang w:val="en"/>
              </w:rPr>
              <w:t>and</w:t>
            </w:r>
            <w:r w:rsidRPr="004B5476">
              <w:rPr>
                <w:b/>
                <w:bCs/>
                <w:sz w:val="22"/>
                <w:lang w:val="en"/>
              </w:rPr>
              <w:t xml:space="preserve"> creating a conducive environment for program implementation</w:t>
            </w:r>
            <w:r w:rsidRPr="004B5476">
              <w:rPr>
                <w:sz w:val="22"/>
                <w:lang w:val="en"/>
              </w:rPr>
              <w:t>.</w:t>
            </w:r>
          </w:p>
          <w:p w14:paraId="669AB194" w14:textId="77777777" w:rsidR="00A65439"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lang w:val="en-US"/>
              </w:rPr>
            </w:pPr>
            <w:r w:rsidRPr="004B5476">
              <w:rPr>
                <w:b/>
                <w:sz w:val="22"/>
                <w:lang w:val="en"/>
              </w:rPr>
              <w:t>Community involvement, communication and coordination</w:t>
            </w:r>
          </w:p>
          <w:p w14:paraId="579B6D41" w14:textId="358D3E30" w:rsidR="00A65439" w:rsidRPr="004B5476" w:rsidRDefault="00A65439" w:rsidP="0026062D">
            <w:pPr>
              <w:widowControl w:val="0"/>
              <w:jc w:val="both"/>
              <w:cnfStyle w:val="000000100000" w:firstRow="0" w:lastRow="0" w:firstColumn="0" w:lastColumn="0" w:oddVBand="0" w:evenVBand="0" w:oddHBand="1" w:evenHBand="0" w:firstRowFirstColumn="0" w:firstRowLastColumn="0" w:lastRowFirstColumn="0" w:lastRowLastColumn="0"/>
            </w:pPr>
            <w:r w:rsidRPr="004B5476">
              <w:rPr>
                <w:lang w:val="en"/>
              </w:rPr>
              <w:t>There will be</w:t>
            </w:r>
            <w:r w:rsidRPr="004B5476">
              <w:rPr>
                <w:b/>
                <w:bCs/>
                <w:lang w:val="en"/>
              </w:rPr>
              <w:t xml:space="preserve"> capacity </w:t>
            </w:r>
            <w:r w:rsidR="006F51A7" w:rsidRPr="004B5476">
              <w:rPr>
                <w:b/>
                <w:bCs/>
                <w:lang w:val="en"/>
              </w:rPr>
              <w:t>development</w:t>
            </w:r>
            <w:r w:rsidRPr="004B5476">
              <w:rPr>
                <w:b/>
                <w:bCs/>
                <w:lang w:val="en"/>
              </w:rPr>
              <w:t xml:space="preserve"> for communities </w:t>
            </w:r>
            <w:r w:rsidRPr="004B5476">
              <w:rPr>
                <w:lang w:val="en"/>
              </w:rPr>
              <w:t>as well as civil society organizations in monitoring, research, shadow reports and subsequent advocacy, including leadership strengthening, and budget advocacy.</w:t>
            </w:r>
            <w:r w:rsidRPr="004B5476">
              <w:t xml:space="preserve"> For this, the M&amp;E tools developed under this grant and described in Module 12 will be used.</w:t>
            </w:r>
          </w:p>
          <w:p w14:paraId="00BB4570" w14:textId="77777777" w:rsidR="00A65439" w:rsidRPr="004B5476" w:rsidRDefault="00A65439" w:rsidP="0026062D">
            <w:pPr>
              <w:widowControl w:val="0"/>
              <w:jc w:val="both"/>
              <w:cnfStyle w:val="000000100000" w:firstRow="0" w:lastRow="0" w:firstColumn="0" w:lastColumn="0" w:oddVBand="0" w:evenVBand="0" w:oddHBand="1" w:evenHBand="0" w:firstRowFirstColumn="0" w:firstRowLastColumn="0" w:lastRowFirstColumn="0" w:lastRowLastColumn="0"/>
            </w:pPr>
            <w:r w:rsidRPr="004B5476">
              <w:rPr>
                <w:b/>
                <w:bCs/>
                <w:lang w:val="en"/>
              </w:rPr>
              <w:t>The development of national community plans to expand and integrate CLM tools into the mechanisms of HIV and TB services</w:t>
            </w:r>
            <w:r w:rsidRPr="004B5476">
              <w:rPr>
                <w:lang w:val="en"/>
              </w:rPr>
              <w:t xml:space="preserve"> will allow structuring of CLM activities, eliminating duplication and building effective, constructive communication with government and international partners to allow adaption of measures.</w:t>
            </w:r>
          </w:p>
          <w:p w14:paraId="2B637F9A" w14:textId="77777777" w:rsidR="00A65439" w:rsidRPr="004B5476" w:rsidRDefault="00A65439" w:rsidP="0026062D">
            <w:pPr>
              <w:widowControl w:val="0"/>
              <w:jc w:val="both"/>
              <w:cnfStyle w:val="000000100000" w:firstRow="0" w:lastRow="0" w:firstColumn="0" w:lastColumn="0" w:oddVBand="0" w:evenVBand="0" w:oddHBand="1" w:evenHBand="0" w:firstRowFirstColumn="0" w:firstRowLastColumn="0" w:lastRowFirstColumn="0" w:lastRowLastColumn="0"/>
            </w:pPr>
            <w:r w:rsidRPr="004B5476">
              <w:rPr>
                <w:b/>
                <w:bCs/>
                <w:lang w:val="en"/>
              </w:rPr>
              <w:t>Community participation in country decision-making mechanisms</w:t>
            </w:r>
            <w:r w:rsidRPr="004B5476">
              <w:rPr>
                <w:lang w:val="en"/>
              </w:rPr>
              <w:t xml:space="preserve"> will be supported, including in CCM, boards of trustees at medical institutions, and regional health care coordinating councils.</w:t>
            </w:r>
          </w:p>
          <w:p w14:paraId="2DBB8EDE" w14:textId="0B84B111" w:rsidR="00FD52B3" w:rsidRPr="004B5476" w:rsidRDefault="00A65439" w:rsidP="0026062D">
            <w:pPr>
              <w:pStyle w:val="BodyText"/>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lang w:val="en"/>
              </w:rPr>
            </w:pPr>
            <w:r w:rsidRPr="004B5476">
              <w:rPr>
                <w:sz w:val="22"/>
                <w:lang w:val="en"/>
              </w:rPr>
              <w:t xml:space="preserve">Advocacy efforts will be undertaken to support the </w:t>
            </w:r>
            <w:r w:rsidRPr="004B5476">
              <w:rPr>
                <w:b/>
                <w:bCs/>
                <w:sz w:val="22"/>
                <w:lang w:val="en"/>
              </w:rPr>
              <w:t>mobilization of communities, diasporas of migrants in host countries</w:t>
            </w:r>
            <w:r w:rsidRPr="004B5476">
              <w:rPr>
                <w:sz w:val="22"/>
                <w:lang w:val="en"/>
              </w:rPr>
              <w:t xml:space="preserve">  and expand initiatives by the state supporting health measures for migrants at government level.</w:t>
            </w:r>
          </w:p>
        </w:tc>
      </w:tr>
      <w:tr w:rsidR="00FD52B3" w14:paraId="1DB1E46E" w14:textId="77777777" w:rsidTr="00294243">
        <w:tc>
          <w:tcPr>
            <w:tcW w:w="2547" w:type="dxa"/>
          </w:tcPr>
          <w:p w14:paraId="25787091" w14:textId="77777777" w:rsidR="00FD52B3" w:rsidRDefault="00FD52B3" w:rsidP="0026062D">
            <w:pPr>
              <w:pStyle w:val="BodyText"/>
              <w:widowControl w:val="0"/>
              <w:spacing w:line="240" w:lineRule="auto"/>
              <w:cnfStyle w:val="001000000000" w:firstRow="0" w:lastRow="0" w:firstColumn="1" w:lastColumn="0" w:oddVBand="0" w:evenVBand="0" w:oddHBand="0" w:evenHBand="0" w:firstRowFirstColumn="0" w:firstRowLastColumn="0" w:lastRowFirstColumn="0" w:lastRowLastColumn="0"/>
            </w:pPr>
            <w:r>
              <w:lastRenderedPageBreak/>
              <w:t>Population, geographies and/or barriers addressed</w:t>
            </w:r>
          </w:p>
        </w:tc>
        <w:tc>
          <w:tcPr>
            <w:tcW w:w="12616" w:type="dxa"/>
          </w:tcPr>
          <w:p w14:paraId="3918FDE0" w14:textId="1BA9BF90" w:rsidR="00A65439" w:rsidRPr="004B5476" w:rsidRDefault="004B5476" w:rsidP="0026062D">
            <w:pPr>
              <w:pStyle w:val="BodyText"/>
              <w:widowControl w:val="0"/>
              <w:spacing w:line="240" w:lineRule="auto"/>
              <w:rPr>
                <w:sz w:val="22"/>
                <w:lang w:val="en-US"/>
              </w:rPr>
            </w:pPr>
            <w:r>
              <w:rPr>
                <w:sz w:val="22"/>
                <w:lang w:val="en"/>
              </w:rPr>
              <w:t>PL</w:t>
            </w:r>
            <w:r w:rsidR="00A65439" w:rsidRPr="004B5476">
              <w:rPr>
                <w:sz w:val="22"/>
                <w:lang w:val="en"/>
              </w:rPr>
              <w:t>HIV, People with TB, exposed people, key groups (MSM, TG, SW, PWUD, prisoners)</w:t>
            </w:r>
          </w:p>
          <w:p w14:paraId="0ED04455" w14:textId="77777777" w:rsidR="00A65439" w:rsidRPr="004B5476" w:rsidRDefault="00A65439" w:rsidP="0026062D">
            <w:pPr>
              <w:pStyle w:val="BodyText"/>
              <w:widowControl w:val="0"/>
              <w:spacing w:line="240" w:lineRule="auto"/>
              <w:rPr>
                <w:sz w:val="22"/>
                <w:lang w:val="en-US"/>
              </w:rPr>
            </w:pPr>
            <w:r w:rsidRPr="004B5476">
              <w:rPr>
                <w:sz w:val="22"/>
                <w:lang w:val="en"/>
              </w:rPr>
              <w:t>Kyrgyz Republic</w:t>
            </w:r>
          </w:p>
          <w:p w14:paraId="66DA2F11" w14:textId="1BADAFE1" w:rsidR="00A65439" w:rsidRPr="004B5476" w:rsidRDefault="00A65439" w:rsidP="0026062D">
            <w:pPr>
              <w:pStyle w:val="BodyText"/>
              <w:widowControl w:val="0"/>
              <w:spacing w:line="240" w:lineRule="auto"/>
              <w:jc w:val="both"/>
              <w:rPr>
                <w:sz w:val="22"/>
                <w:lang w:val="en-US"/>
              </w:rPr>
            </w:pPr>
            <w:r w:rsidRPr="004B5476">
              <w:rPr>
                <w:sz w:val="22"/>
                <w:lang w:val="en"/>
              </w:rPr>
              <w:t xml:space="preserve">Despite improvements in healthcare legislation, a number laws and regulations continue to contain norms that create barriers in the accessibility of HIV and TB services, or that are insufficiently adjusted to new trends according to which expansion of </w:t>
            </w:r>
            <w:r w:rsidRPr="004B5476">
              <w:rPr>
                <w:sz w:val="22"/>
                <w:lang w:val="en"/>
              </w:rPr>
              <w:lastRenderedPageBreak/>
              <w:t xml:space="preserve">accessibility of services would be necessary. For example, </w:t>
            </w:r>
            <w:r w:rsidR="00502EA5">
              <w:rPr>
                <w:sz w:val="22"/>
                <w:lang w:val="en"/>
              </w:rPr>
              <w:t>KPs</w:t>
            </w:r>
            <w:r w:rsidRPr="004B5476">
              <w:rPr>
                <w:sz w:val="22"/>
                <w:lang w:val="en"/>
              </w:rPr>
              <w:t xml:space="preserve">, contact people of TB patients do not have </w:t>
            </w:r>
            <w:r w:rsidR="00502EA5">
              <w:rPr>
                <w:sz w:val="22"/>
                <w:lang w:val="en"/>
              </w:rPr>
              <w:t>an option</w:t>
            </w:r>
            <w:r w:rsidRPr="004B5476">
              <w:rPr>
                <w:sz w:val="22"/>
                <w:lang w:val="en"/>
              </w:rPr>
              <w:t xml:space="preserve"> </w:t>
            </w:r>
            <w:r w:rsidR="00502EA5">
              <w:rPr>
                <w:sz w:val="22"/>
                <w:lang w:val="en"/>
              </w:rPr>
              <w:t xml:space="preserve">for TB </w:t>
            </w:r>
            <w:r w:rsidRPr="004B5476">
              <w:rPr>
                <w:sz w:val="22"/>
                <w:lang w:val="en"/>
              </w:rPr>
              <w:t>screening</w:t>
            </w:r>
            <w:r w:rsidR="00502EA5">
              <w:rPr>
                <w:sz w:val="22"/>
                <w:lang w:val="en"/>
              </w:rPr>
              <w:t xml:space="preserve"> for free</w:t>
            </w:r>
            <w:r w:rsidRPr="004B5476">
              <w:rPr>
                <w:sz w:val="22"/>
                <w:lang w:val="en"/>
              </w:rPr>
              <w:t xml:space="preserve">; PWID </w:t>
            </w:r>
            <w:r w:rsidR="00502EA5">
              <w:rPr>
                <w:sz w:val="22"/>
                <w:lang w:val="en"/>
              </w:rPr>
              <w:t>on</w:t>
            </w:r>
            <w:r w:rsidRPr="004B5476">
              <w:rPr>
                <w:sz w:val="22"/>
                <w:lang w:val="en"/>
              </w:rPr>
              <w:t xml:space="preserve"> </w:t>
            </w:r>
            <w:r w:rsidR="00502EA5">
              <w:rPr>
                <w:sz w:val="22"/>
                <w:lang w:val="en"/>
              </w:rPr>
              <w:t>OST</w:t>
            </w:r>
            <w:r w:rsidRPr="004B5476">
              <w:rPr>
                <w:sz w:val="22"/>
                <w:lang w:val="en"/>
              </w:rPr>
              <w:t xml:space="preserve"> </w:t>
            </w:r>
            <w:r w:rsidR="00502EA5">
              <w:rPr>
                <w:sz w:val="22"/>
                <w:lang w:val="en"/>
              </w:rPr>
              <w:t xml:space="preserve">are </w:t>
            </w:r>
            <w:r w:rsidRPr="004B5476">
              <w:rPr>
                <w:sz w:val="22"/>
                <w:lang w:val="en"/>
              </w:rPr>
              <w:t xml:space="preserve">requested registration </w:t>
            </w:r>
            <w:r w:rsidR="000618B3">
              <w:rPr>
                <w:sz w:val="22"/>
                <w:lang w:val="en"/>
              </w:rPr>
              <w:t xml:space="preserve">as drug user </w:t>
            </w:r>
            <w:r w:rsidRPr="004B5476">
              <w:rPr>
                <w:sz w:val="22"/>
                <w:lang w:val="en"/>
              </w:rPr>
              <w:t>at the medical facilities</w:t>
            </w:r>
            <w:r w:rsidRPr="004B5476">
              <w:rPr>
                <w:rStyle w:val="FootnoteReference"/>
                <w:sz w:val="22"/>
                <w:lang w:val="ru-RU"/>
              </w:rPr>
              <w:footnoteReference w:id="21"/>
            </w:r>
            <w:r w:rsidRPr="004B5476">
              <w:rPr>
                <w:sz w:val="22"/>
                <w:lang w:val="en"/>
              </w:rPr>
              <w:t>etc.</w:t>
            </w:r>
          </w:p>
          <w:p w14:paraId="5B4C963C" w14:textId="650944CC" w:rsidR="00A65439" w:rsidRPr="004B5476" w:rsidRDefault="00A65439" w:rsidP="0026062D">
            <w:pPr>
              <w:pStyle w:val="BodyText"/>
              <w:widowControl w:val="0"/>
              <w:spacing w:line="240" w:lineRule="auto"/>
              <w:jc w:val="both"/>
              <w:rPr>
                <w:sz w:val="22"/>
                <w:lang w:val="en-US"/>
              </w:rPr>
            </w:pPr>
            <w:r w:rsidRPr="004B5476">
              <w:rPr>
                <w:sz w:val="22"/>
                <w:lang w:val="en"/>
              </w:rPr>
              <w:t xml:space="preserve">The use of the community monitoring tool to improve the quality of services, to increase the efficiency of resource use, remains limited. The results of community monitoring activities are not adequately used to analyze and influence the change of the situation in the relevant areas. </w:t>
            </w:r>
            <w:r w:rsidR="000618B3">
              <w:rPr>
                <w:sz w:val="22"/>
                <w:lang w:val="en"/>
              </w:rPr>
              <w:t>Among reasons are</w:t>
            </w:r>
            <w:r w:rsidRPr="004B5476">
              <w:rPr>
                <w:sz w:val="22"/>
                <w:lang w:val="en"/>
              </w:rPr>
              <w:t xml:space="preserve"> inadequate understanding of the tool, its capabilities, and a lack of motivation to conduct monitoring.</w:t>
            </w:r>
          </w:p>
          <w:p w14:paraId="56CD5139" w14:textId="242C6DB1" w:rsidR="00FD52B3" w:rsidRPr="004B5476" w:rsidRDefault="00A65439" w:rsidP="0026062D">
            <w:pPr>
              <w:pStyle w:val="BodyText"/>
              <w:widowControl w:val="0"/>
              <w:spacing w:line="240" w:lineRule="auto"/>
              <w:jc w:val="both"/>
              <w:rPr>
                <w:sz w:val="22"/>
              </w:rPr>
            </w:pPr>
            <w:r w:rsidRPr="004B5476">
              <w:rPr>
                <w:sz w:val="22"/>
                <w:lang w:val="en"/>
              </w:rPr>
              <w:t>At the same time, the changing political situation in the country and the region, as well as legislative initiatives aimed at narrowing the space for community participation in national processes, may affect the ability of the civil sector to provide services related to HIV and TB, and therefore impact the effectiveness of prevention, treatment, and care programs.</w:t>
            </w:r>
          </w:p>
        </w:tc>
      </w:tr>
      <w:tr w:rsidR="00FD52B3" w14:paraId="5BDEA66E"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9518F1" w14:textId="77777777" w:rsidR="00FD52B3" w:rsidRDefault="00FD52B3" w:rsidP="0026062D">
            <w:pPr>
              <w:pStyle w:val="BodyText"/>
              <w:widowControl w:val="0"/>
              <w:spacing w:line="240" w:lineRule="auto"/>
            </w:pPr>
            <w:r>
              <w:lastRenderedPageBreak/>
              <w:t>Amount requested</w:t>
            </w:r>
          </w:p>
        </w:tc>
        <w:tc>
          <w:tcPr>
            <w:tcW w:w="12616" w:type="dxa"/>
          </w:tcPr>
          <w:p w14:paraId="0EEAAC3F" w14:textId="11DAB754" w:rsidR="00FD52B3" w:rsidRPr="00765142" w:rsidRDefault="00765142"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lang w:val="en-US"/>
              </w:rPr>
            </w:pPr>
            <w:r>
              <w:rPr>
                <w:sz w:val="22"/>
              </w:rPr>
              <w:t>$498,096</w:t>
            </w:r>
          </w:p>
        </w:tc>
      </w:tr>
      <w:tr w:rsidR="00FD52B3" w14:paraId="229B65D8"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07A3B6FC" w14:textId="77777777" w:rsidR="00FD52B3" w:rsidRDefault="00FD52B3" w:rsidP="0026062D">
            <w:pPr>
              <w:pStyle w:val="BodyText"/>
              <w:widowControl w:val="0"/>
              <w:spacing w:line="240" w:lineRule="auto"/>
            </w:pPr>
            <w:r>
              <w:t>Expected outcome</w:t>
            </w:r>
          </w:p>
        </w:tc>
        <w:tc>
          <w:tcPr>
            <w:tcW w:w="12616" w:type="dxa"/>
          </w:tcPr>
          <w:p w14:paraId="2EAFA00A" w14:textId="55497FF3" w:rsidR="00FD52B3" w:rsidRPr="00765142" w:rsidRDefault="00765142"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sidRPr="00765142">
              <w:rPr>
                <w:sz w:val="22"/>
                <w:lang w:val="en-US"/>
              </w:rPr>
              <w:t>Meaningful community involvement in the management of HIV and TB programs</w:t>
            </w:r>
          </w:p>
        </w:tc>
      </w:tr>
    </w:tbl>
    <w:p w14:paraId="1BEAB53F" w14:textId="77777777" w:rsidR="00FD52B3" w:rsidRDefault="00FD52B3"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51BFD5F0"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048E72" w14:textId="1EFEAA02" w:rsidR="00662E6E" w:rsidRDefault="00662E6E" w:rsidP="0026062D">
            <w:pPr>
              <w:pStyle w:val="BodyText"/>
              <w:widowControl w:val="0"/>
              <w:spacing w:line="240" w:lineRule="auto"/>
            </w:pPr>
            <w:r>
              <w:t>Module #3</w:t>
            </w:r>
          </w:p>
        </w:tc>
        <w:tc>
          <w:tcPr>
            <w:tcW w:w="12616" w:type="dxa"/>
          </w:tcPr>
          <w:p w14:paraId="41D98B3F" w14:textId="46806356" w:rsidR="00662E6E" w:rsidRPr="00771958" w:rsidRDefault="00B7132A"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Program Management</w:t>
            </w:r>
          </w:p>
        </w:tc>
      </w:tr>
      <w:tr w:rsidR="00662E6E" w14:paraId="5A6A8D48"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7F4129" w14:textId="77777777" w:rsidR="00662E6E" w:rsidRDefault="00662E6E" w:rsidP="0026062D">
            <w:pPr>
              <w:pStyle w:val="BodyText"/>
              <w:widowControl w:val="0"/>
              <w:spacing w:line="240" w:lineRule="auto"/>
            </w:pPr>
            <w:r>
              <w:t>Intervention(s)</w:t>
            </w:r>
          </w:p>
        </w:tc>
        <w:tc>
          <w:tcPr>
            <w:tcW w:w="12616" w:type="dxa"/>
          </w:tcPr>
          <w:p w14:paraId="5B283056" w14:textId="0F7F9993" w:rsidR="00B7132A" w:rsidRPr="00B7132A"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b/>
                <w:bCs/>
                <w:lang w:val="en"/>
              </w:rPr>
            </w:pPr>
            <w:r w:rsidRPr="00B7132A">
              <w:rPr>
                <w:b/>
                <w:bCs/>
                <w:lang w:val="en"/>
              </w:rPr>
              <w:t>Grant management</w:t>
            </w:r>
          </w:p>
          <w:p w14:paraId="1B02DA5D" w14:textId="35B8032F"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pPr>
            <w:r w:rsidRPr="003F46D5">
              <w:rPr>
                <w:lang w:val="en"/>
              </w:rPr>
              <w:t xml:space="preserve">The United Nations Development Program (UNDP), the incumbent Principal Recipient (PR), carries out its functions and procedures </w:t>
            </w:r>
            <w:r w:rsidR="005B1BD5">
              <w:rPr>
                <w:lang w:val="en"/>
              </w:rPr>
              <w:t>In line with</w:t>
            </w:r>
            <w:r w:rsidRPr="003F46D5">
              <w:rPr>
                <w:lang w:val="en"/>
              </w:rPr>
              <w:t xml:space="preserve"> GF requirements as well as national legislation. The PR is responsible for the implementation of the project, including the supervision of sub-recipients (SR) and sub-sub-recipients (SSR). UNDP performs procurement functions (medical and non-medical </w:t>
            </w:r>
            <w:r w:rsidR="00BE7C5B">
              <w:rPr>
                <w:lang w:val="en"/>
              </w:rPr>
              <w:t>products</w:t>
            </w:r>
            <w:r w:rsidRPr="003F46D5">
              <w:rPr>
                <w:lang w:val="en"/>
              </w:rPr>
              <w:t>, equipment and services), financial project management, monitoring and evaluation, as well as reporting to the GF.</w:t>
            </w:r>
          </w:p>
          <w:p w14:paraId="577FE06D" w14:textId="0AF6919D"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color w:val="FF0000"/>
              </w:rPr>
            </w:pPr>
            <w:r w:rsidRPr="003F46D5">
              <w:rPr>
                <w:lang w:val="en"/>
              </w:rPr>
              <w:t>The Country Coordinating Mechanism on HIV and TB (CCM) under the Public Health Coordinating Council (PHCC) will continue to oversee the implementation of the project and ensure proper coordination between various sectors and programs</w:t>
            </w:r>
            <w:r>
              <w:rPr>
                <w:lang w:val="en"/>
              </w:rPr>
              <w:t xml:space="preserve"> and </w:t>
            </w:r>
            <w:r w:rsidRPr="003F46D5">
              <w:rPr>
                <w:lang w:val="en"/>
              </w:rPr>
              <w:t>will ensure consistency of all ongoing activities and prevent inefficient use of funds, duplication of activities, etc. Once a year, after submitting a report to the GF (PUDR), UNDP will submit a grant performance dashboard to the CCM for review. This dashboard will reflect the current progress in the implementation of the project, the achievement of indicators, costs and problems of implementation. The CCM will use this information to approve amendments to the program and allocate/reallocate resources if necessary. The CCM will also be informed and engaged in a timely manner if any serious problems arise during the implementation of the project, as well as when discussing and approving the redistribution of potential savings.</w:t>
            </w:r>
          </w:p>
          <w:p w14:paraId="5FD189BE" w14:textId="26421EFB"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3F46D5">
              <w:rPr>
                <w:rFonts w:cstheme="minorHAnsi"/>
                <w:b/>
                <w:bCs/>
                <w:lang w:val="en"/>
              </w:rPr>
              <w:t xml:space="preserve">Implementation </w:t>
            </w:r>
            <w:r w:rsidR="00BE7C5B">
              <w:rPr>
                <w:rFonts w:cstheme="minorHAnsi"/>
                <w:b/>
                <w:bCs/>
                <w:lang w:val="en"/>
              </w:rPr>
              <w:t>arrangements</w:t>
            </w:r>
            <w:r w:rsidRPr="003F46D5">
              <w:rPr>
                <w:rFonts w:cstheme="minorHAnsi"/>
                <w:b/>
                <w:bCs/>
                <w:lang w:val="en"/>
              </w:rPr>
              <w:t xml:space="preserve"> for sub-recipients</w:t>
            </w:r>
          </w:p>
          <w:p w14:paraId="049E1731" w14:textId="27862D9E"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3F46D5">
              <w:rPr>
                <w:rFonts w:cstheme="minorHAnsi"/>
                <w:lang w:val="en"/>
              </w:rPr>
              <w:lastRenderedPageBreak/>
              <w:t xml:space="preserve">The procedures for selecting sub-recipients depend on the type of organization of the sub-recipient (state or non-governmental, UN agency, private sector organization) and will be carried out </w:t>
            </w:r>
            <w:r w:rsidR="005B1BD5">
              <w:rPr>
                <w:rFonts w:cstheme="minorHAnsi"/>
                <w:lang w:val="en"/>
              </w:rPr>
              <w:t>In line with</w:t>
            </w:r>
            <w:r w:rsidRPr="003F46D5">
              <w:rPr>
                <w:rFonts w:cstheme="minorHAnsi"/>
                <w:lang w:val="en"/>
              </w:rPr>
              <w:t xml:space="preserve"> the UNDP/GF requirements. The UNDP country office will assess the technical and financial </w:t>
            </w:r>
            <w:r w:rsidR="00BC00B1">
              <w:rPr>
                <w:rFonts w:cstheme="minorHAnsi"/>
                <w:lang w:val="en"/>
              </w:rPr>
              <w:t>capacity</w:t>
            </w:r>
            <w:r w:rsidRPr="003F46D5">
              <w:rPr>
                <w:rFonts w:cstheme="minorHAnsi"/>
                <w:lang w:val="en"/>
              </w:rPr>
              <w:t xml:space="preserve"> of the potential sub-recipient (including procurement, if necessary) and recommend the necessary measures to address any identified capacity gaps. After the capacity assessment, the UNDP country office signs a standard agreement for SRs. The selection of NGOs and private sector organizations is governed by the procedures outlined in the Contracts, Assets and Procurement Management section of UNDP's </w:t>
            </w:r>
            <w:proofErr w:type="spellStart"/>
            <w:r w:rsidRPr="003F46D5">
              <w:rPr>
                <w:rFonts w:cstheme="minorHAnsi"/>
                <w:lang w:val="en"/>
              </w:rPr>
              <w:t>Programme</w:t>
            </w:r>
            <w:proofErr w:type="spellEnd"/>
            <w:r w:rsidRPr="003F46D5">
              <w:rPr>
                <w:rFonts w:cstheme="minorHAnsi"/>
                <w:lang w:val="en"/>
              </w:rPr>
              <w:t xml:space="preserve"> and Operations Policies and Procedures.</w:t>
            </w:r>
          </w:p>
          <w:p w14:paraId="3FEC6C1F" w14:textId="194BCD85"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3F46D5">
              <w:rPr>
                <w:rFonts w:cstheme="minorHAnsi"/>
                <w:lang w:val="en"/>
              </w:rPr>
              <w:t xml:space="preserve">To further strengthen the Ministry of Health's role in the national response to TB and HIV and to ensure program sustainability, the 2019 Ministry of Health Order assigned the Center for Health and Medical Technology Development (CHMTD) to coordinate, mobilize and effectively use donor funding and grants, as well as in participating in the management and implementation of international investment programs and projects, including the implementation of grant activities under both GF components. As a legal entity, CHMTD has a separate bank account and has the right to conclude contracts with legal entities and individuals. CHMTD will act as the principal sub-recipient (PSR) of UNDP (the </w:t>
            </w:r>
            <w:r w:rsidR="00C239B2">
              <w:rPr>
                <w:rFonts w:cstheme="minorHAnsi"/>
                <w:lang w:val="en"/>
              </w:rPr>
              <w:t>PR</w:t>
            </w:r>
            <w:r w:rsidRPr="003F46D5">
              <w:rPr>
                <w:rFonts w:cstheme="minorHAnsi"/>
                <w:lang w:val="en"/>
              </w:rPr>
              <w:t xml:space="preserve">) and will be responsible for the management, implementation, monitoring and evaluation of HIV and TB prevention, care and support activities carried out by public health organizations. In turn, in order to ensure the effectiveness of the implemented activities, achieve the project goals and facilitate the grant management processes, CHMTD implements the entire range of project cycle activities for three sub-recipients (sub-sub-recipients </w:t>
            </w:r>
            <w:r w:rsidR="00B3787E">
              <w:rPr>
                <w:rFonts w:cstheme="minorHAnsi"/>
                <w:lang w:val="en"/>
              </w:rPr>
              <w:t xml:space="preserve">(SSR) </w:t>
            </w:r>
            <w:r w:rsidRPr="003F46D5">
              <w:rPr>
                <w:rFonts w:cstheme="minorHAnsi"/>
                <w:lang w:val="en"/>
              </w:rPr>
              <w:t>of UNDP): N</w:t>
            </w:r>
            <w:r w:rsidR="00B3787E">
              <w:rPr>
                <w:rFonts w:cstheme="minorHAnsi"/>
                <w:lang w:val="en"/>
              </w:rPr>
              <w:t>TBC</w:t>
            </w:r>
            <w:r w:rsidRPr="003F46D5">
              <w:rPr>
                <w:rFonts w:cstheme="minorHAnsi"/>
                <w:lang w:val="en"/>
              </w:rPr>
              <w:t xml:space="preserve">, </w:t>
            </w:r>
            <w:r w:rsidR="00AC7AD0">
              <w:rPr>
                <w:rFonts w:cstheme="minorHAnsi"/>
                <w:lang w:val="en"/>
              </w:rPr>
              <w:t>RCCVHHIV</w:t>
            </w:r>
            <w:r w:rsidRPr="003F46D5">
              <w:rPr>
                <w:rFonts w:cstheme="minorHAnsi"/>
                <w:lang w:val="en"/>
              </w:rPr>
              <w:t xml:space="preserve"> and RCPN with a minimum staff of project staff, and the transfer</w:t>
            </w:r>
            <w:r w:rsidR="00C32129">
              <w:rPr>
                <w:rFonts w:cstheme="minorHAnsi"/>
                <w:lang w:val="en"/>
              </w:rPr>
              <w:t xml:space="preserve"> of state SSRs </w:t>
            </w:r>
            <w:r w:rsidRPr="003F46D5">
              <w:rPr>
                <w:rFonts w:cstheme="minorHAnsi"/>
                <w:lang w:val="en"/>
              </w:rPr>
              <w:t xml:space="preserve">under the management of the CHMTD will be implemented gradually, one in each project year. CHMTD operations are regulated by the current Operational Guidelines, harmonized with the procedures of the GF and national legislation. </w:t>
            </w:r>
          </w:p>
          <w:p w14:paraId="6BFCB960" w14:textId="77777777"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3F46D5">
              <w:rPr>
                <w:rFonts w:cstheme="minorHAnsi"/>
                <w:lang w:val="en"/>
              </w:rPr>
              <w:t>CHMTD will manage the following activities:</w:t>
            </w:r>
          </w:p>
          <w:p w14:paraId="59608917" w14:textId="7A44744D" w:rsidR="00B7132A" w:rsidRPr="00E769B9" w:rsidRDefault="00A81FB7"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
              </w:rPr>
              <w:t>N</w:t>
            </w:r>
            <w:r w:rsidR="0009352F">
              <w:rPr>
                <w:rFonts w:cstheme="minorHAnsi"/>
                <w:lang w:val="en"/>
              </w:rPr>
              <w:t>TBC</w:t>
            </w:r>
            <w:r w:rsidR="00B7132A" w:rsidRPr="003F46D5">
              <w:rPr>
                <w:rFonts w:cstheme="minorHAnsi"/>
                <w:lang w:val="en"/>
              </w:rPr>
              <w:t xml:space="preserve"> – to implement measures aimed at combating drug-resistant tuberculosis (DR-TB), including the identification, diagnosis and treatment of </w:t>
            </w:r>
            <w:r w:rsidR="0009352F">
              <w:rPr>
                <w:rFonts w:cstheme="minorHAnsi"/>
                <w:lang w:val="en"/>
              </w:rPr>
              <w:t>people with TB</w:t>
            </w:r>
            <w:r w:rsidR="00B7132A" w:rsidRPr="003F46D5">
              <w:rPr>
                <w:rFonts w:cstheme="minorHAnsi"/>
                <w:lang w:val="en"/>
              </w:rPr>
              <w:t xml:space="preserve">, including in </w:t>
            </w:r>
            <w:r w:rsidR="00390107">
              <w:rPr>
                <w:rFonts w:cstheme="minorHAnsi"/>
                <w:lang w:val="en"/>
              </w:rPr>
              <w:t>penitentiary</w:t>
            </w:r>
            <w:r w:rsidR="0009352F">
              <w:rPr>
                <w:rFonts w:cstheme="minorHAnsi"/>
                <w:lang w:val="en"/>
              </w:rPr>
              <w:t xml:space="preserve"> system</w:t>
            </w:r>
            <w:r w:rsidR="00B7132A" w:rsidRPr="003F46D5">
              <w:rPr>
                <w:rFonts w:cstheme="minorHAnsi"/>
                <w:lang w:val="en"/>
              </w:rPr>
              <w:t xml:space="preserve">; </w:t>
            </w:r>
          </w:p>
          <w:p w14:paraId="677822E0" w14:textId="16217464" w:rsidR="00B7132A" w:rsidRPr="00E769B9" w:rsidRDefault="00AC7AD0"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
              </w:rPr>
              <w:t>RCCVHHIV</w:t>
            </w:r>
            <w:r w:rsidR="00B7132A" w:rsidRPr="003F46D5">
              <w:rPr>
                <w:rFonts w:cstheme="minorHAnsi"/>
                <w:lang w:val="en"/>
              </w:rPr>
              <w:t xml:space="preserve"> – to carry out activities </w:t>
            </w:r>
            <w:r w:rsidR="00A81FB7">
              <w:rPr>
                <w:rFonts w:cstheme="minorHAnsi"/>
                <w:lang w:val="en"/>
              </w:rPr>
              <w:t>on</w:t>
            </w:r>
            <w:r w:rsidR="00B7132A">
              <w:rPr>
                <w:rFonts w:cstheme="minorHAnsi"/>
                <w:lang w:val="en"/>
              </w:rPr>
              <w:t xml:space="preserve"> </w:t>
            </w:r>
            <w:r w:rsidR="00B7132A" w:rsidRPr="003F46D5">
              <w:rPr>
                <w:rFonts w:cstheme="minorHAnsi"/>
                <w:lang w:val="en"/>
              </w:rPr>
              <w:t xml:space="preserve">treatment and care for </w:t>
            </w:r>
            <w:r w:rsidR="00A81FB7">
              <w:rPr>
                <w:rFonts w:cstheme="minorHAnsi"/>
                <w:lang w:val="en"/>
              </w:rPr>
              <w:t>KPs</w:t>
            </w:r>
            <w:r w:rsidR="00B7132A" w:rsidRPr="003F46D5">
              <w:rPr>
                <w:rFonts w:cstheme="minorHAnsi"/>
                <w:lang w:val="en"/>
              </w:rPr>
              <w:t xml:space="preserve"> and all PLHIV, testing and counseling of </w:t>
            </w:r>
            <w:r w:rsidR="00590393">
              <w:rPr>
                <w:rFonts w:cstheme="minorHAnsi"/>
                <w:lang w:val="en"/>
              </w:rPr>
              <w:t>KPs</w:t>
            </w:r>
            <w:r w:rsidR="00B7132A" w:rsidRPr="003F46D5">
              <w:rPr>
                <w:rFonts w:cstheme="minorHAnsi"/>
                <w:lang w:val="en"/>
              </w:rPr>
              <w:t xml:space="preserve"> </w:t>
            </w:r>
            <w:r w:rsidR="00590393">
              <w:rPr>
                <w:rFonts w:cstheme="minorHAnsi"/>
                <w:lang w:val="en"/>
              </w:rPr>
              <w:t>on</w:t>
            </w:r>
            <w:r w:rsidR="00B7132A" w:rsidRPr="003F46D5">
              <w:rPr>
                <w:rFonts w:cstheme="minorHAnsi"/>
                <w:lang w:val="en"/>
              </w:rPr>
              <w:t xml:space="preserve"> HIV, capacity development of providers of medical and non-medical </w:t>
            </w:r>
            <w:r w:rsidR="00590393">
              <w:rPr>
                <w:rFonts w:cstheme="minorHAnsi"/>
                <w:lang w:val="en"/>
              </w:rPr>
              <w:t xml:space="preserve">HIV </w:t>
            </w:r>
            <w:r w:rsidR="00B7132A" w:rsidRPr="003F46D5">
              <w:rPr>
                <w:rFonts w:cstheme="minorHAnsi"/>
                <w:lang w:val="en"/>
              </w:rPr>
              <w:t>services, M&amp;E a</w:t>
            </w:r>
            <w:r w:rsidR="00B7132A">
              <w:rPr>
                <w:rFonts w:cstheme="minorHAnsi"/>
                <w:lang w:val="en"/>
              </w:rPr>
              <w:t>s well as</w:t>
            </w:r>
            <w:r w:rsidR="00B7132A" w:rsidRPr="003F46D5">
              <w:rPr>
                <w:rFonts w:cstheme="minorHAnsi"/>
                <w:lang w:val="en"/>
              </w:rPr>
              <w:t xml:space="preserve"> </w:t>
            </w:r>
            <w:r w:rsidR="00590393">
              <w:rPr>
                <w:rFonts w:cstheme="minorHAnsi"/>
                <w:lang w:val="en"/>
              </w:rPr>
              <w:t>activities</w:t>
            </w:r>
            <w:r w:rsidR="00B7132A" w:rsidRPr="003F46D5">
              <w:rPr>
                <w:rFonts w:cstheme="minorHAnsi"/>
                <w:lang w:val="en"/>
              </w:rPr>
              <w:t xml:space="preserve"> to reduce stigma.</w:t>
            </w:r>
          </w:p>
          <w:p w14:paraId="06DEDE52" w14:textId="28DC73FF"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
              </w:rPr>
              <w:t>RCPN – implements OST programs for PWID, including those imprisoned, preventive programs for PWID (needle exchange points), including those imprisoned. It further implements an overdose prevention program and oversees the implementation of the above programs in the penitentiary system.</w:t>
            </w:r>
          </w:p>
          <w:p w14:paraId="2F039554" w14:textId="4791EBDD" w:rsidR="00B7132A" w:rsidRPr="00E769B9"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3F46D5">
              <w:rPr>
                <w:rFonts w:cstheme="minorHAnsi"/>
                <w:lang w:val="en"/>
              </w:rPr>
              <w:t xml:space="preserve">In parallel, the PR will continue to develop the potential of the Ministry of Health </w:t>
            </w:r>
            <w:r w:rsidR="00757251">
              <w:rPr>
                <w:rFonts w:cstheme="minorHAnsi"/>
                <w:lang w:val="en"/>
              </w:rPr>
              <w:t>on</w:t>
            </w:r>
            <w:r w:rsidRPr="003F46D5">
              <w:rPr>
                <w:rFonts w:cstheme="minorHAnsi"/>
                <w:lang w:val="en"/>
              </w:rPr>
              <w:t xml:space="preserve"> </w:t>
            </w:r>
            <w:r w:rsidR="00757251">
              <w:rPr>
                <w:rFonts w:cstheme="minorHAnsi"/>
                <w:lang w:val="en"/>
              </w:rPr>
              <w:t>PSM</w:t>
            </w:r>
            <w:r w:rsidRPr="003F46D5">
              <w:rPr>
                <w:rFonts w:cstheme="minorHAnsi"/>
                <w:lang w:val="en"/>
              </w:rPr>
              <w:t xml:space="preserve"> of pharmaceuticals, tests, laboratory equipment and, together with development partners, support supply chain management for the two programs and the Ministry of Health as a whole.</w:t>
            </w:r>
          </w:p>
          <w:p w14:paraId="77F3AE17" w14:textId="4CA73140" w:rsidR="00662E6E" w:rsidRPr="003D273A" w:rsidRDefault="00B7132A" w:rsidP="0026062D">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3F46D5">
              <w:rPr>
                <w:rFonts w:cstheme="minorHAnsi"/>
                <w:lang w:val="en"/>
              </w:rPr>
              <w:t xml:space="preserve">The </w:t>
            </w:r>
            <w:r w:rsidR="00757251">
              <w:rPr>
                <w:rFonts w:cstheme="minorHAnsi"/>
                <w:lang w:val="en"/>
              </w:rPr>
              <w:t>LFA</w:t>
            </w:r>
            <w:r w:rsidRPr="003F46D5">
              <w:rPr>
                <w:rFonts w:cstheme="minorHAnsi"/>
                <w:lang w:val="en"/>
              </w:rPr>
              <w:t xml:space="preserve"> is currently the United Nations Office for Project Services (UNOPS) in Kyrgyzstan, which operates </w:t>
            </w:r>
            <w:r w:rsidR="005B1BD5">
              <w:rPr>
                <w:rFonts w:cstheme="minorHAnsi"/>
                <w:lang w:val="en"/>
              </w:rPr>
              <w:t>In line with</w:t>
            </w:r>
            <w:r w:rsidRPr="003F46D5">
              <w:rPr>
                <w:rFonts w:cstheme="minorHAnsi"/>
                <w:lang w:val="en"/>
              </w:rPr>
              <w:t xml:space="preserve"> the terms of reference agreed with the GF, including on-site verification. External audits of the </w:t>
            </w:r>
            <w:r w:rsidR="002C7702">
              <w:rPr>
                <w:rFonts w:cstheme="minorHAnsi"/>
                <w:lang w:val="en"/>
              </w:rPr>
              <w:t>PR</w:t>
            </w:r>
            <w:r w:rsidRPr="003F46D5">
              <w:rPr>
                <w:rFonts w:cstheme="minorHAnsi"/>
                <w:lang w:val="en"/>
              </w:rPr>
              <w:t xml:space="preserve"> and </w:t>
            </w:r>
            <w:r w:rsidR="002C7702">
              <w:rPr>
                <w:rFonts w:cstheme="minorHAnsi"/>
                <w:lang w:val="en"/>
              </w:rPr>
              <w:t>SRs</w:t>
            </w:r>
            <w:r w:rsidRPr="003F46D5">
              <w:rPr>
                <w:rFonts w:cstheme="minorHAnsi"/>
                <w:lang w:val="en"/>
              </w:rPr>
              <w:t xml:space="preserve"> are conducted annually </w:t>
            </w:r>
            <w:r w:rsidR="005B1BD5">
              <w:rPr>
                <w:rFonts w:cstheme="minorHAnsi"/>
                <w:lang w:val="en"/>
              </w:rPr>
              <w:t xml:space="preserve">In line </w:t>
            </w:r>
            <w:r w:rsidR="005B1BD5">
              <w:rPr>
                <w:rFonts w:cstheme="minorHAnsi"/>
                <w:lang w:val="en"/>
              </w:rPr>
              <w:lastRenderedPageBreak/>
              <w:t>with</w:t>
            </w:r>
            <w:r w:rsidRPr="003F46D5">
              <w:rPr>
                <w:rFonts w:cstheme="minorHAnsi"/>
                <w:lang w:val="en"/>
              </w:rPr>
              <w:t xml:space="preserve"> the procedures and rules of UNDP aimed at evaluating the effectiveness of the project and financial management.</w:t>
            </w:r>
          </w:p>
        </w:tc>
      </w:tr>
      <w:tr w:rsidR="00662E6E" w14:paraId="4D939E7A"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44BAF6C5"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4C7440BD" w14:textId="79D98C4C" w:rsidR="003D273A" w:rsidRPr="00E769B9" w:rsidRDefault="00EC5A48"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rPr>
              <w:t>PL</w:t>
            </w:r>
            <w:r w:rsidR="003D273A" w:rsidRPr="00413276">
              <w:rPr>
                <w:sz w:val="22"/>
                <w:szCs w:val="20"/>
                <w:lang w:val="en"/>
              </w:rPr>
              <w:t xml:space="preserve">HIV, People with TB, </w:t>
            </w:r>
            <w:r w:rsidR="003D273A">
              <w:rPr>
                <w:sz w:val="22"/>
                <w:szCs w:val="20"/>
                <w:lang w:val="en"/>
              </w:rPr>
              <w:t>contact people</w:t>
            </w:r>
            <w:r w:rsidR="003D273A" w:rsidRPr="00413276">
              <w:rPr>
                <w:sz w:val="22"/>
                <w:szCs w:val="20"/>
                <w:lang w:val="en"/>
              </w:rPr>
              <w:t xml:space="preserve">, </w:t>
            </w:r>
            <w:r>
              <w:rPr>
                <w:sz w:val="22"/>
                <w:szCs w:val="20"/>
                <w:lang w:val="en"/>
              </w:rPr>
              <w:t>KPs</w:t>
            </w:r>
            <w:r w:rsidR="003D273A">
              <w:rPr>
                <w:sz w:val="22"/>
                <w:szCs w:val="20"/>
                <w:lang w:val="en"/>
              </w:rPr>
              <w:t xml:space="preserve"> </w:t>
            </w:r>
            <w:r w:rsidR="003D273A" w:rsidRPr="00413276">
              <w:rPr>
                <w:sz w:val="22"/>
                <w:szCs w:val="20"/>
                <w:lang w:val="en"/>
              </w:rPr>
              <w:t>(MSM, TG, SW, PWUD, prisoners)</w:t>
            </w:r>
          </w:p>
          <w:p w14:paraId="5399C7D2" w14:textId="22E480E2" w:rsidR="00662E6E" w:rsidRPr="00771958" w:rsidRDefault="003D273A"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rPr>
            </w:pPr>
            <w:r w:rsidRPr="00413276">
              <w:rPr>
                <w:sz w:val="22"/>
                <w:szCs w:val="20"/>
                <w:lang w:val="en"/>
              </w:rPr>
              <w:t>Kyrgyz Republic</w:t>
            </w:r>
          </w:p>
        </w:tc>
      </w:tr>
      <w:tr w:rsidR="00662E6E" w14:paraId="7661B8E4"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338A55" w14:textId="77777777" w:rsidR="00662E6E" w:rsidRDefault="00662E6E" w:rsidP="0026062D">
            <w:pPr>
              <w:pStyle w:val="BodyText"/>
              <w:widowControl w:val="0"/>
              <w:spacing w:line="240" w:lineRule="auto"/>
            </w:pPr>
            <w:r>
              <w:t>Amount requested</w:t>
            </w:r>
          </w:p>
        </w:tc>
        <w:tc>
          <w:tcPr>
            <w:tcW w:w="12616" w:type="dxa"/>
          </w:tcPr>
          <w:p w14:paraId="5B4EBAD1" w14:textId="3D265B27" w:rsidR="00662E6E" w:rsidRPr="00771958" w:rsidRDefault="003D273A"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$7,136,786</w:t>
            </w:r>
          </w:p>
        </w:tc>
      </w:tr>
      <w:tr w:rsidR="00662E6E" w14:paraId="4485931F"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1DFF0249" w14:textId="77777777" w:rsidR="00662E6E" w:rsidRDefault="00662E6E" w:rsidP="0026062D">
            <w:pPr>
              <w:pStyle w:val="BodyText"/>
              <w:widowControl w:val="0"/>
              <w:spacing w:line="240" w:lineRule="auto"/>
            </w:pPr>
            <w:r>
              <w:t>Expected outcome</w:t>
            </w:r>
          </w:p>
        </w:tc>
        <w:tc>
          <w:tcPr>
            <w:tcW w:w="12616" w:type="dxa"/>
          </w:tcPr>
          <w:p w14:paraId="5B075CF2" w14:textId="3FC92EC0" w:rsidR="00662E6E" w:rsidRPr="002647DC" w:rsidRDefault="003D273A"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Pr>
                <w:sz w:val="22"/>
                <w:lang w:val="en-US"/>
              </w:rPr>
              <w:t xml:space="preserve">Effective and efficient grant management achieving set targets </w:t>
            </w:r>
            <w:r w:rsidR="007E5C66">
              <w:rPr>
                <w:sz w:val="22"/>
                <w:lang w:val="en-US"/>
              </w:rPr>
              <w:t>considering value-for-money</w:t>
            </w:r>
          </w:p>
        </w:tc>
      </w:tr>
    </w:tbl>
    <w:p w14:paraId="477DCE06" w14:textId="77777777" w:rsidR="00FD52B3" w:rsidRDefault="00FD52B3"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67EE0579"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700FB" w14:textId="1A6D8899" w:rsidR="00662E6E" w:rsidRDefault="00662E6E" w:rsidP="0026062D">
            <w:pPr>
              <w:pStyle w:val="BodyText"/>
              <w:widowControl w:val="0"/>
              <w:spacing w:line="240" w:lineRule="auto"/>
            </w:pPr>
            <w:r>
              <w:t>Module #4</w:t>
            </w:r>
          </w:p>
        </w:tc>
        <w:tc>
          <w:tcPr>
            <w:tcW w:w="12616" w:type="dxa"/>
          </w:tcPr>
          <w:p w14:paraId="72BD6C3B" w14:textId="38527B34" w:rsidR="00662E6E" w:rsidRPr="00C31014" w:rsidRDefault="00C31014"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C31014">
              <w:rPr>
                <w:sz w:val="22"/>
                <w:szCs w:val="22"/>
              </w:rPr>
              <w:t xml:space="preserve">Prevention Package for Men Who Have Sex with Men (MSM) and their Sexual Partners </w:t>
            </w:r>
          </w:p>
        </w:tc>
      </w:tr>
      <w:tr w:rsidR="00662E6E" w14:paraId="1DB9933F"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54DE7B" w14:textId="77777777" w:rsidR="00662E6E" w:rsidRDefault="00662E6E" w:rsidP="0026062D">
            <w:pPr>
              <w:pStyle w:val="BodyText"/>
              <w:widowControl w:val="0"/>
              <w:spacing w:line="240" w:lineRule="auto"/>
            </w:pPr>
            <w:r>
              <w:t>Intervention(s)</w:t>
            </w:r>
          </w:p>
        </w:tc>
        <w:tc>
          <w:tcPr>
            <w:tcW w:w="12616" w:type="dxa"/>
          </w:tcPr>
          <w:p w14:paraId="15E52E18" w14:textId="5D0D3145" w:rsidR="00C31014" w:rsidRPr="00C31014" w:rsidRDefault="00C31014"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b/>
                <w:bCs/>
                <w:sz w:val="22"/>
                <w:szCs w:val="22"/>
              </w:rPr>
            </w:pPr>
            <w:r w:rsidRPr="00C31014">
              <w:rPr>
                <w:b/>
                <w:bCs/>
                <w:sz w:val="22"/>
                <w:szCs w:val="22"/>
              </w:rPr>
              <w:t xml:space="preserve">Condom and lubricant </w:t>
            </w:r>
            <w:proofErr w:type="spellStart"/>
            <w:r w:rsidRPr="00C31014">
              <w:rPr>
                <w:b/>
                <w:bCs/>
                <w:sz w:val="22"/>
                <w:szCs w:val="22"/>
              </w:rPr>
              <w:t>programing</w:t>
            </w:r>
            <w:proofErr w:type="spellEnd"/>
            <w:r w:rsidRPr="00C31014">
              <w:rPr>
                <w:b/>
                <w:bCs/>
                <w:sz w:val="22"/>
                <w:szCs w:val="22"/>
              </w:rPr>
              <w:t xml:space="preserve"> for MSM; Pre-exposure prophylaxis (</w:t>
            </w:r>
            <w:proofErr w:type="spellStart"/>
            <w:r w:rsidRPr="00C31014">
              <w:rPr>
                <w:b/>
                <w:bCs/>
                <w:sz w:val="22"/>
                <w:szCs w:val="22"/>
              </w:rPr>
              <w:t>PrEP</w:t>
            </w:r>
            <w:proofErr w:type="spellEnd"/>
            <w:r w:rsidRPr="00C31014">
              <w:rPr>
                <w:b/>
                <w:bCs/>
                <w:sz w:val="22"/>
                <w:szCs w:val="22"/>
              </w:rPr>
              <w:t xml:space="preserve">) </w:t>
            </w:r>
            <w:proofErr w:type="spellStart"/>
            <w:r w:rsidRPr="00C31014">
              <w:rPr>
                <w:b/>
                <w:bCs/>
                <w:sz w:val="22"/>
                <w:szCs w:val="22"/>
              </w:rPr>
              <w:t>programing</w:t>
            </w:r>
            <w:proofErr w:type="spellEnd"/>
            <w:r w:rsidRPr="00C31014">
              <w:rPr>
                <w:b/>
                <w:bCs/>
                <w:sz w:val="22"/>
                <w:szCs w:val="22"/>
              </w:rPr>
              <w:t xml:space="preserve"> for MSM; HIV prevention communication, information and demand creation for MSM; Sexual and reproductive health services, including sexually transmitted infections (STIs), hepatitis, post-violence care for MSM</w:t>
            </w:r>
          </w:p>
          <w:p w14:paraId="1ED5BEE1" w14:textId="3232D3F2" w:rsidR="004947B4" w:rsidRPr="00E769B9" w:rsidRDefault="004947B4"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sidRPr="004959B9">
              <w:rPr>
                <w:szCs w:val="20"/>
                <w:lang w:val="en"/>
              </w:rPr>
              <w:t xml:space="preserve">According to </w:t>
            </w:r>
            <w:r>
              <w:rPr>
                <w:szCs w:val="20"/>
                <w:lang w:val="en"/>
              </w:rPr>
              <w:t>BBS</w:t>
            </w:r>
            <w:r w:rsidRPr="004959B9">
              <w:rPr>
                <w:szCs w:val="20"/>
                <w:lang w:val="en"/>
              </w:rPr>
              <w:t xml:space="preserve"> data from 2021, the prevalence of HIV among MSM increased to 10.8% (Bishkek)</w:t>
            </w:r>
            <w:r>
              <w:rPr>
                <w:rStyle w:val="FootnoteReference"/>
                <w:szCs w:val="20"/>
                <w:lang w:val="ru-RU"/>
              </w:rPr>
              <w:footnoteReference w:id="22"/>
            </w:r>
            <w:r w:rsidRPr="004959B9">
              <w:rPr>
                <w:szCs w:val="20"/>
                <w:lang w:val="en"/>
              </w:rPr>
              <w:t xml:space="preserve"> from 6.6% in 2016</w:t>
            </w:r>
            <w:r>
              <w:rPr>
                <w:szCs w:val="20"/>
                <w:lang w:val="en"/>
              </w:rPr>
              <w:t>.</w:t>
            </w:r>
            <w:r w:rsidRPr="004959B9">
              <w:rPr>
                <w:szCs w:val="20"/>
                <w:lang w:val="en"/>
              </w:rPr>
              <w:t xml:space="preserve"> </w:t>
            </w:r>
            <w:r>
              <w:rPr>
                <w:szCs w:val="20"/>
                <w:lang w:val="en"/>
              </w:rPr>
              <w:t>T</w:t>
            </w:r>
            <w:r w:rsidRPr="004959B9">
              <w:rPr>
                <w:szCs w:val="20"/>
                <w:lang w:val="en"/>
              </w:rPr>
              <w:t>he estimated number remains within 16,900 people. The coverage of preventive services according to the GF/UNDP is 14</w:t>
            </w:r>
            <w:r>
              <w:rPr>
                <w:szCs w:val="20"/>
                <w:lang w:val="en"/>
              </w:rPr>
              <w:t>,</w:t>
            </w:r>
            <w:r w:rsidRPr="004959B9">
              <w:rPr>
                <w:szCs w:val="20"/>
                <w:lang w:val="en"/>
              </w:rPr>
              <w:t xml:space="preserve">464 MSM. According to the </w:t>
            </w:r>
            <w:r w:rsidR="00AC7AD0">
              <w:rPr>
                <w:szCs w:val="20"/>
                <w:lang w:val="en"/>
              </w:rPr>
              <w:t>RCCVHHIV</w:t>
            </w:r>
            <w:r w:rsidRPr="004959B9">
              <w:rPr>
                <w:szCs w:val="20"/>
                <w:lang w:val="en"/>
              </w:rPr>
              <w:t>, the estimated number of MSM/PLHIV is 1,727 people, 410 (24%) of them know their status, 327 MSM/PLHIV (80%) are on ART and 282 people (86%) have suppressed viral load.</w:t>
            </w:r>
          </w:p>
          <w:p w14:paraId="090890EA" w14:textId="6F4A3761" w:rsidR="004947B4" w:rsidRPr="00E769B9" w:rsidRDefault="004947B4"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Pr>
                <w:szCs w:val="20"/>
                <w:lang w:val="en"/>
              </w:rPr>
              <w:t xml:space="preserve">The increasing prevalence and insufficient detection of HIV requires strengthening and expanding prevention programs for this group. </w:t>
            </w:r>
            <w:r w:rsidR="0034228C">
              <w:rPr>
                <w:szCs w:val="20"/>
                <w:lang w:val="en"/>
              </w:rPr>
              <w:t>T</w:t>
            </w:r>
            <w:r>
              <w:rPr>
                <w:szCs w:val="20"/>
                <w:lang w:val="en"/>
              </w:rPr>
              <w:t xml:space="preserve">he work of 3 NGOs will be supported in the regions that already have access to </w:t>
            </w:r>
            <w:r w:rsidR="0034228C">
              <w:rPr>
                <w:szCs w:val="20"/>
                <w:lang w:val="en"/>
              </w:rPr>
              <w:t>MSM</w:t>
            </w:r>
            <w:r>
              <w:rPr>
                <w:szCs w:val="20"/>
                <w:lang w:val="en"/>
              </w:rPr>
              <w:t xml:space="preserve"> and ongoing programs in place: Bishkek and the Western part of the Chui region, </w:t>
            </w:r>
            <w:proofErr w:type="gramStart"/>
            <w:r>
              <w:rPr>
                <w:szCs w:val="20"/>
                <w:lang w:val="en"/>
              </w:rPr>
              <w:t>Talas</w:t>
            </w:r>
            <w:proofErr w:type="gramEnd"/>
            <w:r>
              <w:rPr>
                <w:szCs w:val="20"/>
                <w:lang w:val="en"/>
              </w:rPr>
              <w:t xml:space="preserve"> region (1 NGO), Bishkek, the Eastern part of the Chui region, Issyk-Kul region (1 NGO), Osh and Jalal-Abad regions (1 NGO).</w:t>
            </w:r>
          </w:p>
          <w:p w14:paraId="28AC05F3" w14:textId="6F2F0FD9" w:rsidR="004947B4" w:rsidRPr="00E769B9" w:rsidRDefault="004947B4"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Pr>
                <w:szCs w:val="20"/>
                <w:lang w:val="en"/>
              </w:rPr>
              <w:t xml:space="preserve">HIV prevention programs will continue to provide services through both </w:t>
            </w:r>
            <w:r w:rsidR="0065163A">
              <w:rPr>
                <w:szCs w:val="20"/>
                <w:lang w:val="en"/>
              </w:rPr>
              <w:t>traditional</w:t>
            </w:r>
            <w:r>
              <w:rPr>
                <w:szCs w:val="20"/>
                <w:lang w:val="en"/>
              </w:rPr>
              <w:t xml:space="preserve"> outreach and new digital approaches. </w:t>
            </w:r>
            <w:r w:rsidR="0065163A">
              <w:rPr>
                <w:szCs w:val="20"/>
                <w:lang w:val="en"/>
              </w:rPr>
              <w:t>Considering</w:t>
            </w:r>
            <w:r>
              <w:rPr>
                <w:szCs w:val="20"/>
                <w:lang w:val="en"/>
              </w:rPr>
              <w:t xml:space="preserve"> the changed channels of communication, the growing role of the internet and the use of social networks, online outreach will be expanded to access hard-to-reach MSM groups. It is planned that in the first year of the grant, 10%, in the second year 15%, and in the third year 20% of the planned coverage will be carried out through online outreach</w:t>
            </w:r>
            <w:r w:rsidR="0065163A">
              <w:rPr>
                <w:rStyle w:val="FootnoteReference"/>
                <w:szCs w:val="20"/>
                <w:lang w:val="en"/>
              </w:rPr>
              <w:footnoteReference w:id="23"/>
            </w:r>
            <w:r w:rsidR="00FB5ED2">
              <w:rPr>
                <w:szCs w:val="20"/>
                <w:lang w:val="en"/>
              </w:rPr>
              <w:t xml:space="preserve"> (some tools are already developed in EECA</w:t>
            </w:r>
            <w:r w:rsidR="00FB5ED2">
              <w:rPr>
                <w:rStyle w:val="FootnoteReference"/>
                <w:szCs w:val="20"/>
                <w:lang w:val="en"/>
              </w:rPr>
              <w:footnoteReference w:id="24"/>
            </w:r>
            <w:r w:rsidR="00FB5ED2">
              <w:rPr>
                <w:rStyle w:val="FootnoteReference"/>
                <w:szCs w:val="20"/>
                <w:lang w:val="en"/>
              </w:rPr>
              <w:footnoteReference w:id="25"/>
            </w:r>
            <w:r w:rsidR="00FB5ED2">
              <w:rPr>
                <w:szCs w:val="20"/>
                <w:lang w:val="en"/>
              </w:rPr>
              <w:t>)</w:t>
            </w:r>
            <w:r>
              <w:rPr>
                <w:szCs w:val="20"/>
                <w:lang w:val="en"/>
              </w:rPr>
              <w:t xml:space="preserve">. For the </w:t>
            </w:r>
            <w:r w:rsidR="0065163A">
              <w:rPr>
                <w:szCs w:val="20"/>
                <w:lang w:val="en"/>
              </w:rPr>
              <w:t>traditional</w:t>
            </w:r>
            <w:r>
              <w:rPr>
                <w:szCs w:val="20"/>
                <w:lang w:val="en"/>
              </w:rPr>
              <w:t xml:space="preserve"> outreach approach, a minimum package of services will be provided, including counseling, provision of condoms, lubricants, and referral/accompaniment for specialized services. Online outreach involves </w:t>
            </w:r>
            <w:r>
              <w:rPr>
                <w:szCs w:val="20"/>
                <w:lang w:val="en"/>
              </w:rPr>
              <w:lastRenderedPageBreak/>
              <w:t xml:space="preserve">providing online counseling, facilitating access to testing through </w:t>
            </w:r>
            <w:r w:rsidR="00A01856">
              <w:rPr>
                <w:szCs w:val="20"/>
                <w:lang w:val="en"/>
              </w:rPr>
              <w:t>vending machines</w:t>
            </w:r>
            <w:r>
              <w:rPr>
                <w:szCs w:val="20"/>
                <w:lang w:val="en"/>
              </w:rPr>
              <w:t xml:space="preserve"> or providing self-tests through pharmacies </w:t>
            </w:r>
            <w:r>
              <w:rPr>
                <w:rStyle w:val="FootnoteReference"/>
                <w:szCs w:val="20"/>
                <w:lang w:val="ru-RU"/>
              </w:rPr>
              <w:footnoteReference w:id="26"/>
            </w:r>
            <w:r w:rsidR="009D00FB">
              <w:rPr>
                <w:szCs w:val="20"/>
                <w:lang w:val="en"/>
              </w:rPr>
              <w:t xml:space="preserve"> </w:t>
            </w:r>
            <w:r>
              <w:rPr>
                <w:szCs w:val="20"/>
                <w:lang w:val="en"/>
              </w:rPr>
              <w:t xml:space="preserve">or courier services. A number of further services will be offered to </w:t>
            </w:r>
            <w:r w:rsidR="001F0962">
              <w:rPr>
                <w:szCs w:val="20"/>
                <w:lang w:val="en"/>
              </w:rPr>
              <w:t>encourage</w:t>
            </w:r>
            <w:r>
              <w:rPr>
                <w:szCs w:val="20"/>
                <w:lang w:val="en"/>
              </w:rPr>
              <w:t xml:space="preserve"> </w:t>
            </w:r>
            <w:r w:rsidR="00BC2F90">
              <w:rPr>
                <w:szCs w:val="20"/>
                <w:lang w:val="en"/>
              </w:rPr>
              <w:t>reporting</w:t>
            </w:r>
            <w:r>
              <w:rPr>
                <w:szCs w:val="20"/>
                <w:lang w:val="en"/>
              </w:rPr>
              <w:t xml:space="preserve"> of the test results by text message</w:t>
            </w:r>
            <w:r w:rsidR="001F0962">
              <w:rPr>
                <w:szCs w:val="20"/>
                <w:lang w:val="en"/>
              </w:rPr>
              <w:t>, e.g.,</w:t>
            </w:r>
            <w:r>
              <w:rPr>
                <w:szCs w:val="20"/>
                <w:lang w:val="en"/>
              </w:rPr>
              <w:t xml:space="preserve"> rapid tests for viral hepatitis, as well as advisory services, including medical specialists on request, lawyers, psychologists, and to receive </w:t>
            </w:r>
            <w:r w:rsidR="001F0962">
              <w:rPr>
                <w:szCs w:val="20"/>
                <w:lang w:val="en"/>
              </w:rPr>
              <w:t>extra health products</w:t>
            </w:r>
            <w:r>
              <w:rPr>
                <w:szCs w:val="20"/>
                <w:lang w:val="en"/>
              </w:rPr>
              <w:t xml:space="preserve"> on a regular basis. Mechanisms for providing such services will be developed in the first year of the grant. Vending machines will be purchased and installed in attractive locations, where condoms, lubricants, and syringes will be available in addition to tests. Online outreach staff will continue to develop social behavior change communication material, including motivational and informational posts and publish these on popular social media communities to increase the appeal of services.</w:t>
            </w:r>
          </w:p>
          <w:p w14:paraId="6A6D03CE" w14:textId="72D26781" w:rsidR="004947B4" w:rsidRPr="00E769B9" w:rsidRDefault="004947B4"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Pr>
                <w:szCs w:val="20"/>
                <w:lang w:val="en"/>
              </w:rPr>
              <w:t>This grant will expand activities to diagnose and treat STIs, as well as a set of activities aimed at raising awareness and creating positive changes in sexual practices. All sites will provide sexual and reproductive health services, including diagnos</w:t>
            </w:r>
            <w:r w:rsidR="007922C2">
              <w:rPr>
                <w:szCs w:val="20"/>
                <w:lang w:val="en"/>
              </w:rPr>
              <w:t>tics</w:t>
            </w:r>
            <w:r>
              <w:rPr>
                <w:szCs w:val="20"/>
                <w:lang w:val="en"/>
              </w:rPr>
              <w:t xml:space="preserve"> and basic STI treatment. These services will be provided by trained peer specialists (</w:t>
            </w:r>
            <w:proofErr w:type="spellStart"/>
            <w:r>
              <w:rPr>
                <w:szCs w:val="20"/>
                <w:lang w:val="en"/>
              </w:rPr>
              <w:t>dermatovenerologist</w:t>
            </w:r>
            <w:proofErr w:type="spellEnd"/>
            <w:r>
              <w:rPr>
                <w:szCs w:val="20"/>
                <w:lang w:val="en"/>
              </w:rPr>
              <w:t xml:space="preserve">, proctologist) in PHC </w:t>
            </w:r>
            <w:r w:rsidR="007922C2">
              <w:rPr>
                <w:szCs w:val="20"/>
                <w:lang w:val="en"/>
              </w:rPr>
              <w:t>facilities</w:t>
            </w:r>
            <w:r>
              <w:rPr>
                <w:szCs w:val="20"/>
                <w:lang w:val="en"/>
              </w:rPr>
              <w:t xml:space="preserve"> and NGOs. Support will be provided for a psychologist in all MSM</w:t>
            </w:r>
            <w:r w:rsidR="007922C2">
              <w:rPr>
                <w:szCs w:val="20"/>
                <w:lang w:val="en"/>
              </w:rPr>
              <w:t>/LGBT</w:t>
            </w:r>
            <w:r>
              <w:rPr>
                <w:szCs w:val="20"/>
                <w:lang w:val="en"/>
              </w:rPr>
              <w:t xml:space="preserve"> NGOs for people affected by abuse/violence/discrimination because of their LGBT/MSM background.</w:t>
            </w:r>
          </w:p>
          <w:p w14:paraId="5E28107D" w14:textId="55ED8814" w:rsidR="00C31014" w:rsidRDefault="004947B4" w:rsidP="0026062D">
            <w:pPr>
              <w:widowControl w:val="0"/>
              <w:jc w:val="both"/>
              <w:cnfStyle w:val="000000100000" w:firstRow="0" w:lastRow="0" w:firstColumn="0" w:lastColumn="0" w:oddVBand="0" w:evenVBand="0" w:oddHBand="1" w:evenHBand="0" w:firstRowFirstColumn="0" w:firstRowLastColumn="0" w:lastRowFirstColumn="0" w:lastRowLastColumn="0"/>
              <w:rPr>
                <w:szCs w:val="20"/>
                <w:lang w:val="en"/>
              </w:rPr>
            </w:pPr>
            <w:r w:rsidRPr="004959B9">
              <w:rPr>
                <w:szCs w:val="20"/>
                <w:lang w:val="en"/>
              </w:rPr>
              <w:t xml:space="preserve">In order to expand the coverage of the group and introduce the best practices of counseling (HIV, HBV and HCV, legal issues, SRH), video courses in the </w:t>
            </w:r>
            <w:r w:rsidRPr="00D35B7C">
              <w:rPr>
                <w:szCs w:val="20"/>
                <w:lang w:val="en"/>
              </w:rPr>
              <w:t xml:space="preserve">request </w:t>
            </w:r>
            <w:r w:rsidRPr="004959B9">
              <w:rPr>
                <w:szCs w:val="20"/>
                <w:lang w:val="en"/>
              </w:rPr>
              <w:t>for HIV consultants/outreach staff will be developed/adapted. Work will continue to attract new customers to the pre-</w:t>
            </w:r>
            <w:r>
              <w:rPr>
                <w:szCs w:val="20"/>
                <w:lang w:val="en"/>
              </w:rPr>
              <w:t>exposure</w:t>
            </w:r>
            <w:r w:rsidRPr="004959B9">
              <w:rPr>
                <w:szCs w:val="20"/>
                <w:lang w:val="en"/>
              </w:rPr>
              <w:t xml:space="preserve"> prevention program (</w:t>
            </w:r>
            <w:proofErr w:type="spellStart"/>
            <w:r w:rsidRPr="004959B9">
              <w:rPr>
                <w:szCs w:val="20"/>
                <w:lang w:val="en"/>
              </w:rPr>
              <w:t>PrEP</w:t>
            </w:r>
            <w:proofErr w:type="spellEnd"/>
            <w:r w:rsidRPr="004959B9">
              <w:rPr>
                <w:szCs w:val="20"/>
                <w:lang w:val="en"/>
              </w:rPr>
              <w:t xml:space="preserve">). Drugs for </w:t>
            </w:r>
            <w:proofErr w:type="spellStart"/>
            <w:r w:rsidRPr="004959B9">
              <w:rPr>
                <w:szCs w:val="20"/>
                <w:lang w:val="en"/>
              </w:rPr>
              <w:t>PrEP</w:t>
            </w:r>
            <w:proofErr w:type="spellEnd"/>
            <w:r w:rsidRPr="004959B9">
              <w:rPr>
                <w:szCs w:val="20"/>
                <w:lang w:val="en"/>
              </w:rPr>
              <w:t xml:space="preserve"> are purchased from the state budget.</w:t>
            </w:r>
          </w:p>
          <w:p w14:paraId="37B5231C" w14:textId="4D73113D" w:rsidR="00A80B4E" w:rsidRPr="00E769B9" w:rsidRDefault="00A80B4E"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Pr>
                <w:szCs w:val="20"/>
                <w:lang w:val="en"/>
              </w:rPr>
              <w:t>1 shelter for MSM/TG will be supported as a safe space for communities in crisis from all regions. Documentation of rights violations and community support as well as development activities will continue.</w:t>
            </w:r>
          </w:p>
          <w:p w14:paraId="0CFC3CEE" w14:textId="3FBFE7FF" w:rsidR="00A80B4E" w:rsidRPr="00E769B9" w:rsidRDefault="00A80B4E"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sidRPr="004959B9">
              <w:rPr>
                <w:szCs w:val="20"/>
                <w:lang w:val="en"/>
              </w:rPr>
              <w:t>T</w:t>
            </w:r>
            <w:r w:rsidR="00D375DB">
              <w:rPr>
                <w:szCs w:val="20"/>
                <w:lang w:val="en"/>
              </w:rPr>
              <w:t>ailored t</w:t>
            </w:r>
            <w:r w:rsidRPr="004959B9">
              <w:rPr>
                <w:szCs w:val="20"/>
                <w:lang w:val="en"/>
              </w:rPr>
              <w:t>raining sessions/modules will be developed for outreach workers and clients (materials in video and print formats on mental health, reduction of risks of new substance use, HIV and SRH).</w:t>
            </w:r>
            <w:r w:rsidR="004D57CC">
              <w:rPr>
                <w:szCs w:val="20"/>
                <w:lang w:val="en"/>
              </w:rPr>
              <w:t xml:space="preserve"> An</w:t>
            </w:r>
            <w:r w:rsidRPr="004959B9">
              <w:rPr>
                <w:szCs w:val="20"/>
                <w:lang w:val="en"/>
              </w:rPr>
              <w:t xml:space="preserve"> ongoing training </w:t>
            </w:r>
            <w:r w:rsidR="004D57CC">
              <w:rPr>
                <w:szCs w:val="20"/>
                <w:lang w:val="en"/>
              </w:rPr>
              <w:t xml:space="preserve">will be provided </w:t>
            </w:r>
            <w:r w:rsidRPr="004959B9">
              <w:rPr>
                <w:szCs w:val="20"/>
                <w:lang w:val="en"/>
              </w:rPr>
              <w:t>for outreach staff on chem</w:t>
            </w:r>
            <w:r>
              <w:rPr>
                <w:szCs w:val="20"/>
                <w:lang w:val="en"/>
              </w:rPr>
              <w:t xml:space="preserve">ical </w:t>
            </w:r>
            <w:r w:rsidRPr="004959B9">
              <w:rPr>
                <w:szCs w:val="20"/>
                <w:lang w:val="en"/>
              </w:rPr>
              <w:t>sex, SRH, including ST</w:t>
            </w:r>
            <w:r>
              <w:rPr>
                <w:szCs w:val="20"/>
                <w:lang w:val="en"/>
              </w:rPr>
              <w:t>I</w:t>
            </w:r>
            <w:r w:rsidRPr="004959B9">
              <w:rPr>
                <w:szCs w:val="20"/>
                <w:lang w:val="en"/>
              </w:rPr>
              <w:t>s, rectal disease prevention, motivational counseling, and rapid HIV testing</w:t>
            </w:r>
            <w:r w:rsidR="004D57CC">
              <w:rPr>
                <w:szCs w:val="20"/>
                <w:lang w:val="en"/>
              </w:rPr>
              <w:t>.</w:t>
            </w:r>
          </w:p>
          <w:p w14:paraId="43BA2837" w14:textId="7C5DE174" w:rsidR="00A80B4E" w:rsidRPr="00E769B9" w:rsidRDefault="00A80B4E"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sidRPr="00D123BA">
              <w:rPr>
                <w:szCs w:val="20"/>
                <w:lang w:val="en"/>
              </w:rPr>
              <w:t>Under the component</w:t>
            </w:r>
            <w:r w:rsidR="0073165A">
              <w:rPr>
                <w:szCs w:val="20"/>
                <w:lang w:val="en"/>
              </w:rPr>
              <w:t>s</w:t>
            </w:r>
            <w:r w:rsidRPr="00D123BA">
              <w:rPr>
                <w:szCs w:val="20"/>
                <w:lang w:val="en"/>
              </w:rPr>
              <w:t xml:space="preserve"> on overcoming legal barriers (module 12) and community mobilization (module 2), the promotion of MSMIT guidelines (</w:t>
            </w:r>
            <w:r w:rsidR="0073165A">
              <w:rPr>
                <w:szCs w:val="20"/>
                <w:lang w:val="en"/>
              </w:rPr>
              <w:t xml:space="preserve">with </w:t>
            </w:r>
            <w:r w:rsidRPr="00D123BA">
              <w:rPr>
                <w:szCs w:val="20"/>
                <w:lang w:val="en"/>
              </w:rPr>
              <w:t>coverage of priority regions) on community mobilization, active involvement in decision-making processes will be supported.</w:t>
            </w:r>
          </w:p>
          <w:p w14:paraId="57A590D5" w14:textId="7067FF39" w:rsidR="00A80B4E" w:rsidRPr="00E769B9" w:rsidRDefault="00A80B4E"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sidRPr="00D123BA">
              <w:rPr>
                <w:szCs w:val="20"/>
                <w:lang w:val="en"/>
              </w:rPr>
              <w:t>Regular MSM/</w:t>
            </w:r>
            <w:r w:rsidR="00967B46">
              <w:rPr>
                <w:szCs w:val="20"/>
                <w:lang w:val="en"/>
              </w:rPr>
              <w:t>LGBT</w:t>
            </w:r>
            <w:r w:rsidRPr="00D123BA">
              <w:rPr>
                <w:szCs w:val="20"/>
                <w:lang w:val="en"/>
              </w:rPr>
              <w:t xml:space="preserve"> forums will be held to track global trends, mechanisms and tools for active involvement and timely prevention of crisis situations, development of strategies for the </w:t>
            </w:r>
            <w:r w:rsidR="003C2013">
              <w:rPr>
                <w:szCs w:val="20"/>
                <w:lang w:val="en"/>
              </w:rPr>
              <w:t>LGBT</w:t>
            </w:r>
            <w:r w:rsidRPr="00D123BA">
              <w:rPr>
                <w:szCs w:val="20"/>
                <w:lang w:val="en"/>
              </w:rPr>
              <w:t xml:space="preserve"> movement and mechanisms for comprehensive implementation of best practices in HIV prevention at the state level.</w:t>
            </w:r>
          </w:p>
          <w:p w14:paraId="1FE7E143" w14:textId="73BC6FE2" w:rsidR="00662E6E" w:rsidRPr="00771958" w:rsidRDefault="00A80B4E" w:rsidP="0026062D">
            <w:pPr>
              <w:widowControl w:val="0"/>
              <w:jc w:val="both"/>
              <w:cnfStyle w:val="000000100000" w:firstRow="0" w:lastRow="0" w:firstColumn="0" w:lastColumn="0" w:oddVBand="0" w:evenVBand="0" w:oddHBand="1" w:evenHBand="0" w:firstRowFirstColumn="0" w:firstRowLastColumn="0" w:lastRowFirstColumn="0" w:lastRowLastColumn="0"/>
            </w:pPr>
            <w:r w:rsidRPr="00D123BA">
              <w:rPr>
                <w:lang w:val="en"/>
              </w:rPr>
              <w:t xml:space="preserve">The "street lawyers" program and the use of </w:t>
            </w:r>
            <w:proofErr w:type="spellStart"/>
            <w:r w:rsidRPr="00D123BA">
              <w:rPr>
                <w:lang w:val="en"/>
              </w:rPr>
              <w:t>REAct's</w:t>
            </w:r>
            <w:proofErr w:type="spellEnd"/>
            <w:r w:rsidRPr="00D123BA">
              <w:rPr>
                <w:lang w:val="en"/>
              </w:rPr>
              <w:t xml:space="preserve"> electronic documentation system will continue to document cases of rights violations and provide legal assistance by paralegals to affected MSM.</w:t>
            </w:r>
          </w:p>
        </w:tc>
      </w:tr>
      <w:tr w:rsidR="00662E6E" w14:paraId="0C310BDD"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73528B6F"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1796A3D5" w14:textId="77777777" w:rsidR="00E01BEA" w:rsidRPr="00E769B9" w:rsidRDefault="00E01BEA" w:rsidP="0026062D">
            <w:pPr>
              <w:pStyle w:val="BodyText"/>
              <w:widowControl w:val="0"/>
              <w:spacing w:after="60" w:line="240" w:lineRule="auto"/>
              <w:jc w:val="both"/>
              <w:cnfStyle w:val="000000000000" w:firstRow="0" w:lastRow="0" w:firstColumn="0" w:lastColumn="0" w:oddVBand="0" w:evenVBand="0" w:oddHBand="0" w:evenHBand="0" w:firstRowFirstColumn="0" w:firstRowLastColumn="0" w:lastRowFirstColumn="0" w:lastRowLastColumn="0"/>
              <w:rPr>
                <w:bCs/>
                <w:sz w:val="22"/>
                <w:szCs w:val="20"/>
                <w:lang w:val="en-US"/>
              </w:rPr>
            </w:pPr>
            <w:r w:rsidRPr="00110FCB">
              <w:rPr>
                <w:bCs/>
                <w:sz w:val="22"/>
                <w:szCs w:val="20"/>
                <w:lang w:val="en"/>
              </w:rPr>
              <w:t>Gay, bisexual and other men practicing sex with men.</w:t>
            </w:r>
          </w:p>
          <w:p w14:paraId="0917DAF4" w14:textId="77777777" w:rsidR="00E01BEA" w:rsidRPr="00E769B9" w:rsidRDefault="00E01BEA" w:rsidP="0026062D">
            <w:pPr>
              <w:pStyle w:val="BodyText"/>
              <w:widowControl w:val="0"/>
              <w:spacing w:after="60" w:line="240" w:lineRule="auto"/>
              <w:jc w:val="both"/>
              <w:cnfStyle w:val="000000000000" w:firstRow="0" w:lastRow="0" w:firstColumn="0" w:lastColumn="0" w:oddVBand="0" w:evenVBand="0" w:oddHBand="0" w:evenHBand="0" w:firstRowFirstColumn="0" w:firstRowLastColumn="0" w:lastRowFirstColumn="0" w:lastRowLastColumn="0"/>
              <w:rPr>
                <w:bCs/>
                <w:sz w:val="22"/>
                <w:szCs w:val="20"/>
                <w:lang w:val="en-US"/>
              </w:rPr>
            </w:pPr>
            <w:r>
              <w:rPr>
                <w:bCs/>
                <w:sz w:val="22"/>
                <w:szCs w:val="20"/>
                <w:lang w:val="en"/>
              </w:rPr>
              <w:t>Kyrgyz Republic.</w:t>
            </w:r>
          </w:p>
          <w:p w14:paraId="733786EF" w14:textId="10FDDD74" w:rsidR="00E01BEA" w:rsidRPr="00E769B9" w:rsidRDefault="00E01BEA" w:rsidP="0026062D">
            <w:pPr>
              <w:pStyle w:val="BodyText"/>
              <w:widowControl w:val="0"/>
              <w:spacing w:after="60"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en-US"/>
              </w:rPr>
            </w:pPr>
            <w:r w:rsidRPr="004F4FEA">
              <w:rPr>
                <w:sz w:val="22"/>
                <w:szCs w:val="20"/>
                <w:lang w:val="en"/>
              </w:rPr>
              <w:t xml:space="preserve">HIV prevalence among MSM, </w:t>
            </w:r>
            <w:r>
              <w:rPr>
                <w:sz w:val="22"/>
                <w:szCs w:val="20"/>
                <w:lang w:val="en"/>
              </w:rPr>
              <w:t>was</w:t>
            </w:r>
            <w:r w:rsidRPr="004F4FEA">
              <w:rPr>
                <w:sz w:val="22"/>
                <w:szCs w:val="20"/>
                <w:lang w:val="en"/>
              </w:rPr>
              <w:t xml:space="preserve"> 6.6% in 2016</w:t>
            </w:r>
            <w:r>
              <w:rPr>
                <w:sz w:val="22"/>
                <w:szCs w:val="20"/>
                <w:lang w:val="en"/>
              </w:rPr>
              <w:t xml:space="preserve">, currently, there is no data on country prevalence, but </w:t>
            </w:r>
            <w:r w:rsidRPr="004F4FEA">
              <w:rPr>
                <w:sz w:val="22"/>
                <w:szCs w:val="20"/>
                <w:lang w:val="en"/>
              </w:rPr>
              <w:t xml:space="preserve">according to </w:t>
            </w:r>
            <w:r>
              <w:rPr>
                <w:sz w:val="22"/>
                <w:szCs w:val="20"/>
                <w:lang w:val="en"/>
              </w:rPr>
              <w:t>IBBS</w:t>
            </w:r>
            <w:r w:rsidRPr="004F4FEA">
              <w:rPr>
                <w:sz w:val="22"/>
                <w:szCs w:val="20"/>
                <w:lang w:val="en"/>
              </w:rPr>
              <w:t xml:space="preserve"> 2021, </w:t>
            </w:r>
            <w:r>
              <w:rPr>
                <w:sz w:val="22"/>
                <w:szCs w:val="20"/>
                <w:lang w:val="en"/>
              </w:rPr>
              <w:t xml:space="preserve">in Bishkek, it’s as high as </w:t>
            </w:r>
            <w:r w:rsidRPr="004F4FEA">
              <w:rPr>
                <w:sz w:val="22"/>
                <w:szCs w:val="20"/>
                <w:lang w:val="en"/>
              </w:rPr>
              <w:t xml:space="preserve">10.8%, </w:t>
            </w:r>
            <w:r>
              <w:rPr>
                <w:sz w:val="22"/>
                <w:szCs w:val="20"/>
                <w:lang w:val="en"/>
              </w:rPr>
              <w:t xml:space="preserve">which is alarming and </w:t>
            </w:r>
            <w:r w:rsidRPr="004F4FEA">
              <w:rPr>
                <w:sz w:val="22"/>
                <w:szCs w:val="20"/>
                <w:lang w:val="en"/>
              </w:rPr>
              <w:t>requir</w:t>
            </w:r>
            <w:r>
              <w:rPr>
                <w:sz w:val="22"/>
                <w:szCs w:val="20"/>
                <w:lang w:val="en"/>
              </w:rPr>
              <w:t>e</w:t>
            </w:r>
            <w:r w:rsidRPr="004F4FEA">
              <w:rPr>
                <w:sz w:val="22"/>
                <w:szCs w:val="20"/>
                <w:lang w:val="en"/>
              </w:rPr>
              <w:t xml:space="preserve"> expansion of prevention programs.</w:t>
            </w:r>
          </w:p>
          <w:p w14:paraId="40BC2054" w14:textId="04DDA5DB" w:rsidR="00662E6E" w:rsidRPr="00771958" w:rsidRDefault="00E01BEA"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rPr>
            </w:pPr>
            <w:r w:rsidRPr="004F4FEA">
              <w:rPr>
                <w:sz w:val="22"/>
                <w:szCs w:val="20"/>
                <w:lang w:val="en"/>
              </w:rPr>
              <w:t xml:space="preserve">Currently, prevention programs for MSM are implemented only by </w:t>
            </w:r>
            <w:r w:rsidR="004B2B82">
              <w:rPr>
                <w:sz w:val="22"/>
                <w:szCs w:val="20"/>
                <w:lang w:val="en"/>
              </w:rPr>
              <w:t>NGOs</w:t>
            </w:r>
            <w:r w:rsidRPr="004F4FEA">
              <w:rPr>
                <w:sz w:val="22"/>
                <w:szCs w:val="20"/>
                <w:lang w:val="en"/>
              </w:rPr>
              <w:t xml:space="preserve">. </w:t>
            </w:r>
            <w:r>
              <w:rPr>
                <w:sz w:val="22"/>
                <w:szCs w:val="20"/>
                <w:lang w:val="en"/>
              </w:rPr>
              <w:t>D</w:t>
            </w:r>
            <w:r w:rsidRPr="004F4FEA">
              <w:rPr>
                <w:sz w:val="22"/>
                <w:szCs w:val="20"/>
                <w:lang w:val="en"/>
              </w:rPr>
              <w:t>ue to high levels of stigma and discrimination</w:t>
            </w:r>
            <w:r>
              <w:rPr>
                <w:sz w:val="22"/>
                <w:szCs w:val="20"/>
                <w:lang w:val="en"/>
              </w:rPr>
              <w:t>, m</w:t>
            </w:r>
            <w:r w:rsidRPr="004F4FEA">
              <w:rPr>
                <w:sz w:val="22"/>
                <w:szCs w:val="20"/>
                <w:lang w:val="en"/>
              </w:rPr>
              <w:t>any MSM</w:t>
            </w:r>
            <w:r w:rsidR="004B2B82">
              <w:rPr>
                <w:sz w:val="22"/>
                <w:szCs w:val="20"/>
                <w:lang w:val="en"/>
              </w:rPr>
              <w:t xml:space="preserve"> </w:t>
            </w:r>
            <w:r w:rsidRPr="004F4FEA">
              <w:rPr>
                <w:sz w:val="22"/>
                <w:szCs w:val="20"/>
                <w:lang w:val="en"/>
              </w:rPr>
              <w:t xml:space="preserve">remain out of reach of programs and continue to engage in risky behavior. A number of health and social services for MSM remain difficult to access due to low living standards, stigma, and discrimination. The services offered in the programs do not always meet the needs of MSM </w:t>
            </w:r>
            <w:r>
              <w:rPr>
                <w:sz w:val="22"/>
                <w:szCs w:val="20"/>
                <w:lang w:val="en"/>
              </w:rPr>
              <w:t>with the consequence of them</w:t>
            </w:r>
            <w:r w:rsidRPr="004F4FEA">
              <w:rPr>
                <w:sz w:val="22"/>
                <w:szCs w:val="20"/>
                <w:lang w:val="en"/>
              </w:rPr>
              <w:t xml:space="preserve"> </w:t>
            </w:r>
            <w:r>
              <w:rPr>
                <w:sz w:val="22"/>
                <w:szCs w:val="20"/>
                <w:lang w:val="en"/>
              </w:rPr>
              <w:t xml:space="preserve">not being </w:t>
            </w:r>
            <w:r w:rsidRPr="004F4FEA">
              <w:rPr>
                <w:sz w:val="22"/>
                <w:szCs w:val="20"/>
                <w:lang w:val="en"/>
              </w:rPr>
              <w:t>motivated to participate</w:t>
            </w:r>
            <w:r w:rsidR="004B2B82">
              <w:rPr>
                <w:sz w:val="22"/>
                <w:szCs w:val="20"/>
                <w:lang w:val="en"/>
              </w:rPr>
              <w:t xml:space="preserve"> (e.g., </w:t>
            </w:r>
            <w:proofErr w:type="spellStart"/>
            <w:r w:rsidR="004B2B82">
              <w:rPr>
                <w:sz w:val="22"/>
                <w:szCs w:val="20"/>
                <w:lang w:val="en"/>
              </w:rPr>
              <w:t>PrEP</w:t>
            </w:r>
            <w:proofErr w:type="spellEnd"/>
            <w:r w:rsidR="004B2B82">
              <w:rPr>
                <w:sz w:val="22"/>
                <w:szCs w:val="20"/>
                <w:lang w:val="en"/>
              </w:rPr>
              <w:t>)</w:t>
            </w:r>
            <w:r w:rsidRPr="004F4FEA">
              <w:rPr>
                <w:sz w:val="22"/>
                <w:szCs w:val="20"/>
                <w:lang w:val="en"/>
              </w:rPr>
              <w:t xml:space="preserve">. Communication channels with communities are </w:t>
            </w:r>
            <w:r w:rsidR="00E33490">
              <w:rPr>
                <w:sz w:val="22"/>
                <w:szCs w:val="20"/>
                <w:lang w:val="en"/>
              </w:rPr>
              <w:t>outdated</w:t>
            </w:r>
            <w:r w:rsidRPr="004F4FEA">
              <w:rPr>
                <w:sz w:val="22"/>
                <w:szCs w:val="20"/>
                <w:lang w:val="en"/>
              </w:rPr>
              <w:t>. MSM/TG communities and organizations are periodically attacked by conservative sectors of society</w:t>
            </w:r>
            <w:r>
              <w:rPr>
                <w:sz w:val="22"/>
                <w:szCs w:val="20"/>
                <w:lang w:val="en"/>
              </w:rPr>
              <w:t>. I</w:t>
            </w:r>
            <w:r w:rsidRPr="004F4FEA">
              <w:rPr>
                <w:sz w:val="22"/>
                <w:szCs w:val="20"/>
                <w:lang w:val="en"/>
              </w:rPr>
              <w:t>n order to be safe, a</w:t>
            </w:r>
            <w:r>
              <w:rPr>
                <w:sz w:val="22"/>
                <w:szCs w:val="20"/>
                <w:lang w:val="en"/>
              </w:rPr>
              <w:t xml:space="preserve">ctivists and organizations are often </w:t>
            </w:r>
            <w:r w:rsidRPr="004F4FEA">
              <w:rPr>
                <w:sz w:val="22"/>
                <w:szCs w:val="20"/>
                <w:lang w:val="en"/>
              </w:rPr>
              <w:t>forc</w:t>
            </w:r>
            <w:r>
              <w:rPr>
                <w:sz w:val="22"/>
                <w:szCs w:val="20"/>
                <w:lang w:val="en"/>
              </w:rPr>
              <w:t>ed</w:t>
            </w:r>
            <w:r w:rsidRPr="004F4FEA">
              <w:rPr>
                <w:sz w:val="22"/>
                <w:szCs w:val="20"/>
                <w:lang w:val="en"/>
              </w:rPr>
              <w:t xml:space="preserve"> to change their places of residence, offices </w:t>
            </w:r>
            <w:r>
              <w:rPr>
                <w:sz w:val="22"/>
                <w:szCs w:val="20"/>
                <w:lang w:val="en"/>
              </w:rPr>
              <w:t xml:space="preserve">or </w:t>
            </w:r>
            <w:r w:rsidRPr="004F4FEA">
              <w:rPr>
                <w:sz w:val="22"/>
                <w:szCs w:val="20"/>
                <w:lang w:val="en"/>
              </w:rPr>
              <w:t>shelters.</w:t>
            </w:r>
          </w:p>
        </w:tc>
      </w:tr>
      <w:tr w:rsidR="00662E6E" w14:paraId="6107D936"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A0CC7D" w14:textId="77777777" w:rsidR="00662E6E" w:rsidRDefault="00662E6E" w:rsidP="0026062D">
            <w:pPr>
              <w:pStyle w:val="BodyText"/>
              <w:widowControl w:val="0"/>
              <w:spacing w:line="240" w:lineRule="auto"/>
            </w:pPr>
            <w:r>
              <w:t>Amount requested</w:t>
            </w:r>
          </w:p>
        </w:tc>
        <w:tc>
          <w:tcPr>
            <w:tcW w:w="12616" w:type="dxa"/>
          </w:tcPr>
          <w:p w14:paraId="43D1C1E2" w14:textId="6F39CA18" w:rsidR="00662E6E" w:rsidRPr="00771958" w:rsidRDefault="00135B5D"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$800,827</w:t>
            </w:r>
          </w:p>
        </w:tc>
      </w:tr>
      <w:tr w:rsidR="00662E6E" w14:paraId="645187DD"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0524CBDB" w14:textId="77777777" w:rsidR="00662E6E" w:rsidRDefault="00662E6E" w:rsidP="0026062D">
            <w:pPr>
              <w:pStyle w:val="BodyText"/>
              <w:widowControl w:val="0"/>
              <w:spacing w:line="240" w:lineRule="auto"/>
            </w:pPr>
            <w:r>
              <w:t>Expected outcome</w:t>
            </w:r>
          </w:p>
        </w:tc>
        <w:tc>
          <w:tcPr>
            <w:tcW w:w="12616" w:type="dxa"/>
          </w:tcPr>
          <w:p w14:paraId="27BFC57E" w14:textId="77777777" w:rsidR="009004A5" w:rsidRPr="00E769B9" w:rsidRDefault="009004A5" w:rsidP="0026062D">
            <w:pPr>
              <w:pStyle w:val="BodyText"/>
              <w:widowControl w:val="0"/>
              <w:spacing w:after="20"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sidRPr="00B64988">
              <w:rPr>
                <w:sz w:val="22"/>
                <w:szCs w:val="20"/>
                <w:lang w:val="en"/>
              </w:rPr>
              <w:t>At least 85% of the total MSM population will be covered by the minimum package of services by 2026;</w:t>
            </w:r>
          </w:p>
          <w:p w14:paraId="03083923" w14:textId="77777777" w:rsidR="009004A5" w:rsidRPr="00E769B9" w:rsidRDefault="009004A5" w:rsidP="0026062D">
            <w:pPr>
              <w:pStyle w:val="BodyText"/>
              <w:widowControl w:val="0"/>
              <w:spacing w:after="20"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sidRPr="002F23EC">
              <w:rPr>
                <w:sz w:val="22"/>
                <w:szCs w:val="20"/>
                <w:lang w:val="en"/>
              </w:rPr>
              <w:t>At least 95% of MSM coverage of the minimum package of services will be tested for HIV and know their result;</w:t>
            </w:r>
          </w:p>
          <w:p w14:paraId="6FAD3EDD" w14:textId="6D849654" w:rsidR="00662E6E" w:rsidRPr="002647DC" w:rsidRDefault="009004A5"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sidRPr="00D42231">
              <w:rPr>
                <w:sz w:val="22"/>
                <w:szCs w:val="20"/>
                <w:lang w:val="en"/>
              </w:rPr>
              <w:t xml:space="preserve">At least 500 MSM will receive </w:t>
            </w:r>
            <w:proofErr w:type="spellStart"/>
            <w:r w:rsidRPr="00D42231">
              <w:rPr>
                <w:sz w:val="22"/>
                <w:szCs w:val="20"/>
                <w:lang w:val="en"/>
              </w:rPr>
              <w:t>PrEP</w:t>
            </w:r>
            <w:proofErr w:type="spellEnd"/>
            <w:r w:rsidRPr="00D42231">
              <w:rPr>
                <w:sz w:val="22"/>
                <w:szCs w:val="20"/>
                <w:lang w:val="en"/>
              </w:rPr>
              <w:t xml:space="preserve"> by 2026</w:t>
            </w:r>
          </w:p>
        </w:tc>
      </w:tr>
    </w:tbl>
    <w:p w14:paraId="60AF191C" w14:textId="77777777" w:rsidR="00FD52B3" w:rsidRDefault="00FD52B3"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15F4F435"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8AFF1F" w14:textId="645E7738" w:rsidR="00662E6E" w:rsidRDefault="00662E6E" w:rsidP="0026062D">
            <w:pPr>
              <w:pStyle w:val="BodyText"/>
              <w:widowControl w:val="0"/>
              <w:spacing w:line="240" w:lineRule="auto"/>
            </w:pPr>
            <w:r>
              <w:t>Module #5</w:t>
            </w:r>
          </w:p>
        </w:tc>
        <w:tc>
          <w:tcPr>
            <w:tcW w:w="12616" w:type="dxa"/>
          </w:tcPr>
          <w:p w14:paraId="666A4564" w14:textId="18F202B3" w:rsidR="00662E6E" w:rsidRPr="00D04936" w:rsidRDefault="00D04936"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D04936">
              <w:rPr>
                <w:sz w:val="22"/>
                <w:szCs w:val="22"/>
              </w:rPr>
              <w:t>Prevention Package for Sex Workers, their Clients and Other Sexual Partners</w:t>
            </w:r>
          </w:p>
        </w:tc>
      </w:tr>
      <w:tr w:rsidR="00662E6E" w14:paraId="62DEDACB"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4957CA" w14:textId="77777777" w:rsidR="00662E6E" w:rsidRDefault="00662E6E" w:rsidP="0026062D">
            <w:pPr>
              <w:pStyle w:val="BodyText"/>
              <w:widowControl w:val="0"/>
              <w:spacing w:line="240" w:lineRule="auto"/>
            </w:pPr>
            <w:r>
              <w:t>Intervention(s)</w:t>
            </w:r>
          </w:p>
        </w:tc>
        <w:tc>
          <w:tcPr>
            <w:tcW w:w="12616" w:type="dxa"/>
          </w:tcPr>
          <w:p w14:paraId="01A638F8" w14:textId="6EC6DCBD" w:rsidR="00D04936" w:rsidRPr="00C31014" w:rsidRDefault="00D04936"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b/>
                <w:bCs/>
                <w:sz w:val="22"/>
                <w:szCs w:val="22"/>
              </w:rPr>
            </w:pPr>
            <w:r w:rsidRPr="00C31014">
              <w:rPr>
                <w:b/>
                <w:bCs/>
                <w:sz w:val="22"/>
                <w:szCs w:val="22"/>
              </w:rPr>
              <w:t xml:space="preserve">Condom and lubricant </w:t>
            </w:r>
            <w:proofErr w:type="spellStart"/>
            <w:r w:rsidRPr="00C31014">
              <w:rPr>
                <w:b/>
                <w:bCs/>
                <w:sz w:val="22"/>
                <w:szCs w:val="22"/>
              </w:rPr>
              <w:t>programing</w:t>
            </w:r>
            <w:proofErr w:type="spellEnd"/>
            <w:r w:rsidRPr="00C31014">
              <w:rPr>
                <w:b/>
                <w:bCs/>
                <w:sz w:val="22"/>
                <w:szCs w:val="22"/>
              </w:rPr>
              <w:t xml:space="preserve"> for </w:t>
            </w:r>
            <w:r>
              <w:rPr>
                <w:b/>
                <w:bCs/>
                <w:sz w:val="22"/>
                <w:szCs w:val="22"/>
              </w:rPr>
              <w:t>SW</w:t>
            </w:r>
            <w:r w:rsidRPr="00C31014">
              <w:rPr>
                <w:b/>
                <w:bCs/>
                <w:sz w:val="22"/>
                <w:szCs w:val="22"/>
              </w:rPr>
              <w:t xml:space="preserve">; Sexual and reproductive health services, including sexually transmitted infections (STIs), hepatitis, post-violence care for </w:t>
            </w:r>
            <w:r>
              <w:rPr>
                <w:b/>
                <w:bCs/>
                <w:sz w:val="22"/>
                <w:szCs w:val="22"/>
              </w:rPr>
              <w:t>SW</w:t>
            </w:r>
          </w:p>
          <w:p w14:paraId="2CC4FCF5" w14:textId="2FF39A68" w:rsidR="003A35C9" w:rsidRPr="00E769B9" w:rsidRDefault="003A35C9"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sidRPr="009A7DA8">
              <w:rPr>
                <w:szCs w:val="20"/>
                <w:lang w:val="en"/>
              </w:rPr>
              <w:t xml:space="preserve">According to preliminary </w:t>
            </w:r>
            <w:r>
              <w:rPr>
                <w:szCs w:val="20"/>
                <w:lang w:val="en"/>
              </w:rPr>
              <w:t>BBS</w:t>
            </w:r>
            <w:r w:rsidRPr="009A7DA8">
              <w:rPr>
                <w:szCs w:val="20"/>
                <w:lang w:val="en"/>
              </w:rPr>
              <w:t xml:space="preserve"> data from 2022, HIV prevalence among sex workers </w:t>
            </w:r>
            <w:r>
              <w:rPr>
                <w:szCs w:val="20"/>
                <w:lang w:val="en"/>
              </w:rPr>
              <w:t>is</w:t>
            </w:r>
            <w:r w:rsidRPr="009A7DA8">
              <w:rPr>
                <w:szCs w:val="20"/>
                <w:lang w:val="en"/>
              </w:rPr>
              <w:t xml:space="preserve"> 3.8%</w:t>
            </w:r>
            <w:r w:rsidR="0088226B">
              <w:rPr>
                <w:szCs w:val="20"/>
                <w:lang w:val="en"/>
              </w:rPr>
              <w:t xml:space="preserve"> (1.6% in 2016)</w:t>
            </w:r>
            <w:r>
              <w:rPr>
                <w:szCs w:val="20"/>
                <w:lang w:val="en"/>
              </w:rPr>
              <w:t xml:space="preserve">, no updated PSE is available, </w:t>
            </w:r>
            <w:r w:rsidRPr="009A7DA8">
              <w:rPr>
                <w:szCs w:val="20"/>
                <w:lang w:val="en"/>
              </w:rPr>
              <w:t>the estimated number remaining at 7,10</w:t>
            </w:r>
            <w:r>
              <w:rPr>
                <w:szCs w:val="20"/>
                <w:lang w:val="en"/>
              </w:rPr>
              <w:t>3 (BBS 2016)</w:t>
            </w:r>
            <w:r w:rsidRPr="009A7DA8">
              <w:rPr>
                <w:szCs w:val="20"/>
                <w:lang w:val="en"/>
              </w:rPr>
              <w:t>. The increasing prevalence of HIV requires the strengthening and expansion of prevention programs for this group.</w:t>
            </w:r>
          </w:p>
          <w:p w14:paraId="1C291D4C" w14:textId="77777777" w:rsidR="003A35C9" w:rsidRPr="00E769B9" w:rsidRDefault="003A35C9"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Pr>
                <w:szCs w:val="20"/>
                <w:lang w:val="en"/>
              </w:rPr>
              <w:t>The work of NGOs in Bishkek, Osh, Jalal-Abad, Chui region, and as part of multidisciplinary NGOs providing services to all groups in Issyk-Kul and Talas regions will be supported to implement prevention programs among SWs.</w:t>
            </w:r>
          </w:p>
          <w:p w14:paraId="70559B5D" w14:textId="4CB627D4" w:rsidR="003A35C9" w:rsidRPr="00E769B9" w:rsidRDefault="003A35C9" w:rsidP="0026062D">
            <w:pPr>
              <w:widowControl w:val="0"/>
              <w:jc w:val="both"/>
              <w:cnfStyle w:val="000000100000" w:firstRow="0" w:lastRow="0" w:firstColumn="0" w:lastColumn="0" w:oddVBand="0" w:evenVBand="0" w:oddHBand="1" w:evenHBand="0" w:firstRowFirstColumn="0" w:firstRowLastColumn="0" w:lastRowFirstColumn="0" w:lastRowLastColumn="0"/>
              <w:rPr>
                <w:szCs w:val="20"/>
              </w:rPr>
            </w:pPr>
            <w:r w:rsidRPr="008F2B5A">
              <w:rPr>
                <w:szCs w:val="20"/>
                <w:lang w:val="en"/>
              </w:rPr>
              <w:t xml:space="preserve">HIV prevention programs will continue to provide services through both </w:t>
            </w:r>
            <w:r w:rsidR="00E558BB">
              <w:rPr>
                <w:szCs w:val="20"/>
                <w:lang w:val="en"/>
              </w:rPr>
              <w:t>traditional</w:t>
            </w:r>
            <w:r w:rsidRPr="008F2B5A">
              <w:rPr>
                <w:szCs w:val="20"/>
                <w:lang w:val="en"/>
              </w:rPr>
              <w:t xml:space="preserve"> outreach and new approaches. Given the significant change in supply and demand channels for sex services using the </w:t>
            </w:r>
            <w:r>
              <w:rPr>
                <w:szCs w:val="20"/>
                <w:lang w:val="en"/>
              </w:rPr>
              <w:t>i</w:t>
            </w:r>
            <w:r w:rsidRPr="008F2B5A">
              <w:rPr>
                <w:szCs w:val="20"/>
                <w:lang w:val="en"/>
              </w:rPr>
              <w:t xml:space="preserve">nternet and social media, there will be significant changes in approaches to ensure access to groups. To this end, online outreach will be expanded. In the first year of the grant, 10%, in the second year 15%, and in the third year 20% of the planned coverage will be carried out through online outreach. Within the </w:t>
            </w:r>
            <w:r w:rsidR="00E558BB">
              <w:rPr>
                <w:szCs w:val="20"/>
                <w:lang w:val="en"/>
              </w:rPr>
              <w:t>traditional</w:t>
            </w:r>
            <w:r w:rsidRPr="008F2B5A">
              <w:rPr>
                <w:szCs w:val="20"/>
                <w:lang w:val="en"/>
              </w:rPr>
              <w:t xml:space="preserve"> outreach approach, a minimum package of services will be provided, including counseling, provision of condoms, lubricants, and referral services. Online outreach i</w:t>
            </w:r>
            <w:r>
              <w:rPr>
                <w:szCs w:val="20"/>
                <w:lang w:val="en"/>
              </w:rPr>
              <w:t>ncludes</w:t>
            </w:r>
            <w:r w:rsidRPr="008F2B5A">
              <w:rPr>
                <w:szCs w:val="20"/>
                <w:lang w:val="en"/>
              </w:rPr>
              <w:t xml:space="preserve"> providing online counseling, ensuring access to testing </w:t>
            </w:r>
            <w:r w:rsidRPr="008F2B5A">
              <w:rPr>
                <w:szCs w:val="20"/>
                <w:lang w:val="en"/>
              </w:rPr>
              <w:lastRenderedPageBreak/>
              <w:t xml:space="preserve">through </w:t>
            </w:r>
            <w:r w:rsidR="00E558BB">
              <w:rPr>
                <w:szCs w:val="20"/>
                <w:lang w:val="en"/>
              </w:rPr>
              <w:t>vending</w:t>
            </w:r>
            <w:r w:rsidRPr="008F2B5A">
              <w:rPr>
                <w:szCs w:val="20"/>
                <w:lang w:val="en"/>
              </w:rPr>
              <w:t xml:space="preserve"> machines or providing self-tests through pharmacies and courier services, and providing condoms through vending machines. A number of other services will be offered to </w:t>
            </w:r>
            <w:r w:rsidR="00F8200D">
              <w:rPr>
                <w:szCs w:val="20"/>
                <w:lang w:val="en"/>
              </w:rPr>
              <w:t>encourage</w:t>
            </w:r>
            <w:r w:rsidRPr="008F2B5A">
              <w:rPr>
                <w:szCs w:val="20"/>
                <w:lang w:val="en"/>
              </w:rPr>
              <w:t xml:space="preserve"> </w:t>
            </w:r>
            <w:r w:rsidR="00BC2F90">
              <w:rPr>
                <w:szCs w:val="20"/>
                <w:lang w:val="en"/>
              </w:rPr>
              <w:t>reporting</w:t>
            </w:r>
            <w:r w:rsidRPr="008F2B5A">
              <w:rPr>
                <w:szCs w:val="20"/>
                <w:lang w:val="en"/>
              </w:rPr>
              <w:t xml:space="preserve"> of the test result</w:t>
            </w:r>
            <w:r>
              <w:rPr>
                <w:szCs w:val="20"/>
                <w:lang w:val="en"/>
              </w:rPr>
              <w:t xml:space="preserve"> by</w:t>
            </w:r>
            <w:r w:rsidRPr="008F2B5A">
              <w:rPr>
                <w:szCs w:val="20"/>
                <w:lang w:val="en"/>
              </w:rPr>
              <w:t xml:space="preserve"> </w:t>
            </w:r>
            <w:r>
              <w:rPr>
                <w:szCs w:val="20"/>
                <w:lang w:val="en"/>
              </w:rPr>
              <w:t xml:space="preserve">text </w:t>
            </w:r>
            <w:r w:rsidRPr="008F2B5A">
              <w:rPr>
                <w:szCs w:val="20"/>
                <w:lang w:val="en"/>
              </w:rPr>
              <w:t>message</w:t>
            </w:r>
            <w:r w:rsidR="00F8200D">
              <w:rPr>
                <w:szCs w:val="20"/>
                <w:lang w:val="en"/>
              </w:rPr>
              <w:t xml:space="preserve">: </w:t>
            </w:r>
            <w:r w:rsidRPr="008F2B5A">
              <w:rPr>
                <w:szCs w:val="20"/>
                <w:lang w:val="en"/>
              </w:rPr>
              <w:t>including the opportunity to take a rapid test for viral hepatitis, to get advice on request from a medical specialist, a lawyer</w:t>
            </w:r>
            <w:r>
              <w:rPr>
                <w:szCs w:val="20"/>
                <w:lang w:val="en"/>
              </w:rPr>
              <w:t xml:space="preserve"> or</w:t>
            </w:r>
            <w:r w:rsidRPr="008F2B5A">
              <w:rPr>
                <w:szCs w:val="20"/>
                <w:lang w:val="en"/>
              </w:rPr>
              <w:t xml:space="preserve"> a psychologist. Mechanisms for providing such services will be developed in the first year of the grant</w:t>
            </w:r>
            <w:r>
              <w:rPr>
                <w:szCs w:val="20"/>
                <w:lang w:val="en"/>
              </w:rPr>
              <w:t>.</w:t>
            </w:r>
            <w:r w:rsidRPr="008F2B5A">
              <w:rPr>
                <w:szCs w:val="20"/>
                <w:lang w:val="en"/>
              </w:rPr>
              <w:t xml:space="preserve"> </w:t>
            </w:r>
            <w:r>
              <w:rPr>
                <w:szCs w:val="20"/>
                <w:lang w:val="en"/>
              </w:rPr>
              <w:t>V</w:t>
            </w:r>
            <w:r w:rsidRPr="008F2B5A">
              <w:rPr>
                <w:szCs w:val="20"/>
                <w:lang w:val="en"/>
              </w:rPr>
              <w:t xml:space="preserve">ending machines </w:t>
            </w:r>
            <w:r>
              <w:rPr>
                <w:szCs w:val="20"/>
                <w:lang w:val="en"/>
              </w:rPr>
              <w:t>that provide</w:t>
            </w:r>
            <w:r w:rsidRPr="008F2B5A">
              <w:rPr>
                <w:szCs w:val="20"/>
                <w:lang w:val="en"/>
              </w:rPr>
              <w:t xml:space="preserve"> </w:t>
            </w:r>
            <w:r>
              <w:rPr>
                <w:szCs w:val="20"/>
                <w:lang w:val="en"/>
              </w:rPr>
              <w:t xml:space="preserve">condoms, </w:t>
            </w:r>
            <w:r w:rsidRPr="008F2B5A">
              <w:rPr>
                <w:szCs w:val="20"/>
                <w:lang w:val="en"/>
              </w:rPr>
              <w:t xml:space="preserve">lubricants in addition to tests will be purchased and installed in attractive locations. Online outreach workers will </w:t>
            </w:r>
            <w:r>
              <w:rPr>
                <w:szCs w:val="20"/>
                <w:lang w:val="en"/>
              </w:rPr>
              <w:t xml:space="preserve">engage in Social Behavior Change Communication </w:t>
            </w:r>
            <w:r w:rsidRPr="008F2B5A">
              <w:rPr>
                <w:szCs w:val="20"/>
                <w:lang w:val="en"/>
              </w:rPr>
              <w:t>in various online groups and social networks to exp</w:t>
            </w:r>
            <w:r>
              <w:rPr>
                <w:szCs w:val="20"/>
                <w:lang w:val="en"/>
              </w:rPr>
              <w:t>and</w:t>
            </w:r>
            <w:r w:rsidRPr="008F2B5A">
              <w:rPr>
                <w:szCs w:val="20"/>
                <w:lang w:val="en"/>
              </w:rPr>
              <w:t xml:space="preserve"> the involvement of sex workers in programs.</w:t>
            </w:r>
          </w:p>
          <w:p w14:paraId="1F3625D0" w14:textId="4EAEF8A5" w:rsidR="003A35C9" w:rsidRPr="00E769B9" w:rsidRDefault="003A35C9" w:rsidP="0026062D">
            <w:pPr>
              <w:widowControl w:val="0"/>
              <w:jc w:val="both"/>
              <w:cnfStyle w:val="000000100000" w:firstRow="0" w:lastRow="0" w:firstColumn="0" w:lastColumn="0" w:oddVBand="0" w:evenVBand="0" w:oddHBand="1" w:evenHBand="0" w:firstRowFirstColumn="0" w:firstRowLastColumn="0" w:lastRowFirstColumn="0" w:lastRowLastColumn="0"/>
            </w:pPr>
            <w:r>
              <w:rPr>
                <w:lang w:val="en"/>
              </w:rPr>
              <w:t xml:space="preserve">The provision of condoms and lubricants for all SW groups will be done both </w:t>
            </w:r>
            <w:r w:rsidR="00867923">
              <w:rPr>
                <w:lang w:val="en"/>
              </w:rPr>
              <w:t>traditionally</w:t>
            </w:r>
            <w:r>
              <w:rPr>
                <w:lang w:val="en"/>
              </w:rPr>
              <w:t xml:space="preserve"> through outreach workers as well as through </w:t>
            </w:r>
            <w:r w:rsidR="00867923">
              <w:rPr>
                <w:lang w:val="en"/>
              </w:rPr>
              <w:t>vending</w:t>
            </w:r>
            <w:r>
              <w:rPr>
                <w:lang w:val="en"/>
              </w:rPr>
              <w:t xml:space="preserve"> machines. Access to </w:t>
            </w:r>
            <w:r w:rsidR="00E3452E">
              <w:rPr>
                <w:lang w:val="en"/>
              </w:rPr>
              <w:t>health products</w:t>
            </w:r>
            <w:r>
              <w:rPr>
                <w:lang w:val="en"/>
              </w:rPr>
              <w:t xml:space="preserve"> will be accompanied by counseling on safer sex and </w:t>
            </w:r>
            <w:r w:rsidR="00E3452E">
              <w:rPr>
                <w:lang w:val="en"/>
              </w:rPr>
              <w:t>SRH</w:t>
            </w:r>
            <w:r>
              <w:rPr>
                <w:lang w:val="en"/>
              </w:rPr>
              <w:t>, HIV, TB, STI, and hepatitis prevention and information.</w:t>
            </w:r>
          </w:p>
          <w:p w14:paraId="7B556D1B" w14:textId="72CCD015" w:rsidR="003A35C9" w:rsidRPr="00E769B9" w:rsidRDefault="006342DD" w:rsidP="0026062D">
            <w:pPr>
              <w:widowControl w:val="0"/>
              <w:jc w:val="both"/>
              <w:cnfStyle w:val="000000100000" w:firstRow="0" w:lastRow="0" w:firstColumn="0" w:lastColumn="0" w:oddVBand="0" w:evenVBand="0" w:oddHBand="1" w:evenHBand="0" w:firstRowFirstColumn="0" w:firstRowLastColumn="0" w:lastRowFirstColumn="0" w:lastRowLastColumn="0"/>
            </w:pPr>
            <w:r>
              <w:rPr>
                <w:lang w:val="en"/>
              </w:rPr>
              <w:t>I</w:t>
            </w:r>
            <w:r w:rsidR="003A35C9">
              <w:rPr>
                <w:lang w:val="en"/>
              </w:rPr>
              <w:t xml:space="preserve">nformational material will be developed or updated in the most appropriate format on topics demanded by </w:t>
            </w:r>
            <w:r w:rsidR="00823CE9">
              <w:rPr>
                <w:lang w:val="en"/>
              </w:rPr>
              <w:t>SW</w:t>
            </w:r>
            <w:r w:rsidR="003A35C9">
              <w:rPr>
                <w:lang w:val="en"/>
              </w:rPr>
              <w:t xml:space="preserve"> (short videos and text accompanied by clear illustrations). The needs of young </w:t>
            </w:r>
            <w:r w:rsidR="000909D7">
              <w:rPr>
                <w:lang w:val="en"/>
              </w:rPr>
              <w:t>SW</w:t>
            </w:r>
            <w:r w:rsidR="003A35C9">
              <w:rPr>
                <w:lang w:val="en"/>
              </w:rPr>
              <w:t xml:space="preserve"> (18-24) will be explored further (research), including more in-demand ways to communicate and receive services.</w:t>
            </w:r>
          </w:p>
          <w:p w14:paraId="1747AF21" w14:textId="30BCBFCB" w:rsidR="003A35C9" w:rsidRPr="00E769B9" w:rsidRDefault="000909D7" w:rsidP="0026062D">
            <w:pPr>
              <w:widowControl w:val="0"/>
              <w:jc w:val="both"/>
              <w:cnfStyle w:val="000000100000" w:firstRow="0" w:lastRow="0" w:firstColumn="0" w:lastColumn="0" w:oddVBand="0" w:evenVBand="0" w:oddHBand="1" w:evenHBand="0" w:firstRowFirstColumn="0" w:firstRowLastColumn="0" w:lastRowFirstColumn="0" w:lastRowLastColumn="0"/>
            </w:pPr>
            <w:r>
              <w:rPr>
                <w:lang w:val="en"/>
              </w:rPr>
              <w:t>SRH</w:t>
            </w:r>
            <w:r w:rsidR="003A35C9">
              <w:rPr>
                <w:lang w:val="en"/>
              </w:rPr>
              <w:t xml:space="preserve"> services will be expanded for all SWs in need, including regular free STI diagnosis and treatment, pregnancy testing, cervical cancer screening, community-based counseling and psychological support on </w:t>
            </w:r>
            <w:r w:rsidR="004E09BB">
              <w:rPr>
                <w:lang w:val="en"/>
              </w:rPr>
              <w:t>SRH</w:t>
            </w:r>
            <w:r w:rsidR="003A35C9">
              <w:rPr>
                <w:lang w:val="en"/>
              </w:rPr>
              <w:t xml:space="preserve">, violence. </w:t>
            </w:r>
            <w:r w:rsidR="004E09BB">
              <w:rPr>
                <w:lang w:val="en"/>
              </w:rPr>
              <w:t>R</w:t>
            </w:r>
            <w:r w:rsidR="003A35C9">
              <w:rPr>
                <w:lang w:val="en"/>
              </w:rPr>
              <w:t>eferral and individual support will be provided based on the basic needs and problems faced by SWs.</w:t>
            </w:r>
          </w:p>
          <w:p w14:paraId="34164474" w14:textId="77777777" w:rsidR="003A35C9" w:rsidRPr="00E769B9" w:rsidRDefault="003A35C9" w:rsidP="0026062D">
            <w:pPr>
              <w:widowControl w:val="0"/>
              <w:jc w:val="both"/>
              <w:cnfStyle w:val="000000100000" w:firstRow="0" w:lastRow="0" w:firstColumn="0" w:lastColumn="0" w:oddVBand="0" w:evenVBand="0" w:oddHBand="1" w:evenHBand="0" w:firstRowFirstColumn="0" w:firstRowLastColumn="0" w:lastRowFirstColumn="0" w:lastRowLastColumn="0"/>
            </w:pPr>
            <w:r w:rsidRPr="00E806B9">
              <w:rPr>
                <w:lang w:val="en"/>
              </w:rPr>
              <w:t>The components on overcoming legal barriers (module 12) and community mobilization (module 2) will continue to work on registering violations of rights and violence, addressing problems with identity documents, overcoming barriers to access social and health services.</w:t>
            </w:r>
          </w:p>
          <w:p w14:paraId="22601EF5" w14:textId="64EFD62B" w:rsidR="00BD1BDB" w:rsidRPr="00E769B9" w:rsidRDefault="00BD1BDB" w:rsidP="0026062D">
            <w:pPr>
              <w:widowControl w:val="0"/>
              <w:jc w:val="both"/>
              <w:cnfStyle w:val="000000100000" w:firstRow="0" w:lastRow="0" w:firstColumn="0" w:lastColumn="0" w:oddVBand="0" w:evenVBand="0" w:oddHBand="1" w:evenHBand="0" w:firstRowFirstColumn="0" w:firstRowLastColumn="0" w:lastRowFirstColumn="0" w:lastRowLastColumn="0"/>
            </w:pPr>
            <w:r>
              <w:rPr>
                <w:lang w:val="en"/>
              </w:rPr>
              <w:t>The knowledge of peer field workers and consultants will be continually updated for effective implementation of the program.</w:t>
            </w:r>
          </w:p>
          <w:p w14:paraId="5C9073FF" w14:textId="514FC109" w:rsidR="00BD1BDB" w:rsidRPr="00E769B9" w:rsidRDefault="00BD1BDB" w:rsidP="0026062D">
            <w:pPr>
              <w:widowControl w:val="0"/>
              <w:jc w:val="both"/>
              <w:cnfStyle w:val="000000100000" w:firstRow="0" w:lastRow="0" w:firstColumn="0" w:lastColumn="0" w:oddVBand="0" w:evenVBand="0" w:oddHBand="1" w:evenHBand="0" w:firstRowFirstColumn="0" w:firstRowLastColumn="0" w:lastRowFirstColumn="0" w:lastRowLastColumn="0"/>
            </w:pPr>
            <w:r>
              <w:rPr>
                <w:lang w:val="en"/>
              </w:rPr>
              <w:t xml:space="preserve">SW empowerment activities are an integral part of HIV prevention programs. These include meetings, events for important dates, and community capacity building. </w:t>
            </w:r>
          </w:p>
          <w:p w14:paraId="25B9C59D" w14:textId="05265100" w:rsidR="00662E6E" w:rsidRPr="00BD1BDB" w:rsidRDefault="00BD1BDB" w:rsidP="0026062D">
            <w:pPr>
              <w:pStyle w:val="Default"/>
              <w:widowControl w:val="0"/>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BD1BDB">
              <w:rPr>
                <w:sz w:val="22"/>
                <w:szCs w:val="22"/>
                <w:lang w:val="en"/>
              </w:rPr>
              <w:t xml:space="preserve">Regular surveys of community </w:t>
            </w:r>
            <w:proofErr w:type="gramStart"/>
            <w:r w:rsidRPr="00BD1BDB">
              <w:rPr>
                <w:sz w:val="22"/>
                <w:szCs w:val="22"/>
                <w:lang w:val="en"/>
              </w:rPr>
              <w:t>needs</w:t>
            </w:r>
            <w:proofErr w:type="gramEnd"/>
            <w:r w:rsidRPr="00BD1BDB">
              <w:rPr>
                <w:sz w:val="22"/>
                <w:szCs w:val="22"/>
                <w:lang w:val="en"/>
              </w:rPr>
              <w:t xml:space="preserve"> through national surveys and regular </w:t>
            </w:r>
            <w:r>
              <w:rPr>
                <w:sz w:val="22"/>
                <w:szCs w:val="22"/>
                <w:lang w:val="en"/>
              </w:rPr>
              <w:t>CLM</w:t>
            </w:r>
            <w:r w:rsidRPr="00BD1BDB">
              <w:rPr>
                <w:sz w:val="22"/>
                <w:szCs w:val="22"/>
                <w:lang w:val="en"/>
              </w:rPr>
              <w:t xml:space="preserve"> are necessary for timely program adjustments and the introduction of new directions recommended to improve the effectiveness of HIV programs </w:t>
            </w:r>
            <w:r>
              <w:rPr>
                <w:sz w:val="22"/>
                <w:szCs w:val="22"/>
                <w:lang w:val="en"/>
              </w:rPr>
              <w:t>for SWs</w:t>
            </w:r>
            <w:r w:rsidRPr="00BD1BDB">
              <w:rPr>
                <w:sz w:val="22"/>
                <w:szCs w:val="22"/>
                <w:lang w:val="en"/>
              </w:rPr>
              <w:t>.</w:t>
            </w:r>
          </w:p>
        </w:tc>
      </w:tr>
      <w:tr w:rsidR="00662E6E" w14:paraId="554E7686"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1A7C97E2"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069303DC" w14:textId="77777777" w:rsidR="002C7FA2" w:rsidRPr="00E769B9" w:rsidRDefault="002C7FA2" w:rsidP="0026062D">
            <w:pPr>
              <w:widowControl w:val="0"/>
              <w:jc w:val="both"/>
              <w:cnfStyle w:val="000000000000" w:firstRow="0" w:lastRow="0" w:firstColumn="0" w:lastColumn="0" w:oddVBand="0" w:evenVBand="0" w:oddHBand="0" w:evenHBand="0" w:firstRowFirstColumn="0" w:firstRowLastColumn="0" w:lastRowFirstColumn="0" w:lastRowLastColumn="0"/>
            </w:pPr>
            <w:r>
              <w:rPr>
                <w:lang w:val="en"/>
              </w:rPr>
              <w:t>Sex Workers Group: women, men, and trans sex workers and their clients.</w:t>
            </w:r>
          </w:p>
          <w:p w14:paraId="5107CE89" w14:textId="77777777" w:rsidR="002C7FA2" w:rsidRPr="00E769B9" w:rsidRDefault="002C7FA2" w:rsidP="0026062D">
            <w:pPr>
              <w:widowControl w:val="0"/>
              <w:jc w:val="both"/>
              <w:cnfStyle w:val="000000000000" w:firstRow="0" w:lastRow="0" w:firstColumn="0" w:lastColumn="0" w:oddVBand="0" w:evenVBand="0" w:oddHBand="0" w:evenHBand="0" w:firstRowFirstColumn="0" w:firstRowLastColumn="0" w:lastRowFirstColumn="0" w:lastRowLastColumn="0"/>
            </w:pPr>
            <w:r>
              <w:rPr>
                <w:lang w:val="en"/>
              </w:rPr>
              <w:t xml:space="preserve">Organizations will cover Bishkek, Chui region, </w:t>
            </w:r>
            <w:proofErr w:type="gramStart"/>
            <w:r>
              <w:rPr>
                <w:lang w:val="en"/>
              </w:rPr>
              <w:t>Talas</w:t>
            </w:r>
            <w:proofErr w:type="gramEnd"/>
            <w:r>
              <w:rPr>
                <w:lang w:val="en"/>
              </w:rPr>
              <w:t xml:space="preserve"> region, Jalal-Abad, Osh and Osh region, Issyk-Kul region, </w:t>
            </w:r>
            <w:proofErr w:type="spellStart"/>
            <w:r>
              <w:rPr>
                <w:lang w:val="en"/>
              </w:rPr>
              <w:t>Naryn</w:t>
            </w:r>
            <w:proofErr w:type="spellEnd"/>
            <w:r>
              <w:rPr>
                <w:lang w:val="en"/>
              </w:rPr>
              <w:t xml:space="preserve"> region.</w:t>
            </w:r>
          </w:p>
          <w:p w14:paraId="338B3FC7" w14:textId="4E39C2DD" w:rsidR="002C7FA2" w:rsidRPr="00E769B9" w:rsidRDefault="002C7FA2" w:rsidP="0026062D">
            <w:pPr>
              <w:widowControl w:val="0"/>
              <w:jc w:val="both"/>
              <w:cnfStyle w:val="000000000000" w:firstRow="0" w:lastRow="0" w:firstColumn="0" w:lastColumn="0" w:oddVBand="0" w:evenVBand="0" w:oddHBand="0" w:evenHBand="0" w:firstRowFirstColumn="0" w:firstRowLastColumn="0" w:lastRowFirstColumn="0" w:lastRowLastColumn="0"/>
            </w:pPr>
            <w:r>
              <w:rPr>
                <w:lang w:val="en"/>
              </w:rPr>
              <w:t xml:space="preserve">In 2019-2021, SW services coverage decreased by more than 40%, and according to the UNDP report (PUDR 2021) this situation was caused by police raids and the associated restriction of access to the group. The indicators declared in the previous country </w:t>
            </w:r>
            <w:r>
              <w:t>request</w:t>
            </w:r>
            <w:r w:rsidRPr="00D35B7C">
              <w:rPr>
                <w:lang w:val="en"/>
              </w:rPr>
              <w:t xml:space="preserve"> </w:t>
            </w:r>
            <w:r>
              <w:rPr>
                <w:lang w:val="en"/>
              </w:rPr>
              <w:t xml:space="preserve">were not achieved. At the same time, as noted above, supply and demand channels for sex services have changed significantly, with sex workers moving into the virtual space, which has significantly impacted on the access to the respective groups. Programs did not adapt sufficiently to the new conditions; online outreach began to develop only in the last period. The </w:t>
            </w:r>
            <w:r>
              <w:rPr>
                <w:lang w:val="en"/>
              </w:rPr>
              <w:lastRenderedPageBreak/>
              <w:t>current indicators, which focused on providing a minimum package of services through physical contact with the client, limited the ability to expand online services. There are discussions about verification of online service data and package changes.</w:t>
            </w:r>
          </w:p>
          <w:p w14:paraId="001A7F40" w14:textId="036898ED" w:rsidR="002C7FA2" w:rsidRPr="00E769B9" w:rsidRDefault="002C7FA2" w:rsidP="0026062D">
            <w:pPr>
              <w:widowControl w:val="0"/>
              <w:jc w:val="both"/>
              <w:cnfStyle w:val="000000000000" w:firstRow="0" w:lastRow="0" w:firstColumn="0" w:lastColumn="0" w:oddVBand="0" w:evenVBand="0" w:oddHBand="0" w:evenHBand="0" w:firstRowFirstColumn="0" w:firstRowLastColumn="0" w:lastRowFirstColumn="0" w:lastRowLastColumn="0"/>
            </w:pPr>
            <w:r>
              <w:rPr>
                <w:lang w:val="en"/>
              </w:rPr>
              <w:t xml:space="preserve">Since 1998, sex work has been decriminalized in Kyrgyzstan. Despite this, attacks on </w:t>
            </w:r>
            <w:r w:rsidR="001F4E54">
              <w:rPr>
                <w:lang w:val="en"/>
              </w:rPr>
              <w:t>SWs</w:t>
            </w:r>
            <w:r>
              <w:rPr>
                <w:lang w:val="en"/>
              </w:rPr>
              <w:t xml:space="preserve"> continue. </w:t>
            </w:r>
            <w:r w:rsidR="001F4E54">
              <w:rPr>
                <w:lang w:val="en"/>
              </w:rPr>
              <w:t>SWs</w:t>
            </w:r>
            <w:r>
              <w:rPr>
                <w:lang w:val="en"/>
              </w:rPr>
              <w:t xml:space="preserve"> are often </w:t>
            </w:r>
            <w:r w:rsidR="001F4E54">
              <w:rPr>
                <w:lang w:val="en"/>
              </w:rPr>
              <w:t xml:space="preserve">registered </w:t>
            </w:r>
            <w:r>
              <w:rPr>
                <w:lang w:val="en"/>
              </w:rPr>
              <w:t xml:space="preserve">and traced in digital databases, resulting in blackmailing and other types of violence. At the same time, </w:t>
            </w:r>
            <w:r w:rsidR="001F4E54">
              <w:rPr>
                <w:lang w:val="en"/>
              </w:rPr>
              <w:t>SWs</w:t>
            </w:r>
            <w:r>
              <w:rPr>
                <w:lang w:val="en"/>
              </w:rPr>
              <w:t xml:space="preserve"> tend not to seek protection due to fear of repeated violence, exhausting and lengthy investigations, humiliating treatment. They don’t trust in fairness of courts and investigations and are neglecting to disclose personal information during investigations.</w:t>
            </w:r>
          </w:p>
          <w:p w14:paraId="13907872" w14:textId="77777777" w:rsidR="002C7FA2" w:rsidRPr="00E769B9" w:rsidRDefault="002C7FA2" w:rsidP="0026062D">
            <w:pPr>
              <w:widowControl w:val="0"/>
              <w:jc w:val="both"/>
              <w:cnfStyle w:val="000000000000" w:firstRow="0" w:lastRow="0" w:firstColumn="0" w:lastColumn="0" w:oddVBand="0" w:evenVBand="0" w:oddHBand="0" w:evenHBand="0" w:firstRowFirstColumn="0" w:firstRowLastColumn="0" w:lastRowFirstColumn="0" w:lastRowLastColumn="0"/>
            </w:pPr>
            <w:r>
              <w:rPr>
                <w:lang w:val="en"/>
              </w:rPr>
              <w:t>Trans sex workers are the most persecuted group, against whom the most severe violence is committed. Video recording is often practiced, which is later used for threats and blackmailing and is being disseminated in social networks.</w:t>
            </w:r>
          </w:p>
          <w:p w14:paraId="286957C0" w14:textId="4C9EB4C9" w:rsidR="002C7FA2" w:rsidRPr="00E00884" w:rsidRDefault="002C7FA2" w:rsidP="0026062D">
            <w:pPr>
              <w:widowControl w:val="0"/>
              <w:jc w:val="both"/>
              <w:cnfStyle w:val="000000000000" w:firstRow="0" w:lastRow="0" w:firstColumn="0" w:lastColumn="0" w:oddVBand="0" w:evenVBand="0" w:oddHBand="0" w:evenHBand="0" w:firstRowFirstColumn="0" w:firstRowLastColumn="0" w:lastRowFirstColumn="0" w:lastRowLastColumn="0"/>
              <w:rPr>
                <w:lang w:val="en"/>
              </w:rPr>
            </w:pPr>
            <w:r w:rsidRPr="00E00884">
              <w:rPr>
                <w:lang w:val="en"/>
              </w:rPr>
              <w:t xml:space="preserve">One of the main needs of </w:t>
            </w:r>
            <w:r w:rsidR="00B562A0" w:rsidRPr="00E00884">
              <w:rPr>
                <w:lang w:val="en"/>
              </w:rPr>
              <w:t>SWs</w:t>
            </w:r>
            <w:r w:rsidRPr="00E00884">
              <w:rPr>
                <w:lang w:val="en"/>
              </w:rPr>
              <w:t xml:space="preserve"> is </w:t>
            </w:r>
            <w:r w:rsidR="00B562A0" w:rsidRPr="00E00884">
              <w:rPr>
                <w:lang w:val="en"/>
              </w:rPr>
              <w:t>SRH</w:t>
            </w:r>
            <w:r w:rsidRPr="00E00884">
              <w:rPr>
                <w:lang w:val="en"/>
              </w:rPr>
              <w:t xml:space="preserve"> services. </w:t>
            </w:r>
            <w:r w:rsidR="001B3298" w:rsidRPr="00E00884">
              <w:rPr>
                <w:lang w:val="en"/>
              </w:rPr>
              <w:t>SWs</w:t>
            </w:r>
            <w:r w:rsidRPr="00E00884">
              <w:rPr>
                <w:lang w:val="en"/>
              </w:rPr>
              <w:t xml:space="preserve">, even if they have documents and residence registration, will not go to health care facilities because of stigma and discrimination. In smaller cities they also fear disclosure of personal information. In </w:t>
            </w:r>
            <w:r w:rsidR="007F0552" w:rsidRPr="00E00884">
              <w:rPr>
                <w:lang w:val="en"/>
              </w:rPr>
              <w:t xml:space="preserve">public </w:t>
            </w:r>
            <w:r w:rsidR="004766B6" w:rsidRPr="00E00884">
              <w:rPr>
                <w:lang w:val="en"/>
              </w:rPr>
              <w:t>healthcare facilities</w:t>
            </w:r>
            <w:r w:rsidRPr="00E00884">
              <w:rPr>
                <w:lang w:val="en"/>
              </w:rPr>
              <w:t xml:space="preserve">, many doctors, once they know the client is a </w:t>
            </w:r>
            <w:r w:rsidR="00736EF9" w:rsidRPr="00E00884">
              <w:rPr>
                <w:lang w:val="en"/>
              </w:rPr>
              <w:t>SW</w:t>
            </w:r>
            <w:r w:rsidRPr="00E00884">
              <w:rPr>
                <w:lang w:val="en"/>
              </w:rPr>
              <w:t xml:space="preserve">, will have humiliating and abusive </w:t>
            </w:r>
            <w:r w:rsidR="00736EF9" w:rsidRPr="00E00884">
              <w:rPr>
                <w:lang w:val="en"/>
              </w:rPr>
              <w:t>attitude</w:t>
            </w:r>
            <w:r w:rsidRPr="00E00884">
              <w:rPr>
                <w:lang w:val="en"/>
              </w:rPr>
              <w:t xml:space="preserve"> or disclose personal information. As a result, </w:t>
            </w:r>
            <w:r w:rsidR="00736EF9" w:rsidRPr="00E00884">
              <w:rPr>
                <w:lang w:val="en"/>
              </w:rPr>
              <w:t>SWs</w:t>
            </w:r>
            <w:r w:rsidRPr="00E00884">
              <w:rPr>
                <w:lang w:val="en"/>
              </w:rPr>
              <w:t xml:space="preserve"> avoid using services at </w:t>
            </w:r>
            <w:r w:rsidR="007F0552" w:rsidRPr="00E00884">
              <w:rPr>
                <w:lang w:val="en"/>
              </w:rPr>
              <w:t>public healthcare facilities</w:t>
            </w:r>
            <w:r w:rsidRPr="00E00884">
              <w:rPr>
                <w:lang w:val="en"/>
              </w:rPr>
              <w:t xml:space="preserve">. Access to medical care is difficult due to the </w:t>
            </w:r>
            <w:r w:rsidR="007F0552" w:rsidRPr="00E00884">
              <w:rPr>
                <w:lang w:val="en"/>
              </w:rPr>
              <w:t xml:space="preserve">obligatory </w:t>
            </w:r>
            <w:r w:rsidRPr="00E00884">
              <w:rPr>
                <w:lang w:val="en"/>
              </w:rPr>
              <w:t xml:space="preserve">assignment of </w:t>
            </w:r>
            <w:r w:rsidR="007F0552" w:rsidRPr="00E00884">
              <w:rPr>
                <w:lang w:val="en"/>
              </w:rPr>
              <w:t>each citizen</w:t>
            </w:r>
            <w:r w:rsidRPr="00E00884">
              <w:rPr>
                <w:lang w:val="en"/>
              </w:rPr>
              <w:t xml:space="preserve"> to </w:t>
            </w:r>
            <w:r w:rsidR="007F0552" w:rsidRPr="00E00884">
              <w:t xml:space="preserve">a particular </w:t>
            </w:r>
            <w:r w:rsidRPr="00E00884">
              <w:rPr>
                <w:lang w:val="en"/>
              </w:rPr>
              <w:t>primary healthcare facilit</w:t>
            </w:r>
            <w:r w:rsidR="007F0552" w:rsidRPr="00E00884">
              <w:rPr>
                <w:lang w:val="en"/>
              </w:rPr>
              <w:t>y</w:t>
            </w:r>
            <w:r w:rsidRPr="00E00884">
              <w:rPr>
                <w:lang w:val="en"/>
              </w:rPr>
              <w:t>.</w:t>
            </w:r>
          </w:p>
          <w:p w14:paraId="38DB6F6D" w14:textId="241B6538" w:rsidR="00662E6E" w:rsidRPr="00771958" w:rsidRDefault="002C7FA2"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rPr>
            </w:pPr>
            <w:r w:rsidRPr="00E00884">
              <w:rPr>
                <w:sz w:val="22"/>
              </w:rPr>
              <w:t xml:space="preserve">Despite the </w:t>
            </w:r>
            <w:r w:rsidR="00E00884" w:rsidRPr="00E00884">
              <w:rPr>
                <w:sz w:val="22"/>
              </w:rPr>
              <w:t xml:space="preserve">formal </w:t>
            </w:r>
            <w:r w:rsidRPr="00E00884">
              <w:rPr>
                <w:sz w:val="22"/>
              </w:rPr>
              <w:t xml:space="preserve">absence of legal barriers, abusive practices by law enforcement officials limit </w:t>
            </w:r>
            <w:r w:rsidR="009C7650">
              <w:rPr>
                <w:sz w:val="22"/>
              </w:rPr>
              <w:t>SW</w:t>
            </w:r>
            <w:r w:rsidRPr="00E00884">
              <w:rPr>
                <w:sz w:val="22"/>
              </w:rPr>
              <w:t>' access to prevention, treatment and support programs.</w:t>
            </w:r>
          </w:p>
        </w:tc>
      </w:tr>
      <w:tr w:rsidR="00662E6E" w14:paraId="0C87778D"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25C8EC" w14:textId="77777777" w:rsidR="00662E6E" w:rsidRDefault="00662E6E" w:rsidP="0026062D">
            <w:pPr>
              <w:pStyle w:val="BodyText"/>
              <w:widowControl w:val="0"/>
              <w:spacing w:line="240" w:lineRule="auto"/>
            </w:pPr>
            <w:r>
              <w:lastRenderedPageBreak/>
              <w:t>Amount requested</w:t>
            </w:r>
          </w:p>
        </w:tc>
        <w:tc>
          <w:tcPr>
            <w:tcW w:w="12616" w:type="dxa"/>
          </w:tcPr>
          <w:p w14:paraId="4A99E232" w14:textId="073D5005" w:rsidR="00662E6E" w:rsidRPr="00771958" w:rsidRDefault="00156028"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$779,144</w:t>
            </w:r>
          </w:p>
        </w:tc>
      </w:tr>
      <w:tr w:rsidR="00662E6E" w14:paraId="5CC56C9F"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44021877" w14:textId="77777777" w:rsidR="00662E6E" w:rsidRDefault="00662E6E" w:rsidP="0026062D">
            <w:pPr>
              <w:pStyle w:val="BodyText"/>
              <w:widowControl w:val="0"/>
              <w:spacing w:line="240" w:lineRule="auto"/>
            </w:pPr>
            <w:r>
              <w:t>Expected outcome</w:t>
            </w:r>
          </w:p>
        </w:tc>
        <w:tc>
          <w:tcPr>
            <w:tcW w:w="12616" w:type="dxa"/>
          </w:tcPr>
          <w:p w14:paraId="709775D2" w14:textId="1928BA19" w:rsidR="00B5734B" w:rsidRPr="00E769B9" w:rsidRDefault="00B5734B"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sidRPr="00B141A1">
              <w:rPr>
                <w:sz w:val="22"/>
                <w:szCs w:val="20"/>
                <w:lang w:val="en"/>
              </w:rPr>
              <w:t xml:space="preserve">At least </w:t>
            </w:r>
            <w:r>
              <w:rPr>
                <w:sz w:val="22"/>
                <w:szCs w:val="20"/>
                <w:lang w:val="en"/>
              </w:rPr>
              <w:t>75</w:t>
            </w:r>
            <w:r w:rsidRPr="00B141A1">
              <w:rPr>
                <w:sz w:val="22"/>
                <w:szCs w:val="20"/>
                <w:lang w:val="en"/>
              </w:rPr>
              <w:t>% of SWs of the total population will be covered by the minimum package of services by 2026;</w:t>
            </w:r>
          </w:p>
          <w:p w14:paraId="1F716892" w14:textId="7D8FDDEA" w:rsidR="00662E6E" w:rsidRPr="002647DC" w:rsidRDefault="00B5734B"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Pr>
                <w:sz w:val="22"/>
                <w:szCs w:val="20"/>
                <w:lang w:val="en"/>
              </w:rPr>
              <w:t>At least 95% of SWs covered by the minimum package of services will be tested for HIV and know their result;</w:t>
            </w:r>
          </w:p>
        </w:tc>
      </w:tr>
    </w:tbl>
    <w:p w14:paraId="681D8F60" w14:textId="097814A7" w:rsidR="00FD52B3" w:rsidRDefault="00FD52B3"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147462BF"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139534" w14:textId="14D96578" w:rsidR="00662E6E" w:rsidRDefault="00662E6E" w:rsidP="0026062D">
            <w:pPr>
              <w:pStyle w:val="BodyText"/>
              <w:widowControl w:val="0"/>
              <w:spacing w:line="240" w:lineRule="auto"/>
            </w:pPr>
            <w:r>
              <w:t>Module #6</w:t>
            </w:r>
          </w:p>
        </w:tc>
        <w:tc>
          <w:tcPr>
            <w:tcW w:w="12616" w:type="dxa"/>
          </w:tcPr>
          <w:p w14:paraId="164FF4F0" w14:textId="4B2367D3" w:rsidR="00662E6E" w:rsidRPr="00FC2F4B" w:rsidRDefault="00FC2F4B"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FC2F4B">
              <w:rPr>
                <w:sz w:val="22"/>
                <w:szCs w:val="22"/>
              </w:rPr>
              <w:t>Prevention Package for Transgender People and their Sexual Partners</w:t>
            </w:r>
          </w:p>
        </w:tc>
      </w:tr>
      <w:tr w:rsidR="00662E6E" w14:paraId="5BE98B43"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FCFEC5" w14:textId="77777777" w:rsidR="00662E6E" w:rsidRDefault="00662E6E" w:rsidP="0026062D">
            <w:pPr>
              <w:pStyle w:val="BodyText"/>
              <w:widowControl w:val="0"/>
              <w:spacing w:line="240" w:lineRule="auto"/>
            </w:pPr>
            <w:r>
              <w:t>Intervention(s)</w:t>
            </w:r>
          </w:p>
        </w:tc>
        <w:tc>
          <w:tcPr>
            <w:tcW w:w="12616" w:type="dxa"/>
          </w:tcPr>
          <w:p w14:paraId="416859CE" w14:textId="77777777" w:rsidR="00662E6E" w:rsidRDefault="00FC2F4B"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b/>
                <w:bCs/>
                <w:sz w:val="22"/>
                <w:szCs w:val="22"/>
              </w:rPr>
            </w:pPr>
            <w:r w:rsidRPr="00C31014">
              <w:rPr>
                <w:b/>
                <w:bCs/>
                <w:sz w:val="22"/>
                <w:szCs w:val="22"/>
              </w:rPr>
              <w:t xml:space="preserve">Condom and lubricant </w:t>
            </w:r>
            <w:proofErr w:type="spellStart"/>
            <w:r w:rsidRPr="00C31014">
              <w:rPr>
                <w:b/>
                <w:bCs/>
                <w:sz w:val="22"/>
                <w:szCs w:val="22"/>
              </w:rPr>
              <w:t>programing</w:t>
            </w:r>
            <w:proofErr w:type="spellEnd"/>
            <w:r w:rsidRPr="00C31014">
              <w:rPr>
                <w:b/>
                <w:bCs/>
                <w:sz w:val="22"/>
                <w:szCs w:val="22"/>
              </w:rPr>
              <w:t xml:space="preserve"> for </w:t>
            </w:r>
            <w:r w:rsidR="00EE5221">
              <w:rPr>
                <w:b/>
                <w:bCs/>
                <w:sz w:val="22"/>
                <w:szCs w:val="22"/>
              </w:rPr>
              <w:t>TG</w:t>
            </w:r>
            <w:r w:rsidRPr="00C31014">
              <w:rPr>
                <w:b/>
                <w:bCs/>
                <w:sz w:val="22"/>
                <w:szCs w:val="22"/>
              </w:rPr>
              <w:t xml:space="preserve">; HIV prevention communication, information and demand creation for </w:t>
            </w:r>
            <w:r w:rsidR="00EE5221">
              <w:rPr>
                <w:b/>
                <w:bCs/>
                <w:sz w:val="22"/>
                <w:szCs w:val="22"/>
              </w:rPr>
              <w:t>TG</w:t>
            </w:r>
          </w:p>
          <w:p w14:paraId="70061878" w14:textId="391F3724" w:rsidR="00037CDC" w:rsidRPr="00E769B9" w:rsidRDefault="00037CDC" w:rsidP="0026062D">
            <w:pPr>
              <w:widowControl w:val="0"/>
              <w:jc w:val="both"/>
              <w:cnfStyle w:val="000000100000" w:firstRow="0" w:lastRow="0" w:firstColumn="0" w:lastColumn="0" w:oddVBand="0" w:evenVBand="0" w:oddHBand="1" w:evenHBand="0" w:firstRowFirstColumn="0" w:firstRowLastColumn="0" w:lastRowFirstColumn="0" w:lastRowLastColumn="0"/>
            </w:pPr>
            <w:r w:rsidRPr="0068067C">
              <w:rPr>
                <w:lang w:val="en"/>
              </w:rPr>
              <w:t xml:space="preserve">No </w:t>
            </w:r>
            <w:r>
              <w:rPr>
                <w:lang w:val="en"/>
              </w:rPr>
              <w:t>IBBS</w:t>
            </w:r>
            <w:r w:rsidRPr="0068067C">
              <w:rPr>
                <w:lang w:val="en"/>
              </w:rPr>
              <w:t xml:space="preserve"> has been conducted among </w:t>
            </w:r>
            <w:r>
              <w:rPr>
                <w:lang w:val="en"/>
              </w:rPr>
              <w:t>TG</w:t>
            </w:r>
            <w:r w:rsidRPr="0068067C">
              <w:rPr>
                <w:lang w:val="en"/>
              </w:rPr>
              <w:t xml:space="preserve"> and their partners in Kyrgyzstan, so one of the first tasks is to conduct such a study.</w:t>
            </w:r>
          </w:p>
          <w:p w14:paraId="21C92ACF" w14:textId="0DD2342A" w:rsidR="00AC02EB" w:rsidRDefault="00037CDC" w:rsidP="0026062D">
            <w:pPr>
              <w:widowControl w:val="0"/>
              <w:jc w:val="both"/>
              <w:cnfStyle w:val="000000100000" w:firstRow="0" w:lastRow="0" w:firstColumn="0" w:lastColumn="0" w:oddVBand="0" w:evenVBand="0" w:oddHBand="1" w:evenHBand="0" w:firstRowFirstColumn="0" w:firstRowLastColumn="0" w:lastRowFirstColumn="0" w:lastRowLastColumn="0"/>
              <w:rPr>
                <w:bCs/>
                <w:lang w:val="en"/>
              </w:rPr>
            </w:pPr>
            <w:r>
              <w:rPr>
                <w:bCs/>
                <w:lang w:val="en"/>
              </w:rPr>
              <w:t xml:space="preserve">At the same time, a pilot project has been underway for three years to increase TG involvement in prevention programs and build the capacity of the TG community. Given the progress in expanding the coverage of TG with prevention programs, the current </w:t>
            </w:r>
            <w:r w:rsidRPr="00D35B7C">
              <w:rPr>
                <w:bCs/>
                <w:lang w:val="en"/>
              </w:rPr>
              <w:t xml:space="preserve">request </w:t>
            </w:r>
            <w:r>
              <w:rPr>
                <w:bCs/>
                <w:lang w:val="en"/>
              </w:rPr>
              <w:t xml:space="preserve">will support the work of one NGO in Bishkek with an established base of clients, as well as an expansion of coverage to Osh. The coverage according to UNDP/GF program data for 2022 is 250 trans people. More than 20% of the counseling coverage will extend to social networks and other platforms with a focus on consumers of new </w:t>
            </w:r>
            <w:r w:rsidR="0070181B">
              <w:rPr>
                <w:bCs/>
                <w:lang w:val="en"/>
              </w:rPr>
              <w:t xml:space="preserve">PAS </w:t>
            </w:r>
            <w:r>
              <w:rPr>
                <w:bCs/>
                <w:lang w:val="en"/>
              </w:rPr>
              <w:t xml:space="preserve">from among TGs. Outreach workers will develop motivational and informational posts that will increase the attractiveness of project services among beneficiaries. Outreach workers will work to increase the attractiveness of project services, counseling and referral (80% coverage) for </w:t>
            </w:r>
            <w:r>
              <w:rPr>
                <w:bCs/>
                <w:lang w:val="en"/>
              </w:rPr>
              <w:lastRenderedPageBreak/>
              <w:t>diagnosis and treatment of STIs, R</w:t>
            </w:r>
            <w:r w:rsidR="0070181B">
              <w:rPr>
                <w:bCs/>
                <w:lang w:val="en"/>
              </w:rPr>
              <w:t>D</w:t>
            </w:r>
            <w:r>
              <w:rPr>
                <w:bCs/>
                <w:lang w:val="en"/>
              </w:rPr>
              <w:t xml:space="preserve">Ts for HIV, endocrinology services (laboratory diagnosis and endocrinologist consultation). Condoms and lubricants will continue to be provided, as well as a range of activities aimed at raising awareness and fostering positive changes in sexual practices. Proactive efforts to attract new clients to the </w:t>
            </w:r>
            <w:proofErr w:type="spellStart"/>
            <w:r w:rsidR="0070181B">
              <w:rPr>
                <w:bCs/>
                <w:lang w:val="en"/>
              </w:rPr>
              <w:t>PrEP</w:t>
            </w:r>
            <w:proofErr w:type="spellEnd"/>
            <w:r>
              <w:rPr>
                <w:bCs/>
                <w:lang w:val="en"/>
              </w:rPr>
              <w:t xml:space="preserve"> program will be continued</w:t>
            </w:r>
            <w:r w:rsidR="00606068">
              <w:rPr>
                <w:bCs/>
                <w:lang w:val="en"/>
              </w:rPr>
              <w:t xml:space="preserve"> (no separate indicator for TG, included under MSM component)</w:t>
            </w:r>
            <w:r>
              <w:rPr>
                <w:bCs/>
                <w:lang w:val="en"/>
              </w:rPr>
              <w:t>. Documentation of rights violations and community support and development activities will be continued as well.</w:t>
            </w:r>
          </w:p>
          <w:p w14:paraId="67EF592A" w14:textId="09872CAA" w:rsidR="00037CDC" w:rsidRPr="00E769B9" w:rsidRDefault="00037CDC" w:rsidP="0026062D">
            <w:pPr>
              <w:widowControl w:val="0"/>
              <w:jc w:val="both"/>
              <w:cnfStyle w:val="000000100000" w:firstRow="0" w:lastRow="0" w:firstColumn="0" w:lastColumn="0" w:oddVBand="0" w:evenVBand="0" w:oddHBand="1" w:evenHBand="0" w:firstRowFirstColumn="0" w:firstRowLastColumn="0" w:lastRowFirstColumn="0" w:lastRowLastColumn="0"/>
              <w:rPr>
                <w:bCs/>
              </w:rPr>
            </w:pPr>
            <w:r>
              <w:rPr>
                <w:bCs/>
                <w:lang w:val="en"/>
              </w:rPr>
              <w:t>The c</w:t>
            </w:r>
            <w:r w:rsidRPr="00B64988">
              <w:rPr>
                <w:bCs/>
                <w:lang w:val="en"/>
              </w:rPr>
              <w:t xml:space="preserve">omponent on overcoming legal barriers (module 12) and community mobilization (module 2) will support the promotion of the implementation of TRANSIT guidelines on community mobilization, active involvement in decision-making processes, institutional support for action groups. Once a year, a </w:t>
            </w:r>
            <w:r>
              <w:rPr>
                <w:bCs/>
                <w:lang w:val="en"/>
              </w:rPr>
              <w:t xml:space="preserve">training </w:t>
            </w:r>
            <w:r w:rsidRPr="00B64988">
              <w:rPr>
                <w:bCs/>
                <w:lang w:val="en"/>
              </w:rPr>
              <w:t>camp will be organized to mobilize the community, enhance its capacity, and cultivate leadership skills.</w:t>
            </w:r>
          </w:p>
          <w:p w14:paraId="37C6AD0D" w14:textId="22D395AF" w:rsidR="00EE5221" w:rsidRPr="00AC02EB" w:rsidRDefault="00037CDC"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sz w:val="22"/>
                <w:szCs w:val="22"/>
              </w:rPr>
            </w:pPr>
            <w:r w:rsidRPr="00AC02EB">
              <w:rPr>
                <w:bCs/>
                <w:sz w:val="22"/>
                <w:szCs w:val="22"/>
                <w:lang w:val="en"/>
              </w:rPr>
              <w:t xml:space="preserve">Efforts will continue to ensure that human rights-related barriers to TB prevention are eliminated. The Street Lawyers program and the use of </w:t>
            </w:r>
            <w:proofErr w:type="spellStart"/>
            <w:r w:rsidRPr="00AC02EB">
              <w:rPr>
                <w:bCs/>
                <w:sz w:val="22"/>
                <w:szCs w:val="22"/>
                <w:lang w:val="en"/>
              </w:rPr>
              <w:t>REAct's</w:t>
            </w:r>
            <w:proofErr w:type="spellEnd"/>
            <w:r w:rsidRPr="00AC02EB">
              <w:rPr>
                <w:bCs/>
                <w:sz w:val="22"/>
                <w:szCs w:val="22"/>
                <w:lang w:val="en"/>
              </w:rPr>
              <w:t xml:space="preserve"> electronic documentation system will continue to document cases of rights violations and provide legal assistance through paralegals and attorneys. Advocacy for the adoption of an anti-discrimination law with the inclusion of SOGI, strengthening the component of interaction with medical specialists on pseudo-disease promotion, and improving the service of HRT.</w:t>
            </w:r>
          </w:p>
        </w:tc>
      </w:tr>
      <w:tr w:rsidR="00662E6E" w14:paraId="5B24003E"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29906461"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0CD64B78" w14:textId="77777777" w:rsidR="008F6107" w:rsidRPr="00E769B9" w:rsidRDefault="008F6107"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bCs/>
                <w:sz w:val="22"/>
                <w:szCs w:val="20"/>
                <w:lang w:val="en-US"/>
              </w:rPr>
            </w:pPr>
            <w:r>
              <w:rPr>
                <w:bCs/>
                <w:sz w:val="22"/>
                <w:szCs w:val="20"/>
                <w:lang w:val="en"/>
              </w:rPr>
              <w:t>Transgender people and their sexual partners</w:t>
            </w:r>
          </w:p>
          <w:p w14:paraId="1419EEAC" w14:textId="77777777" w:rsidR="008F6107" w:rsidRPr="00E769B9" w:rsidRDefault="008F6107"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bCs/>
                <w:sz w:val="22"/>
                <w:szCs w:val="20"/>
                <w:lang w:val="en-US"/>
              </w:rPr>
            </w:pPr>
            <w:r>
              <w:rPr>
                <w:bCs/>
                <w:sz w:val="22"/>
                <w:szCs w:val="20"/>
                <w:lang w:val="en"/>
              </w:rPr>
              <w:t>Kyrgyz Republic.</w:t>
            </w:r>
          </w:p>
          <w:p w14:paraId="2367AB51" w14:textId="43E1DE8F" w:rsidR="00662E6E" w:rsidRPr="00FC2F4B" w:rsidRDefault="008F6107"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rPr>
            </w:pPr>
            <w:r w:rsidRPr="004F4FEA">
              <w:rPr>
                <w:sz w:val="22"/>
                <w:szCs w:val="20"/>
                <w:lang w:val="en"/>
              </w:rPr>
              <w:t>The prevalence of HIV in the TG group is estimated to be 19% in 2021</w:t>
            </w:r>
            <w:r>
              <w:rPr>
                <w:sz w:val="22"/>
                <w:szCs w:val="20"/>
                <w:lang w:val="en"/>
              </w:rPr>
              <w:t xml:space="preserve"> (preliminary UNDP data)</w:t>
            </w:r>
            <w:r w:rsidRPr="004F4FEA">
              <w:rPr>
                <w:sz w:val="22"/>
                <w:szCs w:val="20"/>
                <w:lang w:val="en"/>
              </w:rPr>
              <w:t xml:space="preserve">. The estimated number of the group is 300 people, but these are estimated figures (the coverage of preventive services according to UNDP is 250 people). There is a high number of trans </w:t>
            </w:r>
            <w:r>
              <w:rPr>
                <w:sz w:val="22"/>
                <w:szCs w:val="20"/>
                <w:lang w:val="en"/>
              </w:rPr>
              <w:t>female SWs</w:t>
            </w:r>
            <w:r w:rsidRPr="004F4FEA">
              <w:rPr>
                <w:sz w:val="22"/>
                <w:szCs w:val="20"/>
                <w:lang w:val="en"/>
              </w:rPr>
              <w:t xml:space="preserve">. At the moment, prevention programs for TG are implemented only by </w:t>
            </w:r>
            <w:r>
              <w:rPr>
                <w:sz w:val="22"/>
                <w:szCs w:val="20"/>
                <w:lang w:val="en"/>
              </w:rPr>
              <w:t>NGOs</w:t>
            </w:r>
            <w:r w:rsidRPr="004F4FEA">
              <w:rPr>
                <w:sz w:val="22"/>
                <w:szCs w:val="20"/>
                <w:lang w:val="en"/>
              </w:rPr>
              <w:t xml:space="preserve"> in Bishkek and Osh</w:t>
            </w:r>
            <w:r>
              <w:rPr>
                <w:sz w:val="22"/>
                <w:szCs w:val="20"/>
                <w:lang w:val="en"/>
              </w:rPr>
              <w:t xml:space="preserve"> city</w:t>
            </w:r>
            <w:r w:rsidRPr="004F4FEA">
              <w:rPr>
                <w:sz w:val="22"/>
                <w:szCs w:val="20"/>
                <w:lang w:val="en"/>
              </w:rPr>
              <w:t xml:space="preserve">. </w:t>
            </w:r>
            <w:r>
              <w:rPr>
                <w:sz w:val="22"/>
                <w:szCs w:val="20"/>
                <w:lang w:val="en"/>
              </w:rPr>
              <w:t xml:space="preserve">Due to the </w:t>
            </w:r>
            <w:r w:rsidRPr="004F4FEA">
              <w:rPr>
                <w:sz w:val="22"/>
                <w:szCs w:val="20"/>
                <w:lang w:val="en"/>
              </w:rPr>
              <w:t>high levels of stigma and discrimination</w:t>
            </w:r>
            <w:r>
              <w:rPr>
                <w:sz w:val="22"/>
                <w:szCs w:val="20"/>
                <w:lang w:val="en"/>
              </w:rPr>
              <w:t>, s</w:t>
            </w:r>
            <w:r w:rsidRPr="004F4FEA">
              <w:rPr>
                <w:sz w:val="22"/>
                <w:szCs w:val="20"/>
                <w:lang w:val="en"/>
              </w:rPr>
              <w:t xml:space="preserve">ome TGs remain inaccessible to programs and continue risky behavior. A number of health and social services </w:t>
            </w:r>
            <w:r>
              <w:rPr>
                <w:sz w:val="22"/>
                <w:szCs w:val="20"/>
                <w:lang w:val="en"/>
              </w:rPr>
              <w:t xml:space="preserve">are difficult to </w:t>
            </w:r>
            <w:r w:rsidRPr="004F4FEA">
              <w:rPr>
                <w:sz w:val="22"/>
                <w:szCs w:val="20"/>
                <w:lang w:val="en"/>
              </w:rPr>
              <w:t xml:space="preserve">access </w:t>
            </w:r>
            <w:r>
              <w:rPr>
                <w:sz w:val="22"/>
                <w:szCs w:val="20"/>
                <w:lang w:val="en"/>
              </w:rPr>
              <w:t xml:space="preserve">for TG </w:t>
            </w:r>
            <w:r w:rsidRPr="004F4FEA">
              <w:rPr>
                <w:sz w:val="22"/>
                <w:szCs w:val="20"/>
                <w:lang w:val="en"/>
              </w:rPr>
              <w:t xml:space="preserve">due to low living standards, stigma, and discrimination. Services offered in the programs do not always meet the needs of TGs and they are </w:t>
            </w:r>
            <w:r>
              <w:rPr>
                <w:sz w:val="22"/>
                <w:szCs w:val="20"/>
                <w:lang w:val="en"/>
              </w:rPr>
              <w:t xml:space="preserve">often </w:t>
            </w:r>
            <w:r w:rsidRPr="004F4FEA">
              <w:rPr>
                <w:sz w:val="22"/>
                <w:szCs w:val="20"/>
                <w:lang w:val="en"/>
              </w:rPr>
              <w:t>not motivated to participate. MSM/TG communities and organizations are periodically attacked by conservative sectors of society, forcing activists and organization staff to change their places of residence, offices and shelters in order to be safe.</w:t>
            </w:r>
          </w:p>
        </w:tc>
      </w:tr>
      <w:tr w:rsidR="00662E6E" w14:paraId="7E85BD17"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2A1EBF" w14:textId="77777777" w:rsidR="00662E6E" w:rsidRDefault="00662E6E" w:rsidP="0026062D">
            <w:pPr>
              <w:pStyle w:val="BodyText"/>
              <w:widowControl w:val="0"/>
              <w:spacing w:line="240" w:lineRule="auto"/>
            </w:pPr>
            <w:r>
              <w:t>Amount requested</w:t>
            </w:r>
          </w:p>
        </w:tc>
        <w:tc>
          <w:tcPr>
            <w:tcW w:w="12616" w:type="dxa"/>
          </w:tcPr>
          <w:p w14:paraId="5DEA3F28" w14:textId="2FAFB81B" w:rsidR="00662E6E" w:rsidRPr="00FC2F4B" w:rsidRDefault="00EB3833"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$83,093</w:t>
            </w:r>
          </w:p>
        </w:tc>
      </w:tr>
      <w:tr w:rsidR="00662E6E" w14:paraId="78573110"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6BB41A35" w14:textId="77777777" w:rsidR="00662E6E" w:rsidRDefault="00662E6E" w:rsidP="0026062D">
            <w:pPr>
              <w:pStyle w:val="BodyText"/>
              <w:widowControl w:val="0"/>
              <w:spacing w:line="240" w:lineRule="auto"/>
            </w:pPr>
            <w:r>
              <w:t>Expected outcome</w:t>
            </w:r>
          </w:p>
        </w:tc>
        <w:tc>
          <w:tcPr>
            <w:tcW w:w="12616" w:type="dxa"/>
          </w:tcPr>
          <w:p w14:paraId="656A216D" w14:textId="77777777" w:rsidR="00EB3833" w:rsidRPr="00E769B9" w:rsidRDefault="00EB3833"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At least 95% of TGs of the total population will be covered by the minimum package of services by 2026;</w:t>
            </w:r>
          </w:p>
          <w:p w14:paraId="775E5105" w14:textId="00B839EC" w:rsidR="00662E6E" w:rsidRPr="00EB3833" w:rsidRDefault="00EB3833"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At least 95% of TG's covered by the minimum package of services will be tested for HIV and will know their result</w:t>
            </w:r>
          </w:p>
        </w:tc>
      </w:tr>
    </w:tbl>
    <w:p w14:paraId="5EBCF41A" w14:textId="4B5BA79C"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7633FBCA"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0F7660" w14:textId="79A4BA2E" w:rsidR="00662E6E" w:rsidRDefault="00662E6E" w:rsidP="0026062D">
            <w:pPr>
              <w:pStyle w:val="BodyText"/>
              <w:widowControl w:val="0"/>
              <w:spacing w:line="240" w:lineRule="auto"/>
            </w:pPr>
            <w:r>
              <w:t>Module #7</w:t>
            </w:r>
          </w:p>
        </w:tc>
        <w:tc>
          <w:tcPr>
            <w:tcW w:w="12616" w:type="dxa"/>
          </w:tcPr>
          <w:p w14:paraId="443D13F8" w14:textId="307337B1" w:rsidR="00662E6E" w:rsidRPr="00701DBA" w:rsidRDefault="00701DBA"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701DBA">
              <w:rPr>
                <w:sz w:val="22"/>
                <w:szCs w:val="22"/>
              </w:rPr>
              <w:t>Prevention Package for People Who Use Drugs (PUD) (injecting and non-injecting) and their Sexual Partners</w:t>
            </w:r>
          </w:p>
        </w:tc>
      </w:tr>
      <w:tr w:rsidR="00662E6E" w14:paraId="71CDE7C2"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4F6766" w14:textId="77777777" w:rsidR="00662E6E" w:rsidRDefault="00662E6E" w:rsidP="0026062D">
            <w:pPr>
              <w:pStyle w:val="BodyText"/>
              <w:widowControl w:val="0"/>
              <w:spacing w:line="240" w:lineRule="auto"/>
            </w:pPr>
            <w:r>
              <w:lastRenderedPageBreak/>
              <w:t>Intervention(s)</w:t>
            </w:r>
          </w:p>
        </w:tc>
        <w:tc>
          <w:tcPr>
            <w:tcW w:w="12616" w:type="dxa"/>
          </w:tcPr>
          <w:p w14:paraId="78FDC923" w14:textId="77777777" w:rsidR="00662E6E" w:rsidRDefault="00243A05"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b/>
                <w:bCs/>
                <w:sz w:val="22"/>
                <w:szCs w:val="22"/>
              </w:rPr>
            </w:pPr>
            <w:r w:rsidRPr="00243A05">
              <w:rPr>
                <w:b/>
                <w:bCs/>
                <w:sz w:val="22"/>
                <w:szCs w:val="22"/>
              </w:rPr>
              <w:t>Needle and syringe programs for PWID; Opioid substitution therapy and other medically assisted drug dependence treatment for PWID; Sexual and reproductive health services, including STIs, hepatitis, post-violence care for PUD</w:t>
            </w:r>
          </w:p>
          <w:p w14:paraId="2D4766FD" w14:textId="46F80D5C"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E1A24">
              <w:rPr>
                <w:rFonts w:ascii="Arial" w:eastAsia="Arial" w:hAnsi="Arial" w:cs="Arial"/>
                <w:lang w:val="en"/>
              </w:rPr>
              <w:t xml:space="preserve">According to </w:t>
            </w:r>
            <w:r>
              <w:rPr>
                <w:rFonts w:ascii="Arial" w:eastAsia="Arial" w:hAnsi="Arial" w:cs="Arial"/>
                <w:lang w:val="en"/>
              </w:rPr>
              <w:t>IBBS</w:t>
            </w:r>
            <w:r w:rsidRPr="005E1A24">
              <w:rPr>
                <w:rFonts w:ascii="Arial" w:eastAsia="Arial" w:hAnsi="Arial" w:cs="Arial"/>
                <w:lang w:val="en"/>
              </w:rPr>
              <w:t xml:space="preserve"> data from 2021, HIV prevalence among PWUD </w:t>
            </w:r>
            <w:r w:rsidR="00FA4086">
              <w:rPr>
                <w:rFonts w:ascii="Arial" w:eastAsia="Arial" w:hAnsi="Arial" w:cs="Arial"/>
                <w:lang w:val="en"/>
              </w:rPr>
              <w:t>is</w:t>
            </w:r>
            <w:r w:rsidRPr="005E1A24">
              <w:rPr>
                <w:rFonts w:ascii="Arial" w:eastAsia="Arial" w:hAnsi="Arial" w:cs="Arial"/>
                <w:lang w:val="en"/>
              </w:rPr>
              <w:t xml:space="preserve"> 16.5</w:t>
            </w:r>
            <w:r>
              <w:rPr>
                <w:rStyle w:val="FootnoteReference"/>
                <w:rFonts w:ascii="Arial" w:eastAsia="Arial" w:hAnsi="Arial" w:cs="Arial"/>
                <w:lang w:val="en"/>
              </w:rPr>
              <w:footnoteReference w:id="27"/>
            </w:r>
            <w:r w:rsidR="00FA4086">
              <w:rPr>
                <w:rFonts w:ascii="Arial" w:eastAsia="Arial" w:hAnsi="Arial" w:cs="Arial"/>
                <w:lang w:val="en"/>
              </w:rPr>
              <w:t>% (</w:t>
            </w:r>
            <w:r w:rsidRPr="005E1A24">
              <w:rPr>
                <w:rFonts w:ascii="Arial" w:eastAsia="Arial" w:hAnsi="Arial" w:cs="Arial"/>
                <w:lang w:val="en"/>
              </w:rPr>
              <w:t>14.3</w:t>
            </w:r>
            <w:r w:rsidR="00FA4086">
              <w:rPr>
                <w:rFonts w:ascii="Arial" w:eastAsia="Arial" w:hAnsi="Arial" w:cs="Arial"/>
                <w:lang w:val="en"/>
              </w:rPr>
              <w:t>%</w:t>
            </w:r>
            <w:r w:rsidRPr="005E1A24">
              <w:rPr>
                <w:rFonts w:ascii="Arial" w:eastAsia="Arial" w:hAnsi="Arial" w:cs="Arial"/>
                <w:lang w:val="en"/>
              </w:rPr>
              <w:t xml:space="preserve"> in 2016</w:t>
            </w:r>
            <w:r w:rsidR="00FA4086">
              <w:rPr>
                <w:rFonts w:ascii="Arial" w:eastAsia="Arial" w:hAnsi="Arial" w:cs="Arial"/>
                <w:lang w:val="en"/>
              </w:rPr>
              <w:t>)</w:t>
            </w:r>
            <w:r w:rsidRPr="005E1A24">
              <w:rPr>
                <w:rFonts w:ascii="Arial" w:eastAsia="Arial" w:hAnsi="Arial" w:cs="Arial"/>
                <w:lang w:val="en"/>
              </w:rPr>
              <w:t>. It is estimated that the drug scene in the country is changing, with an increase in the proportion of NP</w:t>
            </w:r>
            <w:r w:rsidR="001256F3">
              <w:rPr>
                <w:rFonts w:ascii="Arial" w:eastAsia="Arial" w:hAnsi="Arial" w:cs="Arial"/>
                <w:lang w:val="en"/>
              </w:rPr>
              <w:t>A</w:t>
            </w:r>
            <w:r w:rsidRPr="005E1A24">
              <w:rPr>
                <w:rFonts w:ascii="Arial" w:eastAsia="Arial" w:hAnsi="Arial" w:cs="Arial"/>
                <w:lang w:val="en"/>
              </w:rPr>
              <w:t>S users</w:t>
            </w:r>
            <w:r>
              <w:rPr>
                <w:rStyle w:val="FootnoteReference"/>
                <w:rFonts w:ascii="Arial" w:eastAsia="Arial" w:hAnsi="Arial" w:cs="Arial"/>
                <w:lang w:val="ru-RU"/>
              </w:rPr>
              <w:footnoteReference w:id="28"/>
            </w:r>
            <w:r w:rsidRPr="005E1A24">
              <w:rPr>
                <w:rFonts w:ascii="Arial" w:eastAsia="Arial" w:hAnsi="Arial" w:cs="Arial"/>
                <w:lang w:val="en"/>
              </w:rPr>
              <w:t xml:space="preserve">. Due to the changing drug scene and the lack of reliable population data, earlier PWID counts (2012) </w:t>
            </w:r>
            <w:r>
              <w:rPr>
                <w:rFonts w:ascii="Arial" w:eastAsia="Arial" w:hAnsi="Arial" w:cs="Arial"/>
                <w:lang w:val="en"/>
              </w:rPr>
              <w:t>don’t provide a correct baseline anymore.</w:t>
            </w:r>
            <w:r w:rsidRPr="005E1A24">
              <w:rPr>
                <w:rFonts w:ascii="Arial" w:eastAsia="Arial" w:hAnsi="Arial" w:cs="Arial"/>
                <w:lang w:val="en"/>
              </w:rPr>
              <w:t xml:space="preserve"> GF grant program data for 2022 shows coverage of 17,379 PWID. Extrapolations </w:t>
            </w:r>
            <w:r w:rsidR="001256F3">
              <w:rPr>
                <w:rFonts w:ascii="Arial" w:eastAsia="Arial" w:hAnsi="Arial" w:cs="Arial"/>
                <w:lang w:val="en"/>
              </w:rPr>
              <w:t>done for CDC-funded IBBS 2021,</w:t>
            </w:r>
            <w:r w:rsidRPr="005E1A24">
              <w:rPr>
                <w:rFonts w:ascii="Arial" w:eastAsia="Arial" w:hAnsi="Arial" w:cs="Arial"/>
                <w:lang w:val="en"/>
              </w:rPr>
              <w:t xml:space="preserve"> suggest PWID populations ranging from 11,217 to 17,809</w:t>
            </w:r>
            <w:r w:rsidR="001256F3">
              <w:rPr>
                <w:rFonts w:ascii="Arial" w:eastAsia="Arial" w:hAnsi="Arial" w:cs="Arial"/>
                <w:lang w:val="en"/>
              </w:rPr>
              <w:t xml:space="preserve"> (CDC data)</w:t>
            </w:r>
            <w:r w:rsidRPr="005E1A24">
              <w:rPr>
                <w:rFonts w:ascii="Arial" w:eastAsia="Arial" w:hAnsi="Arial" w:cs="Arial"/>
                <w:lang w:val="en"/>
              </w:rPr>
              <w:t xml:space="preserve">. However, the study did not include </w:t>
            </w:r>
            <w:r w:rsidR="001256F3">
              <w:rPr>
                <w:rFonts w:ascii="Arial" w:eastAsia="Arial" w:hAnsi="Arial" w:cs="Arial"/>
                <w:lang w:val="en"/>
              </w:rPr>
              <w:t>NPAS</w:t>
            </w:r>
            <w:r w:rsidRPr="005E1A24">
              <w:rPr>
                <w:rFonts w:ascii="Arial" w:eastAsia="Arial" w:hAnsi="Arial" w:cs="Arial"/>
                <w:lang w:val="en"/>
              </w:rPr>
              <w:t xml:space="preserve"> users and young drug users</w:t>
            </w:r>
            <w:r>
              <w:rPr>
                <w:rFonts w:ascii="Arial" w:eastAsia="Arial" w:hAnsi="Arial" w:cs="Arial"/>
                <w:lang w:val="en"/>
              </w:rPr>
              <w:t>.</w:t>
            </w:r>
            <w:r w:rsidRPr="005E1A24">
              <w:rPr>
                <w:rFonts w:ascii="Arial" w:eastAsia="Arial" w:hAnsi="Arial" w:cs="Arial"/>
                <w:lang w:val="en"/>
              </w:rPr>
              <w:t xml:space="preserve"> </w:t>
            </w:r>
            <w:r w:rsidR="001256F3">
              <w:rPr>
                <w:rFonts w:ascii="Arial" w:eastAsia="Arial" w:hAnsi="Arial" w:cs="Arial"/>
                <w:lang w:val="en"/>
              </w:rPr>
              <w:t>Following</w:t>
            </w:r>
            <w:r w:rsidRPr="005E1A24">
              <w:rPr>
                <w:rFonts w:ascii="Arial" w:eastAsia="Arial" w:hAnsi="Arial" w:cs="Arial"/>
                <w:lang w:val="en"/>
              </w:rPr>
              <w:t xml:space="preserve"> significant changes in the drug scene, the exclusion of </w:t>
            </w:r>
            <w:r w:rsidR="001256F3">
              <w:rPr>
                <w:rFonts w:ascii="Arial" w:eastAsia="Arial" w:hAnsi="Arial" w:cs="Arial"/>
                <w:lang w:val="en"/>
              </w:rPr>
              <w:t>NPAS</w:t>
            </w:r>
            <w:r w:rsidRPr="005E1A24">
              <w:rPr>
                <w:rFonts w:ascii="Arial" w:eastAsia="Arial" w:hAnsi="Arial" w:cs="Arial"/>
                <w:lang w:val="en"/>
              </w:rPr>
              <w:t xml:space="preserve"> users does not allow a reliable </w:t>
            </w:r>
            <w:r w:rsidR="001256F3">
              <w:rPr>
                <w:rFonts w:ascii="Arial" w:eastAsia="Arial" w:hAnsi="Arial" w:cs="Arial"/>
                <w:lang w:val="en"/>
              </w:rPr>
              <w:t>PSE</w:t>
            </w:r>
            <w:r w:rsidRPr="005E1A24">
              <w:rPr>
                <w:rFonts w:ascii="Arial" w:eastAsia="Arial" w:hAnsi="Arial" w:cs="Arial"/>
                <w:lang w:val="en"/>
              </w:rPr>
              <w:t xml:space="preserve"> of all PWUD. In light of the above, discussions continue about a reliable </w:t>
            </w:r>
            <w:r w:rsidR="001256F3">
              <w:rPr>
                <w:rFonts w:ascii="Arial" w:eastAsia="Arial" w:hAnsi="Arial" w:cs="Arial"/>
                <w:lang w:val="en"/>
              </w:rPr>
              <w:t xml:space="preserve">PWUD PSE </w:t>
            </w:r>
            <w:r w:rsidRPr="005E1A24">
              <w:rPr>
                <w:rFonts w:ascii="Arial" w:eastAsia="Arial" w:hAnsi="Arial" w:cs="Arial"/>
                <w:lang w:val="en"/>
              </w:rPr>
              <w:t>estimate and a reassessment of the population will be conducted in 2024 with PEPFAR support (co-</w:t>
            </w:r>
            <w:r w:rsidRPr="007F0E03">
              <w:rPr>
                <w:rFonts w:ascii="Arial" w:eastAsia="Arial" w:hAnsi="Arial" w:cs="Arial"/>
                <w:lang w:val="en"/>
              </w:rPr>
              <w:t>financing</w:t>
            </w:r>
            <w:r w:rsidRPr="005E1A24">
              <w:rPr>
                <w:rFonts w:ascii="Arial" w:eastAsia="Arial" w:hAnsi="Arial" w:cs="Arial"/>
                <w:lang w:val="en"/>
              </w:rPr>
              <w:t xml:space="preserve">) that will streamline the indicators in this grant. Prior to the study, the UNDP program data of 17,379 PWUD </w:t>
            </w:r>
            <w:r w:rsidR="001256F3">
              <w:rPr>
                <w:rFonts w:ascii="Arial" w:eastAsia="Arial" w:hAnsi="Arial" w:cs="Arial"/>
                <w:lang w:val="en"/>
              </w:rPr>
              <w:t>is</w:t>
            </w:r>
            <w:r w:rsidRPr="005E1A24">
              <w:rPr>
                <w:rFonts w:ascii="Arial" w:eastAsia="Arial" w:hAnsi="Arial" w:cs="Arial"/>
                <w:lang w:val="en"/>
              </w:rPr>
              <w:t xml:space="preserve"> taken as the basis.</w:t>
            </w:r>
          </w:p>
          <w:p w14:paraId="2746D127" w14:textId="1FD07663"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lang w:val="en"/>
              </w:rPr>
              <w:t xml:space="preserve">Routine data from </w:t>
            </w:r>
            <w:r w:rsidR="00AC7AD0">
              <w:rPr>
                <w:rFonts w:ascii="Arial" w:eastAsia="Arial" w:hAnsi="Arial" w:cs="Arial"/>
                <w:lang w:val="en"/>
              </w:rPr>
              <w:t>RCCVHHIV</w:t>
            </w:r>
            <w:r w:rsidRPr="002328CF">
              <w:rPr>
                <w:rFonts w:ascii="Arial" w:eastAsia="Arial" w:hAnsi="Arial" w:cs="Arial"/>
                <w:lang w:val="en"/>
              </w:rPr>
              <w:t xml:space="preserve"> show</w:t>
            </w:r>
            <w:r w:rsidR="00882859">
              <w:rPr>
                <w:rFonts w:ascii="Arial" w:eastAsia="Arial" w:hAnsi="Arial" w:cs="Arial"/>
                <w:lang w:val="en"/>
              </w:rPr>
              <w:t>s</w:t>
            </w:r>
            <w:r w:rsidRPr="002328CF">
              <w:rPr>
                <w:rFonts w:ascii="Arial" w:eastAsia="Arial" w:hAnsi="Arial" w:cs="Arial"/>
                <w:lang w:val="en"/>
              </w:rPr>
              <w:t xml:space="preserve"> that</w:t>
            </w:r>
            <w:r>
              <w:rPr>
                <w:rFonts w:ascii="Arial" w:eastAsia="Arial" w:hAnsi="Arial" w:cs="Arial"/>
                <w:lang w:val="en"/>
              </w:rPr>
              <w:t xml:space="preserve"> with an estimated number of 2,190 PWID/PLHIV, 1</w:t>
            </w:r>
            <w:r w:rsidR="00882859">
              <w:rPr>
                <w:rFonts w:ascii="Arial" w:eastAsia="Arial" w:hAnsi="Arial" w:cs="Arial"/>
                <w:lang w:val="en"/>
              </w:rPr>
              <w:t>,</w:t>
            </w:r>
            <w:r>
              <w:rPr>
                <w:rFonts w:ascii="Arial" w:eastAsia="Arial" w:hAnsi="Arial" w:cs="Arial"/>
                <w:lang w:val="en"/>
              </w:rPr>
              <w:t>971 (90%) were detected, 945 (48%) were on ART, and 892 (94%) had achieved viral suppression.</w:t>
            </w:r>
          </w:p>
          <w:p w14:paraId="62D28574" w14:textId="00E8B98B"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E1A24">
              <w:rPr>
                <w:rFonts w:ascii="Arial" w:eastAsia="Arial" w:hAnsi="Arial" w:cs="Arial"/>
                <w:lang w:val="en"/>
              </w:rPr>
              <w:t>Strengthening and expanding prevention programs involves recruiting new outreach workers with access to a group of PWUNP</w:t>
            </w:r>
            <w:r w:rsidR="00882859">
              <w:rPr>
                <w:rFonts w:ascii="Arial" w:eastAsia="Arial" w:hAnsi="Arial" w:cs="Arial"/>
                <w:lang w:val="en"/>
              </w:rPr>
              <w:t>A</w:t>
            </w:r>
            <w:r w:rsidRPr="005E1A24">
              <w:rPr>
                <w:rFonts w:ascii="Arial" w:eastAsia="Arial" w:hAnsi="Arial" w:cs="Arial"/>
                <w:lang w:val="en"/>
              </w:rPr>
              <w:t xml:space="preserve">S and young PWUD. For the same purpose, new approaches using social networks, online communication (outreach) will be introduced. Online outreach will complement </w:t>
            </w:r>
            <w:r w:rsidR="00882859">
              <w:rPr>
                <w:rFonts w:ascii="Arial" w:eastAsia="Arial" w:hAnsi="Arial" w:cs="Arial"/>
                <w:lang w:val="en"/>
              </w:rPr>
              <w:t>traditional</w:t>
            </w:r>
            <w:r w:rsidRPr="005E1A24">
              <w:rPr>
                <w:rFonts w:ascii="Arial" w:eastAsia="Arial" w:hAnsi="Arial" w:cs="Arial"/>
                <w:lang w:val="en"/>
              </w:rPr>
              <w:t xml:space="preserve"> PWUD outreach, with an increase from 10% in 2024 to 20% in 2026 </w:t>
            </w:r>
            <w:r>
              <w:rPr>
                <w:rFonts w:ascii="Arial" w:eastAsia="Arial" w:hAnsi="Arial" w:cs="Arial"/>
                <w:lang w:val="en"/>
              </w:rPr>
              <w:t xml:space="preserve">of the </w:t>
            </w:r>
            <w:r w:rsidRPr="005E1A24">
              <w:rPr>
                <w:rFonts w:ascii="Arial" w:eastAsia="Arial" w:hAnsi="Arial" w:cs="Arial"/>
                <w:lang w:val="en"/>
              </w:rPr>
              <w:t>total planned PWUD coverage.</w:t>
            </w:r>
          </w:p>
          <w:p w14:paraId="4156AD80" w14:textId="07A43882"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D25CE">
              <w:rPr>
                <w:rFonts w:ascii="Arial" w:eastAsia="Arial" w:hAnsi="Arial" w:cs="Arial"/>
                <w:lang w:val="en"/>
              </w:rPr>
              <w:t xml:space="preserve">Harm reduction programs are provided in all regions of the Kyrgyz Republic with coverage of 17,379 PWID (UNDP program data), including prisoners, </w:t>
            </w:r>
            <w:r w:rsidRPr="00F41587">
              <w:rPr>
                <w:rFonts w:ascii="Arial" w:eastAsia="Arial" w:hAnsi="Arial" w:cs="Arial"/>
                <w:lang w:val="en"/>
              </w:rPr>
              <w:t>SEP services</w:t>
            </w:r>
            <w:r w:rsidRPr="00BD25CE">
              <w:rPr>
                <w:rFonts w:ascii="Arial" w:eastAsia="Arial" w:hAnsi="Arial" w:cs="Arial"/>
                <w:lang w:val="en"/>
              </w:rPr>
              <w:t xml:space="preserve">. </w:t>
            </w:r>
            <w:r w:rsidRPr="00F41587">
              <w:rPr>
                <w:rFonts w:ascii="Arial" w:eastAsia="Arial" w:hAnsi="Arial" w:cs="Arial"/>
                <w:lang w:val="en"/>
              </w:rPr>
              <w:t>Minimum package of</w:t>
            </w:r>
            <w:r w:rsidRPr="00BD25CE">
              <w:rPr>
                <w:rFonts w:ascii="Arial" w:eastAsia="Arial" w:hAnsi="Arial" w:cs="Arial"/>
                <w:lang w:val="en"/>
              </w:rPr>
              <w:t xml:space="preserve"> services will cover 90% of the estimated number of PWID, with 10-20% receiving a differentiated minimum package as part of the online outreach. </w:t>
            </w:r>
            <w:r w:rsidR="00F41587">
              <w:rPr>
                <w:rFonts w:ascii="Arial" w:eastAsia="Arial" w:hAnsi="Arial" w:cs="Arial"/>
                <w:lang w:val="en"/>
              </w:rPr>
              <w:t>Traditional</w:t>
            </w:r>
            <w:r w:rsidRPr="00BD25CE">
              <w:rPr>
                <w:rFonts w:ascii="Arial" w:eastAsia="Arial" w:hAnsi="Arial" w:cs="Arial"/>
                <w:lang w:val="en"/>
              </w:rPr>
              <w:t xml:space="preserve"> package include</w:t>
            </w:r>
            <w:r w:rsidR="00F41587">
              <w:rPr>
                <w:rFonts w:ascii="Arial" w:eastAsia="Arial" w:hAnsi="Arial" w:cs="Arial"/>
                <w:lang w:val="en"/>
              </w:rPr>
              <w:t>s</w:t>
            </w:r>
            <w:r w:rsidRPr="00BD25CE">
              <w:rPr>
                <w:rFonts w:ascii="Arial" w:eastAsia="Arial" w:hAnsi="Arial" w:cs="Arial"/>
                <w:lang w:val="en"/>
              </w:rPr>
              <w:t xml:space="preserve"> </w:t>
            </w:r>
            <w:r w:rsidR="00EF49D0">
              <w:rPr>
                <w:rFonts w:ascii="Arial" w:eastAsia="Arial" w:hAnsi="Arial" w:cs="Arial"/>
                <w:lang w:val="en"/>
              </w:rPr>
              <w:t>raising</w:t>
            </w:r>
            <w:r w:rsidRPr="00BD25CE">
              <w:rPr>
                <w:rFonts w:ascii="Arial" w:eastAsia="Arial" w:hAnsi="Arial" w:cs="Arial"/>
                <w:lang w:val="en"/>
              </w:rPr>
              <w:t xml:space="preserve"> awareness; TB screening; provision of syringes or </w:t>
            </w:r>
            <w:r>
              <w:rPr>
                <w:rFonts w:ascii="Arial" w:eastAsia="Arial" w:hAnsi="Arial" w:cs="Arial"/>
                <w:lang w:val="en"/>
              </w:rPr>
              <w:t>OST</w:t>
            </w:r>
            <w:r w:rsidRPr="00BD25CE">
              <w:rPr>
                <w:rFonts w:ascii="Arial" w:eastAsia="Arial" w:hAnsi="Arial" w:cs="Arial"/>
                <w:lang w:val="en"/>
              </w:rPr>
              <w:t xml:space="preserve">; and condoms. Expanded package of services includes HCV testing; screening and, if necessary, </w:t>
            </w:r>
            <w:r>
              <w:rPr>
                <w:rFonts w:ascii="Arial" w:eastAsia="Arial" w:hAnsi="Arial" w:cs="Arial"/>
                <w:lang w:val="en"/>
              </w:rPr>
              <w:t>STI</w:t>
            </w:r>
            <w:r w:rsidRPr="00BD25CE">
              <w:rPr>
                <w:rFonts w:ascii="Arial" w:eastAsia="Arial" w:hAnsi="Arial" w:cs="Arial"/>
                <w:lang w:val="en"/>
              </w:rPr>
              <w:t xml:space="preserve"> testing and treatment; social support/referral; support for victims of </w:t>
            </w:r>
            <w:r w:rsidR="00A17CB8">
              <w:rPr>
                <w:rFonts w:ascii="Arial" w:eastAsia="Arial" w:hAnsi="Arial" w:cs="Arial"/>
                <w:lang w:val="en"/>
              </w:rPr>
              <w:t>GBV</w:t>
            </w:r>
            <w:r w:rsidRPr="00BD25CE">
              <w:rPr>
                <w:rFonts w:ascii="Arial" w:eastAsia="Arial" w:hAnsi="Arial" w:cs="Arial"/>
                <w:lang w:val="en"/>
              </w:rPr>
              <w:t xml:space="preserve">; mental health services for PWUD; SRH; surgeon services; detox; etc. Naloxone and overdose prevention training will be given to at least 90% of PWID. </w:t>
            </w:r>
            <w:r w:rsidRPr="00A17CB8">
              <w:rPr>
                <w:rFonts w:ascii="Arial" w:eastAsia="Arial" w:hAnsi="Arial" w:cs="Arial"/>
                <w:lang w:val="en"/>
              </w:rPr>
              <w:t xml:space="preserve">Minimum package for online outreach </w:t>
            </w:r>
            <w:r w:rsidR="00D23E29">
              <w:rPr>
                <w:rFonts w:ascii="Arial" w:eastAsia="Arial" w:hAnsi="Arial" w:cs="Arial"/>
                <w:lang w:val="en"/>
              </w:rPr>
              <w:t>consists of</w:t>
            </w:r>
            <w:r w:rsidRPr="00A17CB8">
              <w:rPr>
                <w:rFonts w:ascii="Arial" w:eastAsia="Arial" w:hAnsi="Arial" w:cs="Arial"/>
                <w:lang w:val="en"/>
              </w:rPr>
              <w:t xml:space="preserve"> providing online counseling, providing access to testing through </w:t>
            </w:r>
            <w:r w:rsidR="00D23E29">
              <w:rPr>
                <w:rFonts w:ascii="Arial" w:eastAsia="Arial" w:hAnsi="Arial" w:cs="Arial"/>
                <w:lang w:val="en"/>
              </w:rPr>
              <w:t>vending</w:t>
            </w:r>
            <w:r w:rsidRPr="00A17CB8">
              <w:rPr>
                <w:rFonts w:ascii="Arial" w:eastAsia="Arial" w:hAnsi="Arial" w:cs="Arial"/>
                <w:lang w:val="en"/>
              </w:rPr>
              <w:t xml:space="preserve"> machines, or providing self-tests through pharmacies</w:t>
            </w:r>
            <w:r w:rsidRPr="00BD25CE">
              <w:rPr>
                <w:rFonts w:ascii="Arial" w:eastAsia="Arial" w:hAnsi="Arial" w:cs="Arial"/>
                <w:lang w:val="en"/>
              </w:rPr>
              <w:t xml:space="preserve">, courier services. A number of other services will be offered to </w:t>
            </w:r>
            <w:r w:rsidR="00D23E29">
              <w:rPr>
                <w:rFonts w:ascii="Arial" w:eastAsia="Arial" w:hAnsi="Arial" w:cs="Arial"/>
                <w:lang w:val="en"/>
              </w:rPr>
              <w:t>encourage</w:t>
            </w:r>
            <w:r w:rsidRPr="00BD25CE">
              <w:rPr>
                <w:rFonts w:ascii="Arial" w:eastAsia="Arial" w:hAnsi="Arial" w:cs="Arial"/>
                <w:lang w:val="en"/>
              </w:rPr>
              <w:t xml:space="preserve"> </w:t>
            </w:r>
            <w:r w:rsidR="00BC2F90">
              <w:rPr>
                <w:rFonts w:ascii="Arial" w:eastAsia="Arial" w:hAnsi="Arial" w:cs="Arial"/>
                <w:lang w:val="en"/>
              </w:rPr>
              <w:t>reporting</w:t>
            </w:r>
            <w:r w:rsidRPr="00BD25CE">
              <w:rPr>
                <w:rFonts w:ascii="Arial" w:eastAsia="Arial" w:hAnsi="Arial" w:cs="Arial"/>
                <w:lang w:val="en"/>
              </w:rPr>
              <w:t xml:space="preserve"> of the test results </w:t>
            </w:r>
            <w:r>
              <w:rPr>
                <w:rFonts w:ascii="Arial" w:eastAsia="Arial" w:hAnsi="Arial" w:cs="Arial"/>
                <w:lang w:val="en"/>
              </w:rPr>
              <w:t>by text message</w:t>
            </w:r>
            <w:r w:rsidRPr="00BD25CE">
              <w:rPr>
                <w:rFonts w:ascii="Arial" w:eastAsia="Arial" w:hAnsi="Arial" w:cs="Arial"/>
                <w:lang w:val="en"/>
              </w:rPr>
              <w:t xml:space="preserve">, including the opportunity to take a rapid test for viral hepatitis, to get advice on request from a medical specialist, a lawyer, a psychologist, and to receive </w:t>
            </w:r>
            <w:r w:rsidR="004024E5">
              <w:rPr>
                <w:rFonts w:ascii="Arial" w:eastAsia="Arial" w:hAnsi="Arial" w:cs="Arial"/>
                <w:lang w:val="en"/>
              </w:rPr>
              <w:t>health products</w:t>
            </w:r>
            <w:r w:rsidRPr="00BD25CE">
              <w:rPr>
                <w:rFonts w:ascii="Arial" w:eastAsia="Arial" w:hAnsi="Arial" w:cs="Arial"/>
                <w:lang w:val="en"/>
              </w:rPr>
              <w:t xml:space="preserve"> on a regular basis. Mechanisms for providing such services will be developed in the first year of the grant, and vending machines will be purchased and installed in attractive locations, where condoms, lubricant</w:t>
            </w:r>
            <w:r>
              <w:rPr>
                <w:rFonts w:ascii="Arial" w:eastAsia="Arial" w:hAnsi="Arial" w:cs="Arial"/>
                <w:lang w:val="en"/>
              </w:rPr>
              <w:t>s</w:t>
            </w:r>
            <w:r w:rsidRPr="00BD25CE">
              <w:rPr>
                <w:rFonts w:ascii="Arial" w:eastAsia="Arial" w:hAnsi="Arial" w:cs="Arial"/>
                <w:lang w:val="en"/>
              </w:rPr>
              <w:t xml:space="preserve">, and syringes will be available in addition to tests. Online outreach staff will continue to develop motivational and informational posts and publish them on popular social media communities that will increase the appeal of services. Simultaneously, the program will develop printed and electronic informational materials, producing at least </w:t>
            </w:r>
            <w:r w:rsidRPr="00BD25CE">
              <w:rPr>
                <w:rFonts w:ascii="Arial" w:eastAsia="Arial" w:hAnsi="Arial" w:cs="Arial"/>
                <w:lang w:val="en"/>
              </w:rPr>
              <w:lastRenderedPageBreak/>
              <w:t xml:space="preserve">three each year. It will also provide individual and group counseling on safe injection and sexual practices, prevention of HIV, STIs, hepatitis, and human rights to reach up to 60% of PWUD. </w:t>
            </w:r>
          </w:p>
          <w:p w14:paraId="354AD2BB" w14:textId="787B31FC"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D25CE">
              <w:rPr>
                <w:rFonts w:ascii="Arial" w:eastAsia="Arial" w:hAnsi="Arial" w:cs="Arial"/>
                <w:lang w:val="en"/>
              </w:rPr>
              <w:t xml:space="preserve">Services for providing a minimum and </w:t>
            </w:r>
            <w:r w:rsidR="001263EE">
              <w:rPr>
                <w:rFonts w:ascii="Arial" w:eastAsia="Arial" w:hAnsi="Arial" w:cs="Arial"/>
                <w:lang w:val="en"/>
              </w:rPr>
              <w:t>expanded</w:t>
            </w:r>
            <w:r w:rsidRPr="00BD25CE">
              <w:rPr>
                <w:rFonts w:ascii="Arial" w:eastAsia="Arial" w:hAnsi="Arial" w:cs="Arial"/>
                <w:lang w:val="en"/>
              </w:rPr>
              <w:t xml:space="preserve"> package of harm reduction services will be offered by three NGOs </w:t>
            </w:r>
            <w:r w:rsidR="00073870">
              <w:rPr>
                <w:rFonts w:ascii="Arial" w:eastAsia="Arial" w:hAnsi="Arial" w:cs="Arial"/>
                <w:lang w:val="en"/>
              </w:rPr>
              <w:t xml:space="preserve">providing services to PWUD </w:t>
            </w:r>
            <w:r w:rsidRPr="00BD25CE">
              <w:rPr>
                <w:rFonts w:ascii="Arial" w:eastAsia="Arial" w:hAnsi="Arial" w:cs="Arial"/>
                <w:lang w:val="en"/>
              </w:rPr>
              <w:t xml:space="preserve">and three NGOs providing comprehensive services to all groups, including community-based organizations for PWUD. </w:t>
            </w:r>
            <w:r>
              <w:rPr>
                <w:rFonts w:ascii="Arial" w:eastAsia="Arial" w:hAnsi="Arial" w:cs="Arial"/>
                <w:lang w:val="en"/>
              </w:rPr>
              <w:t>OST</w:t>
            </w:r>
            <w:r w:rsidRPr="00BD25CE">
              <w:rPr>
                <w:rFonts w:ascii="Arial" w:eastAsia="Arial" w:hAnsi="Arial" w:cs="Arial"/>
                <w:lang w:val="en"/>
              </w:rPr>
              <w:t xml:space="preserve"> services, coordinated by the </w:t>
            </w:r>
            <w:r w:rsidR="00073870">
              <w:rPr>
                <w:rFonts w:ascii="Arial" w:eastAsia="Arial" w:hAnsi="Arial" w:cs="Arial"/>
                <w:lang w:val="en"/>
              </w:rPr>
              <w:t>RCPN</w:t>
            </w:r>
            <w:r w:rsidRPr="00BD25CE">
              <w:rPr>
                <w:rFonts w:ascii="Arial" w:eastAsia="Arial" w:hAnsi="Arial" w:cs="Arial"/>
                <w:lang w:val="en"/>
              </w:rPr>
              <w:t xml:space="preserve">, will be provided by health care organizations at the Republican and Osh </w:t>
            </w:r>
            <w:r>
              <w:rPr>
                <w:rFonts w:ascii="Arial" w:eastAsia="Arial" w:hAnsi="Arial" w:cs="Arial"/>
                <w:lang w:val="en"/>
              </w:rPr>
              <w:t>Region</w:t>
            </w:r>
            <w:r w:rsidR="00073870">
              <w:rPr>
                <w:rFonts w:ascii="Arial" w:eastAsia="Arial" w:hAnsi="Arial" w:cs="Arial"/>
                <w:lang w:val="en"/>
              </w:rPr>
              <w:t xml:space="preserve"> levels</w:t>
            </w:r>
            <w:r w:rsidRPr="00BD25CE">
              <w:rPr>
                <w:rFonts w:ascii="Arial" w:eastAsia="Arial" w:hAnsi="Arial" w:cs="Arial"/>
                <w:lang w:val="en"/>
              </w:rPr>
              <w:t xml:space="preserve">, as well as at the PHC level. Services </w:t>
            </w:r>
            <w:r w:rsidR="00073870">
              <w:rPr>
                <w:rFonts w:ascii="Arial" w:eastAsia="Arial" w:hAnsi="Arial" w:cs="Arial"/>
                <w:lang w:val="en"/>
              </w:rPr>
              <w:t>on verification of</w:t>
            </w:r>
            <w:r w:rsidRPr="00BD25CE">
              <w:rPr>
                <w:rFonts w:ascii="Arial" w:eastAsia="Arial" w:hAnsi="Arial" w:cs="Arial"/>
                <w:lang w:val="en"/>
              </w:rPr>
              <w:t xml:space="preserve"> pre-positive HIV tests will be provided by </w:t>
            </w:r>
            <w:r w:rsidR="00AC7AD0">
              <w:rPr>
                <w:rFonts w:ascii="Arial" w:eastAsia="Arial" w:hAnsi="Arial" w:cs="Arial"/>
                <w:lang w:val="en"/>
              </w:rPr>
              <w:t>RCCVHHIV</w:t>
            </w:r>
            <w:r w:rsidRPr="00BD25CE">
              <w:rPr>
                <w:rFonts w:ascii="Arial" w:eastAsia="Arial" w:hAnsi="Arial" w:cs="Arial"/>
                <w:lang w:val="en"/>
              </w:rPr>
              <w:t xml:space="preserve">, which will also coordinate services related to parenteral viral hepatitis. Other medical services will be provided by other </w:t>
            </w:r>
            <w:r w:rsidR="008513F0">
              <w:rPr>
                <w:rFonts w:ascii="Arial" w:eastAsia="Arial" w:hAnsi="Arial" w:cs="Arial"/>
                <w:lang w:val="en"/>
              </w:rPr>
              <w:t>healthcare facilities</w:t>
            </w:r>
            <w:r w:rsidRPr="00BD25CE">
              <w:rPr>
                <w:rFonts w:ascii="Arial" w:eastAsia="Arial" w:hAnsi="Arial" w:cs="Arial"/>
                <w:lang w:val="en"/>
              </w:rPr>
              <w:t xml:space="preserve"> on the basis of cooperative agreements.</w:t>
            </w:r>
          </w:p>
          <w:p w14:paraId="12831180" w14:textId="7588DFF0" w:rsidR="002476E2" w:rsidRPr="007003DC"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05440D">
              <w:rPr>
                <w:rFonts w:ascii="Arial" w:eastAsia="Arial" w:hAnsi="Arial" w:cs="Arial"/>
                <w:lang w:val="en"/>
              </w:rPr>
              <w:t xml:space="preserve">The NGO's work will be targeted at different groups of PWUD, with a focus on organizing access and programming for PWUD, young PWUD, and women based on their needs assessment. On this basis, standards for PWUD services will be developed jointly with the MoH. At the same time, NGOs will develop a gender-sensitive methodological guide for working with </w:t>
            </w:r>
            <w:r w:rsidR="007003DC">
              <w:rPr>
                <w:rFonts w:ascii="Arial" w:eastAsia="Arial" w:hAnsi="Arial" w:cs="Arial"/>
                <w:lang w:val="en"/>
              </w:rPr>
              <w:t>PWUD</w:t>
            </w:r>
            <w:r w:rsidRPr="0005440D">
              <w:rPr>
                <w:rFonts w:ascii="Arial" w:eastAsia="Arial" w:hAnsi="Arial" w:cs="Arial"/>
                <w:lang w:val="en"/>
              </w:rPr>
              <w:t>.</w:t>
            </w:r>
          </w:p>
          <w:p w14:paraId="49430C81" w14:textId="2EEF14E2"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lang w:val="en"/>
              </w:rPr>
              <w:t>OST</w:t>
            </w:r>
            <w:r w:rsidRPr="00BD25CE">
              <w:rPr>
                <w:rFonts w:ascii="Arial" w:eastAsia="Arial" w:hAnsi="Arial" w:cs="Arial"/>
                <w:lang w:val="en"/>
              </w:rPr>
              <w:t xml:space="preserve"> programs remain a priority for HIV prevention among PWID. As of January 1</w:t>
            </w:r>
            <w:r w:rsidR="00E57FDB">
              <w:rPr>
                <w:rFonts w:ascii="Arial" w:eastAsia="Arial" w:hAnsi="Arial" w:cs="Arial"/>
                <w:lang w:val="en"/>
              </w:rPr>
              <w:t>,</w:t>
            </w:r>
            <w:r w:rsidRPr="00BD25CE">
              <w:rPr>
                <w:rFonts w:ascii="Arial" w:eastAsia="Arial" w:hAnsi="Arial" w:cs="Arial"/>
                <w:lang w:val="en"/>
              </w:rPr>
              <w:t xml:space="preserve"> 2023, there were 791 </w:t>
            </w:r>
            <w:r>
              <w:rPr>
                <w:rFonts w:ascii="Arial" w:eastAsia="Arial" w:hAnsi="Arial" w:cs="Arial"/>
                <w:lang w:val="en"/>
              </w:rPr>
              <w:t>OST</w:t>
            </w:r>
            <w:r w:rsidRPr="00BD25CE">
              <w:rPr>
                <w:rFonts w:ascii="Arial" w:eastAsia="Arial" w:hAnsi="Arial" w:cs="Arial"/>
                <w:lang w:val="en"/>
              </w:rPr>
              <w:t xml:space="preserve"> participants</w:t>
            </w:r>
            <w:r>
              <w:rPr>
                <w:rStyle w:val="FootnoteReference"/>
                <w:rFonts w:ascii="Arial" w:eastAsia="Arial" w:hAnsi="Arial" w:cs="Arial"/>
                <w:lang w:val="ru-RU"/>
              </w:rPr>
              <w:footnoteReference w:id="29"/>
            </w:r>
            <w:r w:rsidRPr="00BD25CE">
              <w:rPr>
                <w:rFonts w:ascii="Arial" w:eastAsia="Arial" w:hAnsi="Arial" w:cs="Arial"/>
                <w:lang w:val="en"/>
              </w:rPr>
              <w:t xml:space="preserve">, 59 of whom were women, and 208 were </w:t>
            </w:r>
            <w:r>
              <w:rPr>
                <w:rFonts w:ascii="Arial" w:eastAsia="Arial" w:hAnsi="Arial" w:cs="Arial"/>
                <w:lang w:val="en"/>
              </w:rPr>
              <w:t>detained</w:t>
            </w:r>
            <w:r w:rsidRPr="00BD25CE">
              <w:rPr>
                <w:rFonts w:ascii="Arial" w:eastAsia="Arial" w:hAnsi="Arial" w:cs="Arial"/>
                <w:lang w:val="en"/>
              </w:rPr>
              <w:t>. In the Kyrgyz Republic</w:t>
            </w:r>
            <w:r w:rsidR="00E57FDB">
              <w:rPr>
                <w:rFonts w:ascii="Arial" w:eastAsia="Arial" w:hAnsi="Arial" w:cs="Arial"/>
                <w:lang w:val="en"/>
              </w:rPr>
              <w:t>,</w:t>
            </w:r>
            <w:r w:rsidRPr="00BD25CE">
              <w:rPr>
                <w:rFonts w:ascii="Arial" w:eastAsia="Arial" w:hAnsi="Arial" w:cs="Arial"/>
                <w:lang w:val="en"/>
              </w:rPr>
              <w:t xml:space="preserve"> there are 24 </w:t>
            </w:r>
            <w:r>
              <w:rPr>
                <w:rFonts w:ascii="Arial" w:eastAsia="Arial" w:hAnsi="Arial" w:cs="Arial"/>
                <w:lang w:val="en"/>
              </w:rPr>
              <w:t>OST</w:t>
            </w:r>
            <w:r w:rsidRPr="00BD25CE">
              <w:rPr>
                <w:rFonts w:ascii="Arial" w:eastAsia="Arial" w:hAnsi="Arial" w:cs="Arial"/>
                <w:lang w:val="en"/>
              </w:rPr>
              <w:t xml:space="preserve"> stations, of which 15 are in healthcare </w:t>
            </w:r>
            <w:r w:rsidR="00E57FDB">
              <w:rPr>
                <w:rFonts w:ascii="Arial" w:eastAsia="Arial" w:hAnsi="Arial" w:cs="Arial"/>
                <w:lang w:val="en"/>
              </w:rPr>
              <w:t>facilities</w:t>
            </w:r>
            <w:r w:rsidRPr="00BD25CE">
              <w:rPr>
                <w:rFonts w:ascii="Arial" w:eastAsia="Arial" w:hAnsi="Arial" w:cs="Arial"/>
                <w:lang w:val="en"/>
              </w:rPr>
              <w:t xml:space="preserve"> and 9 in the </w:t>
            </w:r>
            <w:r w:rsidR="00E57FDB" w:rsidRPr="00BD25CE">
              <w:rPr>
                <w:rFonts w:ascii="Arial" w:eastAsia="Arial" w:hAnsi="Arial" w:cs="Arial"/>
                <w:lang w:val="en"/>
              </w:rPr>
              <w:t>pen</w:t>
            </w:r>
            <w:r w:rsidR="00E57FDB">
              <w:rPr>
                <w:rFonts w:ascii="Arial" w:eastAsia="Arial" w:hAnsi="Arial" w:cs="Arial"/>
                <w:lang w:val="en"/>
              </w:rPr>
              <w:t>itentiary</w:t>
            </w:r>
            <w:r w:rsidRPr="00BD25CE">
              <w:rPr>
                <w:rFonts w:ascii="Arial" w:eastAsia="Arial" w:hAnsi="Arial" w:cs="Arial"/>
                <w:lang w:val="en"/>
              </w:rPr>
              <w:t xml:space="preserve"> system. </w:t>
            </w:r>
            <w:r w:rsidR="005C4013">
              <w:rPr>
                <w:rFonts w:ascii="Arial" w:eastAsia="Arial" w:hAnsi="Arial" w:cs="Arial"/>
                <w:lang w:val="en"/>
              </w:rPr>
              <w:t>According to</w:t>
            </w:r>
            <w:r w:rsidRPr="00BD25CE">
              <w:rPr>
                <w:rFonts w:ascii="Arial" w:eastAsia="Arial" w:hAnsi="Arial" w:cs="Arial"/>
                <w:lang w:val="en"/>
              </w:rPr>
              <w:t xml:space="preserve"> the plan for transition to state funding, starting in 2023, payment for specialists providing </w:t>
            </w:r>
            <w:r>
              <w:rPr>
                <w:rFonts w:ascii="Arial" w:eastAsia="Arial" w:hAnsi="Arial" w:cs="Arial"/>
                <w:lang w:val="en"/>
              </w:rPr>
              <w:t>OST</w:t>
            </w:r>
            <w:r w:rsidRPr="00BD25CE">
              <w:rPr>
                <w:rFonts w:ascii="Arial" w:eastAsia="Arial" w:hAnsi="Arial" w:cs="Arial"/>
                <w:lang w:val="en"/>
              </w:rPr>
              <w:t xml:space="preserve"> services</w:t>
            </w:r>
            <w:r>
              <w:rPr>
                <w:rFonts w:ascii="Arial" w:eastAsia="Arial" w:hAnsi="Arial" w:cs="Arial"/>
                <w:lang w:val="en"/>
              </w:rPr>
              <w:t xml:space="preserve"> as well as </w:t>
            </w:r>
            <w:r w:rsidRPr="00BD25CE">
              <w:rPr>
                <w:rFonts w:ascii="Arial" w:eastAsia="Arial" w:hAnsi="Arial" w:cs="Arial"/>
                <w:lang w:val="en"/>
              </w:rPr>
              <w:t>payment for fuel and lubricants and</w:t>
            </w:r>
            <w:r>
              <w:rPr>
                <w:rFonts w:ascii="Arial" w:eastAsia="Arial" w:hAnsi="Arial" w:cs="Arial"/>
                <w:lang w:val="en"/>
              </w:rPr>
              <w:t xml:space="preserve"> safety-costs </w:t>
            </w:r>
            <w:r w:rsidRPr="00BD25CE">
              <w:rPr>
                <w:rFonts w:ascii="Arial" w:eastAsia="Arial" w:hAnsi="Arial" w:cs="Arial"/>
                <w:lang w:val="en"/>
              </w:rPr>
              <w:t>will be made through the MHIF</w:t>
            </w:r>
            <w:r>
              <w:rPr>
                <w:rStyle w:val="FootnoteReference"/>
                <w:rFonts w:ascii="Arial" w:eastAsia="Arial" w:hAnsi="Arial" w:cs="Arial"/>
                <w:lang w:val="ru-RU"/>
              </w:rPr>
              <w:footnoteReference w:id="30"/>
            </w:r>
            <w:r w:rsidRPr="00BD25CE">
              <w:rPr>
                <w:rFonts w:ascii="Arial" w:eastAsia="Arial" w:hAnsi="Arial" w:cs="Arial"/>
                <w:lang w:val="en"/>
              </w:rPr>
              <w:t xml:space="preserve">. Buprenorphine will be purchased for 50 clients, as well as a combination drug of buprenorphine and naloxone, to make the </w:t>
            </w:r>
            <w:r>
              <w:rPr>
                <w:rFonts w:ascii="Arial" w:eastAsia="Arial" w:hAnsi="Arial" w:cs="Arial"/>
                <w:lang w:val="en"/>
              </w:rPr>
              <w:t>OST</w:t>
            </w:r>
            <w:r w:rsidRPr="00BD25CE">
              <w:rPr>
                <w:rFonts w:ascii="Arial" w:eastAsia="Arial" w:hAnsi="Arial" w:cs="Arial"/>
                <w:lang w:val="en"/>
              </w:rPr>
              <w:t xml:space="preserve"> more appealing to clients. The 2025-2026 project, funded by UNITAID through the </w:t>
            </w:r>
            <w:r w:rsidR="00FC39D0">
              <w:rPr>
                <w:rFonts w:ascii="Arial" w:eastAsia="Arial" w:hAnsi="Arial" w:cs="Arial"/>
                <w:lang w:val="en"/>
              </w:rPr>
              <w:t>ICF “International Alliance for Public Health”</w:t>
            </w:r>
            <w:r w:rsidRPr="00BD25CE">
              <w:rPr>
                <w:rFonts w:ascii="Arial" w:eastAsia="Arial" w:hAnsi="Arial" w:cs="Arial"/>
                <w:lang w:val="en"/>
              </w:rPr>
              <w:t>, will introduce long-acting buprenorphine and make it available to 100 PWID.</w:t>
            </w:r>
          </w:p>
          <w:p w14:paraId="2C4382C3" w14:textId="1A90814A"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3526B">
              <w:rPr>
                <w:rFonts w:ascii="Arial" w:eastAsia="Arial" w:hAnsi="Arial" w:cs="Arial"/>
                <w:lang w:val="en"/>
              </w:rPr>
              <w:t xml:space="preserve">Access of PWUD and their sexual partners to </w:t>
            </w:r>
            <w:proofErr w:type="spellStart"/>
            <w:r w:rsidRPr="0023526B">
              <w:rPr>
                <w:rFonts w:ascii="Arial" w:eastAsia="Arial" w:hAnsi="Arial" w:cs="Arial"/>
                <w:lang w:val="en"/>
              </w:rPr>
              <w:t>PrEP</w:t>
            </w:r>
            <w:proofErr w:type="spellEnd"/>
            <w:r w:rsidRPr="0023526B">
              <w:rPr>
                <w:rFonts w:ascii="Arial" w:eastAsia="Arial" w:hAnsi="Arial" w:cs="Arial"/>
                <w:lang w:val="en"/>
              </w:rPr>
              <w:t xml:space="preserve"> will be increased from 40 to 100 PWUD in 2026 and from 3 to 50 sexual partners of HIV-positive PWUD with low adherence to ART</w:t>
            </w:r>
            <w:r w:rsidR="00D721B2">
              <w:rPr>
                <w:rFonts w:ascii="Arial" w:eastAsia="Arial" w:hAnsi="Arial" w:cs="Arial"/>
                <w:lang w:val="en"/>
              </w:rPr>
              <w:t xml:space="preserve"> (there is no separate indicator on </w:t>
            </w:r>
            <w:proofErr w:type="spellStart"/>
            <w:r w:rsidR="00D721B2">
              <w:rPr>
                <w:rFonts w:ascii="Arial" w:eastAsia="Arial" w:hAnsi="Arial" w:cs="Arial"/>
                <w:lang w:val="en"/>
              </w:rPr>
              <w:t>PrEP</w:t>
            </w:r>
            <w:proofErr w:type="spellEnd"/>
            <w:r w:rsidR="00D721B2">
              <w:rPr>
                <w:rFonts w:ascii="Arial" w:eastAsia="Arial" w:hAnsi="Arial" w:cs="Arial"/>
                <w:lang w:val="en"/>
              </w:rPr>
              <w:t xml:space="preserve"> for PWUD, included under MSM component)</w:t>
            </w:r>
            <w:r w:rsidRPr="0023526B">
              <w:rPr>
                <w:rFonts w:ascii="Arial" w:eastAsia="Arial" w:hAnsi="Arial" w:cs="Arial"/>
                <w:lang w:val="en"/>
              </w:rPr>
              <w:t>.</w:t>
            </w:r>
          </w:p>
          <w:p w14:paraId="34FC3AC6" w14:textId="77777777" w:rsidR="002476E2" w:rsidRPr="00E769B9" w:rsidRDefault="002476E2"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lang w:val="en"/>
              </w:rPr>
              <w:t>One NGO-based drop-in center for PWID/ex-prisoners will provide support for PWID/ex-prisoners in difficult life situations. The center is designed to house 10 people per month and provides temporary housing, domestic services, HIV testing, education, social support, and psychological support.</w:t>
            </w:r>
          </w:p>
          <w:p w14:paraId="583E8700" w14:textId="4B677FCB" w:rsidR="00243A05" w:rsidRPr="00243A05" w:rsidRDefault="002476E2"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sz w:val="19"/>
                <w:szCs w:val="19"/>
              </w:rPr>
            </w:pPr>
            <w:r>
              <w:rPr>
                <w:rFonts w:eastAsia="Arial"/>
                <w:lang w:val="en"/>
              </w:rPr>
              <w:t>Issues of PWUD community empowerment; HIV testing; and the removal of human rights barriers to prevention among PWUD representatives are presented in the relevant modules of this</w:t>
            </w:r>
            <w:r>
              <w:t xml:space="preserve"> </w:t>
            </w:r>
            <w:r w:rsidRPr="00D35B7C">
              <w:rPr>
                <w:rFonts w:eastAsia="Arial"/>
                <w:lang w:val="en"/>
              </w:rPr>
              <w:t>request</w:t>
            </w:r>
            <w:r>
              <w:rPr>
                <w:rFonts w:eastAsia="Arial"/>
                <w:lang w:val="en"/>
              </w:rPr>
              <w:t>.</w:t>
            </w:r>
          </w:p>
        </w:tc>
      </w:tr>
      <w:tr w:rsidR="00662E6E" w14:paraId="1BD2C395"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0340F8BD"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40F45A67" w14:textId="317E2EFC" w:rsidR="007F5F62" w:rsidRPr="00E769B9" w:rsidRDefault="00BE3FD9" w:rsidP="0026062D">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Pr>
                <w:rFonts w:ascii="Arial" w:eastAsia="Arial" w:hAnsi="Arial" w:cs="Arial"/>
                <w:szCs w:val="20"/>
                <w:lang w:val="en"/>
              </w:rPr>
              <w:t>PWUD</w:t>
            </w:r>
            <w:r w:rsidR="007F5F62" w:rsidRPr="00605BA1">
              <w:rPr>
                <w:rFonts w:ascii="Arial" w:eastAsia="Arial" w:hAnsi="Arial" w:cs="Arial"/>
                <w:szCs w:val="20"/>
                <w:lang w:val="en"/>
              </w:rPr>
              <w:t xml:space="preserve">, including users of </w:t>
            </w:r>
            <w:r>
              <w:rPr>
                <w:rFonts w:ascii="Arial" w:eastAsia="Arial" w:hAnsi="Arial" w:cs="Arial"/>
                <w:szCs w:val="20"/>
                <w:lang w:val="en"/>
              </w:rPr>
              <w:t>NPAS</w:t>
            </w:r>
            <w:r w:rsidR="007F5F62" w:rsidRPr="00605BA1">
              <w:rPr>
                <w:rFonts w:ascii="Arial" w:eastAsia="Arial" w:hAnsi="Arial" w:cs="Arial"/>
                <w:szCs w:val="20"/>
                <w:lang w:val="en"/>
              </w:rPr>
              <w:t xml:space="preserve">, with a focus on women, young PWUD and PWUD in difficult situations, in all regions of the Kyrgyz Republic. </w:t>
            </w:r>
          </w:p>
          <w:p w14:paraId="793CF81C" w14:textId="0F595BB3" w:rsidR="007F5F62" w:rsidRPr="00E769B9" w:rsidRDefault="007F5F62" w:rsidP="0026062D">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D8027C">
              <w:rPr>
                <w:rFonts w:ascii="Arial" w:eastAsia="Arial" w:hAnsi="Arial" w:cs="Arial"/>
                <w:szCs w:val="20"/>
                <w:lang w:val="en"/>
              </w:rPr>
              <w:t>Despite widely implemented harm reduction programs, HIV continues to grow in the PWID group</w:t>
            </w:r>
            <w:r>
              <w:rPr>
                <w:rFonts w:ascii="Arial" w:eastAsia="Arial" w:hAnsi="Arial" w:cs="Arial"/>
                <w:szCs w:val="20"/>
                <w:lang w:val="en"/>
              </w:rPr>
              <w:t>.</w:t>
            </w:r>
            <w:r w:rsidRPr="00D8027C">
              <w:rPr>
                <w:rFonts w:ascii="Arial" w:eastAsia="Arial" w:hAnsi="Arial" w:cs="Arial"/>
                <w:szCs w:val="20"/>
                <w:lang w:val="en"/>
              </w:rPr>
              <w:t xml:space="preserve"> </w:t>
            </w:r>
            <w:r>
              <w:rPr>
                <w:rFonts w:ascii="Arial" w:eastAsia="Arial" w:hAnsi="Arial" w:cs="Arial"/>
                <w:szCs w:val="20"/>
                <w:lang w:val="en"/>
              </w:rPr>
              <w:t>B</w:t>
            </w:r>
            <w:r w:rsidRPr="00D8027C">
              <w:rPr>
                <w:rFonts w:ascii="Arial" w:eastAsia="Arial" w:hAnsi="Arial" w:cs="Arial"/>
                <w:szCs w:val="20"/>
                <w:lang w:val="en"/>
              </w:rPr>
              <w:t>y 2022</w:t>
            </w:r>
            <w:r w:rsidR="00494292">
              <w:rPr>
                <w:rFonts w:ascii="Arial" w:eastAsia="Arial" w:hAnsi="Arial" w:cs="Arial"/>
                <w:szCs w:val="20"/>
                <w:lang w:val="en"/>
              </w:rPr>
              <w:t>,</w:t>
            </w:r>
            <w:r w:rsidRPr="00D8027C">
              <w:rPr>
                <w:rFonts w:ascii="Arial" w:eastAsia="Arial" w:hAnsi="Arial" w:cs="Arial"/>
                <w:szCs w:val="20"/>
                <w:lang w:val="en"/>
              </w:rPr>
              <w:t xml:space="preserve"> i</w:t>
            </w:r>
            <w:r>
              <w:rPr>
                <w:rFonts w:ascii="Arial" w:eastAsia="Arial" w:hAnsi="Arial" w:cs="Arial"/>
                <w:szCs w:val="20"/>
                <w:lang w:val="en"/>
              </w:rPr>
              <w:t>t was</w:t>
            </w:r>
            <w:r w:rsidRPr="00D8027C">
              <w:rPr>
                <w:rFonts w:ascii="Arial" w:eastAsia="Arial" w:hAnsi="Arial" w:cs="Arial"/>
                <w:szCs w:val="20"/>
                <w:lang w:val="en"/>
              </w:rPr>
              <w:t xml:space="preserve"> 16.2%, an </w:t>
            </w:r>
            <w:r w:rsidRPr="00D8027C">
              <w:rPr>
                <w:rFonts w:ascii="Arial" w:eastAsia="Arial" w:hAnsi="Arial" w:cs="Arial"/>
                <w:szCs w:val="20"/>
                <w:lang w:val="en"/>
              </w:rPr>
              <w:lastRenderedPageBreak/>
              <w:t xml:space="preserve">increase of 2% over previous estimates. Lack of reliable data on PWID populations, including </w:t>
            </w:r>
            <w:r w:rsidR="00F53F6F">
              <w:rPr>
                <w:rFonts w:ascii="Arial" w:eastAsia="Arial" w:hAnsi="Arial" w:cs="Arial"/>
                <w:szCs w:val="20"/>
                <w:lang w:val="en"/>
              </w:rPr>
              <w:t>NPAS</w:t>
            </w:r>
            <w:r w:rsidRPr="00D8027C">
              <w:rPr>
                <w:rFonts w:ascii="Arial" w:eastAsia="Arial" w:hAnsi="Arial" w:cs="Arial"/>
                <w:szCs w:val="20"/>
                <w:lang w:val="en"/>
              </w:rPr>
              <w:t xml:space="preserve"> users and young PWID, makes it difficult to plan programs. Global experience has insufficient recommendations for changing interventions for new drug users, which also affects the quality of programs. At the same time, the rapid expansion of new channels of communication between people, social media, the impact of the COVID epidemic on the transition to online approaches in the purchase of goods and services, has also affected the supply and demand markets for drugs. Preventive programs were not quick enough to change approaches and online outreach approaches were not developed, which led to difficulties in providing access to PWID groups. Many outreach workers in current programs have exceeded the average age of 45 and have begun to lose access to younger drug users.</w:t>
            </w:r>
          </w:p>
          <w:p w14:paraId="33074116" w14:textId="55E8D24D" w:rsidR="007F5F62" w:rsidRPr="00E769B9" w:rsidRDefault="007F5F62" w:rsidP="0026062D">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Pr>
                <w:rFonts w:ascii="Arial" w:eastAsia="Arial" w:hAnsi="Arial" w:cs="Arial"/>
                <w:szCs w:val="20"/>
                <w:lang w:val="en"/>
              </w:rPr>
              <w:t>PWUD remain a stigmatized group, in which fear and barriers to participate in prevention programs persist.</w:t>
            </w:r>
          </w:p>
          <w:p w14:paraId="3858A6A9" w14:textId="21F0276A" w:rsidR="007F5F62" w:rsidRPr="00E769B9" w:rsidRDefault="007F5F62" w:rsidP="0026062D">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903900">
              <w:rPr>
                <w:rFonts w:ascii="Arial" w:eastAsia="Arial" w:hAnsi="Arial" w:cs="Arial"/>
                <w:szCs w:val="20"/>
                <w:lang w:val="en"/>
              </w:rPr>
              <w:t xml:space="preserve">The requirement </w:t>
            </w:r>
            <w:r>
              <w:rPr>
                <w:rFonts w:ascii="Arial" w:eastAsia="Arial" w:hAnsi="Arial" w:cs="Arial"/>
                <w:szCs w:val="20"/>
                <w:lang w:val="en"/>
              </w:rPr>
              <w:t xml:space="preserve">for </w:t>
            </w:r>
            <w:r w:rsidRPr="00903900">
              <w:rPr>
                <w:rFonts w:ascii="Arial" w:eastAsia="Arial" w:hAnsi="Arial" w:cs="Arial"/>
                <w:szCs w:val="20"/>
                <w:lang w:val="en"/>
              </w:rPr>
              <w:t xml:space="preserve">PWID </w:t>
            </w:r>
            <w:r>
              <w:rPr>
                <w:rFonts w:ascii="Arial" w:eastAsia="Arial" w:hAnsi="Arial" w:cs="Arial"/>
                <w:szCs w:val="20"/>
                <w:lang w:val="en"/>
              </w:rPr>
              <w:t xml:space="preserve">to </w:t>
            </w:r>
            <w:r w:rsidRPr="00903900">
              <w:rPr>
                <w:rFonts w:ascii="Arial" w:eastAsia="Arial" w:hAnsi="Arial" w:cs="Arial"/>
                <w:szCs w:val="20"/>
                <w:lang w:val="en"/>
              </w:rPr>
              <w:t xml:space="preserve">be formally registered </w:t>
            </w:r>
            <w:r>
              <w:rPr>
                <w:rFonts w:ascii="Arial" w:eastAsia="Arial" w:hAnsi="Arial" w:cs="Arial"/>
                <w:szCs w:val="20"/>
                <w:lang w:val="en"/>
              </w:rPr>
              <w:t xml:space="preserve">in the </w:t>
            </w:r>
            <w:r w:rsidRPr="00903900">
              <w:rPr>
                <w:rFonts w:ascii="Arial" w:eastAsia="Arial" w:hAnsi="Arial" w:cs="Arial"/>
                <w:szCs w:val="20"/>
                <w:lang w:val="en"/>
              </w:rPr>
              <w:t xml:space="preserve">narcology registry at the start of treatment is a significant barrier to increasing PWID participation in </w:t>
            </w:r>
            <w:r>
              <w:rPr>
                <w:rFonts w:ascii="Arial" w:eastAsia="Arial" w:hAnsi="Arial" w:cs="Arial"/>
                <w:szCs w:val="20"/>
                <w:lang w:val="en"/>
              </w:rPr>
              <w:t>OST</w:t>
            </w:r>
            <w:r w:rsidRPr="00903900">
              <w:rPr>
                <w:rFonts w:ascii="Arial" w:eastAsia="Arial" w:hAnsi="Arial" w:cs="Arial"/>
                <w:szCs w:val="20"/>
                <w:lang w:val="en"/>
              </w:rPr>
              <w:t>.</w:t>
            </w:r>
          </w:p>
          <w:p w14:paraId="3BFE67AE" w14:textId="7C15A204" w:rsidR="007F5F62" w:rsidRPr="00E769B9" w:rsidRDefault="007F5F62" w:rsidP="0026062D">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903900">
              <w:rPr>
                <w:rFonts w:ascii="Arial" w:eastAsia="Arial" w:hAnsi="Arial" w:cs="Arial"/>
                <w:szCs w:val="20"/>
                <w:lang w:val="en"/>
              </w:rPr>
              <w:t xml:space="preserve">Low awareness and understanding of the benefits of </w:t>
            </w:r>
            <w:r>
              <w:rPr>
                <w:rFonts w:ascii="Arial" w:eastAsia="Arial" w:hAnsi="Arial" w:cs="Arial"/>
                <w:szCs w:val="20"/>
                <w:lang w:val="en"/>
              </w:rPr>
              <w:t>OST</w:t>
            </w:r>
            <w:r w:rsidRPr="00903900">
              <w:rPr>
                <w:rFonts w:ascii="Arial" w:eastAsia="Arial" w:hAnsi="Arial" w:cs="Arial"/>
                <w:szCs w:val="20"/>
                <w:lang w:val="en"/>
              </w:rPr>
              <w:t xml:space="preserve"> among active PWID, </w:t>
            </w:r>
            <w:r>
              <w:rPr>
                <w:rFonts w:ascii="Arial" w:eastAsia="Arial" w:hAnsi="Arial" w:cs="Arial"/>
                <w:szCs w:val="20"/>
                <w:lang w:val="en"/>
              </w:rPr>
              <w:t xml:space="preserve">among </w:t>
            </w:r>
            <w:r w:rsidRPr="00903900">
              <w:rPr>
                <w:rFonts w:ascii="Arial" w:eastAsia="Arial" w:hAnsi="Arial" w:cs="Arial"/>
                <w:szCs w:val="20"/>
                <w:lang w:val="en"/>
              </w:rPr>
              <w:t xml:space="preserve">doctors of primary care (dermatologists, infectious disease specialists, </w:t>
            </w:r>
            <w:r w:rsidR="0050174C">
              <w:rPr>
                <w:rFonts w:ascii="Arial" w:eastAsia="Arial" w:hAnsi="Arial" w:cs="Arial"/>
                <w:szCs w:val="20"/>
                <w:lang w:val="en"/>
              </w:rPr>
              <w:t>TB specialists</w:t>
            </w:r>
            <w:r w:rsidRPr="00903900">
              <w:rPr>
                <w:rFonts w:ascii="Arial" w:eastAsia="Arial" w:hAnsi="Arial" w:cs="Arial"/>
                <w:szCs w:val="20"/>
                <w:lang w:val="en"/>
              </w:rPr>
              <w:t xml:space="preserve">); small choice of drugs for </w:t>
            </w:r>
            <w:r w:rsidR="0050174C">
              <w:rPr>
                <w:rFonts w:ascii="Arial" w:eastAsia="Arial" w:hAnsi="Arial" w:cs="Arial"/>
                <w:szCs w:val="20"/>
                <w:lang w:val="en"/>
              </w:rPr>
              <w:t>substitution</w:t>
            </w:r>
            <w:r w:rsidRPr="00903900">
              <w:rPr>
                <w:rFonts w:ascii="Arial" w:eastAsia="Arial" w:hAnsi="Arial" w:cs="Arial"/>
                <w:szCs w:val="20"/>
                <w:lang w:val="en"/>
              </w:rPr>
              <w:t xml:space="preserve"> therapy; limited regulatory criteria for long-term medication; low access to psychosocial, legal and medical care and support.</w:t>
            </w:r>
          </w:p>
          <w:p w14:paraId="29DC4039" w14:textId="24047183" w:rsidR="007F5F62" w:rsidRPr="00E769B9" w:rsidRDefault="007F5F62" w:rsidP="0026062D">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Pr>
                <w:rFonts w:ascii="Arial" w:eastAsia="Arial" w:hAnsi="Arial" w:cs="Arial"/>
                <w:szCs w:val="20"/>
                <w:lang w:val="en"/>
              </w:rPr>
              <w:t xml:space="preserve">Prevention programs, including </w:t>
            </w:r>
            <w:r w:rsidR="0050174C">
              <w:rPr>
                <w:rFonts w:ascii="Arial" w:eastAsia="Arial" w:hAnsi="Arial" w:cs="Arial"/>
                <w:szCs w:val="20"/>
                <w:lang w:val="en"/>
              </w:rPr>
              <w:t>harm reduction</w:t>
            </w:r>
            <w:r>
              <w:rPr>
                <w:rFonts w:ascii="Arial" w:eastAsia="Arial" w:hAnsi="Arial" w:cs="Arial"/>
                <w:szCs w:val="20"/>
                <w:lang w:val="en"/>
              </w:rPr>
              <w:t xml:space="preserve"> and OST programs, have a high turnover rate and low motivation due to low pay and emotional burnout among </w:t>
            </w:r>
            <w:r w:rsidR="002E2966">
              <w:rPr>
                <w:rFonts w:ascii="Arial" w:eastAsia="Arial" w:hAnsi="Arial" w:cs="Arial"/>
                <w:szCs w:val="20"/>
                <w:lang w:val="en"/>
              </w:rPr>
              <w:t>staff</w:t>
            </w:r>
            <w:r>
              <w:rPr>
                <w:rFonts w:ascii="Arial" w:eastAsia="Arial" w:hAnsi="Arial" w:cs="Arial"/>
                <w:szCs w:val="20"/>
                <w:lang w:val="en"/>
              </w:rPr>
              <w:t>. In recent years, informational and educational activities regarding PWUD have declined.</w:t>
            </w:r>
          </w:p>
          <w:p w14:paraId="6E93167E" w14:textId="49583650" w:rsidR="00662E6E" w:rsidRPr="002E2966" w:rsidRDefault="007F5F62"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rPr>
            </w:pPr>
            <w:r w:rsidRPr="002E2966">
              <w:rPr>
                <w:rFonts w:ascii="Arial" w:eastAsia="Arial" w:hAnsi="Arial" w:cs="Arial"/>
                <w:sz w:val="22"/>
                <w:lang w:val="en"/>
              </w:rPr>
              <w:t xml:space="preserve">The needs of PWUD are changing, with a growing demand for specialized medical services, treatment for hepatitis and STIs. Yet, programs </w:t>
            </w:r>
            <w:r w:rsidR="009E5C9F">
              <w:rPr>
                <w:rFonts w:ascii="Arial" w:eastAsia="Arial" w:hAnsi="Arial" w:cs="Arial"/>
                <w:sz w:val="22"/>
                <w:lang w:val="en"/>
              </w:rPr>
              <w:t>are</w:t>
            </w:r>
            <w:r w:rsidRPr="002E2966">
              <w:rPr>
                <w:rFonts w:ascii="Arial" w:eastAsia="Arial" w:hAnsi="Arial" w:cs="Arial"/>
                <w:sz w:val="22"/>
                <w:lang w:val="en"/>
              </w:rPr>
              <w:t xml:space="preserve"> limited </w:t>
            </w:r>
            <w:r w:rsidR="009E5C9F">
              <w:rPr>
                <w:rFonts w:ascii="Arial" w:eastAsia="Arial" w:hAnsi="Arial" w:cs="Arial"/>
                <w:sz w:val="22"/>
                <w:lang w:val="en"/>
              </w:rPr>
              <w:t xml:space="preserve">which </w:t>
            </w:r>
            <w:r w:rsidRPr="002E2966">
              <w:rPr>
                <w:rFonts w:ascii="Arial" w:eastAsia="Arial" w:hAnsi="Arial" w:cs="Arial"/>
                <w:sz w:val="22"/>
                <w:lang w:val="en"/>
              </w:rPr>
              <w:t>reducing the motivation of PWUD to participate in the programs.</w:t>
            </w:r>
          </w:p>
        </w:tc>
      </w:tr>
      <w:tr w:rsidR="00662E6E" w14:paraId="3E11951C"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A5F395" w14:textId="77777777" w:rsidR="00662E6E" w:rsidRDefault="00662E6E" w:rsidP="0026062D">
            <w:pPr>
              <w:pStyle w:val="BodyText"/>
              <w:widowControl w:val="0"/>
              <w:spacing w:line="240" w:lineRule="auto"/>
            </w:pPr>
            <w:r>
              <w:lastRenderedPageBreak/>
              <w:t>Amount requested</w:t>
            </w:r>
          </w:p>
        </w:tc>
        <w:tc>
          <w:tcPr>
            <w:tcW w:w="12616" w:type="dxa"/>
          </w:tcPr>
          <w:p w14:paraId="1C7E8DC6" w14:textId="712117AE" w:rsidR="00662E6E" w:rsidRPr="00701DBA" w:rsidRDefault="009E5C9F"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$2,576,251</w:t>
            </w:r>
          </w:p>
        </w:tc>
      </w:tr>
      <w:tr w:rsidR="00662E6E" w14:paraId="3830ACB6"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43922525" w14:textId="77777777" w:rsidR="00662E6E" w:rsidRDefault="00662E6E" w:rsidP="0026062D">
            <w:pPr>
              <w:pStyle w:val="BodyText"/>
              <w:widowControl w:val="0"/>
              <w:spacing w:line="240" w:lineRule="auto"/>
            </w:pPr>
            <w:r>
              <w:t>Expected outcome</w:t>
            </w:r>
          </w:p>
        </w:tc>
        <w:tc>
          <w:tcPr>
            <w:tcW w:w="12616" w:type="dxa"/>
          </w:tcPr>
          <w:p w14:paraId="175BABF8" w14:textId="77777777" w:rsidR="00542269" w:rsidRPr="00E769B9" w:rsidRDefault="00542269"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sidRPr="0064306A">
              <w:rPr>
                <w:sz w:val="22"/>
                <w:szCs w:val="20"/>
                <w:lang w:val="en"/>
              </w:rPr>
              <w:t>At least 85% of PWID, including inmates/PWID, of the total population will be covered by the minimum package of services by 2026;</w:t>
            </w:r>
          </w:p>
          <w:p w14:paraId="32E1050A" w14:textId="77777777" w:rsidR="00542269" w:rsidRPr="00E769B9" w:rsidRDefault="00542269"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sidRPr="00976FD0">
              <w:rPr>
                <w:sz w:val="22"/>
                <w:szCs w:val="20"/>
                <w:lang w:val="en"/>
              </w:rPr>
              <w:t>At least 95% of PWID</w:t>
            </w:r>
            <w:r>
              <w:rPr>
                <w:sz w:val="22"/>
                <w:szCs w:val="20"/>
                <w:lang w:val="en"/>
              </w:rPr>
              <w:t xml:space="preserve"> covered by</w:t>
            </w:r>
            <w:r w:rsidRPr="00976FD0">
              <w:rPr>
                <w:sz w:val="22"/>
                <w:szCs w:val="20"/>
                <w:lang w:val="en"/>
              </w:rPr>
              <w:t xml:space="preserve"> the minimum package of services will be tested for HIV and will know their result;</w:t>
            </w:r>
          </w:p>
          <w:p w14:paraId="58A7CB57" w14:textId="7D8B1018" w:rsidR="00662E6E" w:rsidRPr="00701DBA" w:rsidRDefault="00542269"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sidRPr="0064306A">
              <w:rPr>
                <w:sz w:val="22"/>
                <w:szCs w:val="20"/>
                <w:lang w:val="en"/>
              </w:rPr>
              <w:t xml:space="preserve">At least 5% of the estimated number of opioid users are on </w:t>
            </w:r>
            <w:r>
              <w:rPr>
                <w:sz w:val="22"/>
                <w:szCs w:val="20"/>
                <w:lang w:val="en"/>
              </w:rPr>
              <w:t>OST</w:t>
            </w:r>
            <w:r w:rsidRPr="0064306A">
              <w:rPr>
                <w:sz w:val="22"/>
                <w:szCs w:val="20"/>
                <w:lang w:val="en"/>
              </w:rPr>
              <w:t>, including</w:t>
            </w:r>
            <w:r>
              <w:rPr>
                <w:sz w:val="22"/>
                <w:szCs w:val="20"/>
                <w:lang w:val="en"/>
              </w:rPr>
              <w:t xml:space="preserve"> those in prisons.</w:t>
            </w:r>
          </w:p>
        </w:tc>
      </w:tr>
    </w:tbl>
    <w:p w14:paraId="1639F194" w14:textId="0ADA729A"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688326C9"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3D3D28" w14:textId="6F5464AF" w:rsidR="00662E6E" w:rsidRDefault="00662E6E" w:rsidP="0026062D">
            <w:pPr>
              <w:pStyle w:val="BodyText"/>
              <w:widowControl w:val="0"/>
              <w:spacing w:line="240" w:lineRule="auto"/>
            </w:pPr>
            <w:r>
              <w:t>Module #8</w:t>
            </w:r>
          </w:p>
        </w:tc>
        <w:tc>
          <w:tcPr>
            <w:tcW w:w="12616" w:type="dxa"/>
          </w:tcPr>
          <w:p w14:paraId="726003EA" w14:textId="12847F4B" w:rsidR="00662E6E" w:rsidRPr="00D26D6E" w:rsidRDefault="00D26D6E"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D26D6E">
              <w:rPr>
                <w:sz w:val="22"/>
                <w:szCs w:val="22"/>
              </w:rPr>
              <w:t>Prevention Package for People in Prisons and Other Closed Settings</w:t>
            </w:r>
          </w:p>
        </w:tc>
      </w:tr>
      <w:tr w:rsidR="00662E6E" w14:paraId="45FF40CD"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73D3C0" w14:textId="77777777" w:rsidR="00662E6E" w:rsidRDefault="00662E6E" w:rsidP="0026062D">
            <w:pPr>
              <w:pStyle w:val="BodyText"/>
              <w:widowControl w:val="0"/>
              <w:spacing w:line="240" w:lineRule="auto"/>
            </w:pPr>
            <w:r>
              <w:t>Intervention(s)</w:t>
            </w:r>
          </w:p>
        </w:tc>
        <w:tc>
          <w:tcPr>
            <w:tcW w:w="12616" w:type="dxa"/>
          </w:tcPr>
          <w:p w14:paraId="78A36629" w14:textId="5F31BB31" w:rsidR="00C30DAF" w:rsidRPr="00C30DAF" w:rsidRDefault="00C30DAF"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sz w:val="22"/>
                <w:szCs w:val="22"/>
              </w:rPr>
            </w:pPr>
            <w:r w:rsidRPr="00C31014">
              <w:rPr>
                <w:b/>
                <w:bCs/>
                <w:sz w:val="22"/>
                <w:szCs w:val="22"/>
              </w:rPr>
              <w:t xml:space="preserve">Condom and lubricant </w:t>
            </w:r>
            <w:proofErr w:type="spellStart"/>
            <w:r w:rsidRPr="00C31014">
              <w:rPr>
                <w:b/>
                <w:bCs/>
                <w:sz w:val="22"/>
                <w:szCs w:val="22"/>
              </w:rPr>
              <w:t>programing</w:t>
            </w:r>
            <w:proofErr w:type="spellEnd"/>
            <w:r w:rsidRPr="00C31014">
              <w:rPr>
                <w:b/>
                <w:bCs/>
                <w:sz w:val="22"/>
                <w:szCs w:val="22"/>
              </w:rPr>
              <w:t xml:space="preserve"> for </w:t>
            </w:r>
            <w:r>
              <w:rPr>
                <w:b/>
                <w:bCs/>
                <w:sz w:val="22"/>
                <w:szCs w:val="22"/>
              </w:rPr>
              <w:t>prisoners</w:t>
            </w:r>
            <w:r w:rsidRPr="00C31014">
              <w:rPr>
                <w:b/>
                <w:bCs/>
                <w:sz w:val="22"/>
                <w:szCs w:val="22"/>
              </w:rPr>
              <w:t xml:space="preserve">; HIV prevention communication, information and demand creation for </w:t>
            </w:r>
            <w:r>
              <w:rPr>
                <w:b/>
                <w:bCs/>
                <w:sz w:val="22"/>
                <w:szCs w:val="22"/>
              </w:rPr>
              <w:t>prisoners</w:t>
            </w:r>
          </w:p>
          <w:p w14:paraId="0AFC6829" w14:textId="52E267D0" w:rsidR="003270A7" w:rsidRPr="00E769B9" w:rsidRDefault="003270A7"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473E0B">
              <w:rPr>
                <w:rFonts w:ascii="Arial" w:eastAsia="Arial" w:hAnsi="Arial" w:cs="Arial"/>
                <w:lang w:val="en"/>
              </w:rPr>
              <w:t xml:space="preserve">Harm reduction programs will continue in 9 </w:t>
            </w:r>
            <w:r>
              <w:rPr>
                <w:rFonts w:ascii="Arial" w:eastAsia="Arial" w:hAnsi="Arial" w:cs="Arial"/>
                <w:lang w:val="en"/>
              </w:rPr>
              <w:t xml:space="preserve">detention facilities </w:t>
            </w:r>
            <w:r w:rsidRPr="00473E0B">
              <w:rPr>
                <w:rFonts w:ascii="Arial" w:eastAsia="Arial" w:hAnsi="Arial" w:cs="Arial"/>
                <w:lang w:val="en"/>
              </w:rPr>
              <w:t xml:space="preserve">(8 </w:t>
            </w:r>
            <w:r>
              <w:rPr>
                <w:rFonts w:ascii="Arial" w:eastAsia="Arial" w:hAnsi="Arial" w:cs="Arial"/>
                <w:lang w:val="en"/>
              </w:rPr>
              <w:t>–</w:t>
            </w:r>
            <w:r w:rsidRPr="00473E0B">
              <w:rPr>
                <w:rFonts w:ascii="Arial" w:eastAsia="Arial" w:hAnsi="Arial" w:cs="Arial"/>
                <w:lang w:val="en"/>
              </w:rPr>
              <w:t xml:space="preserve"> </w:t>
            </w:r>
            <w:r>
              <w:rPr>
                <w:rFonts w:ascii="Arial" w:eastAsia="Arial" w:hAnsi="Arial" w:cs="Arial"/>
                <w:lang w:val="en"/>
              </w:rPr>
              <w:t>SEP</w:t>
            </w:r>
            <w:r w:rsidRPr="00473E0B">
              <w:rPr>
                <w:rFonts w:ascii="Arial" w:eastAsia="Arial" w:hAnsi="Arial" w:cs="Arial"/>
                <w:lang w:val="en"/>
              </w:rPr>
              <w:t xml:space="preserve">s and 9 </w:t>
            </w:r>
            <w:r>
              <w:rPr>
                <w:rFonts w:ascii="Arial" w:eastAsia="Arial" w:hAnsi="Arial" w:cs="Arial"/>
                <w:lang w:val="en"/>
              </w:rPr>
              <w:t>–</w:t>
            </w:r>
            <w:r w:rsidRPr="00473E0B">
              <w:rPr>
                <w:rFonts w:ascii="Arial" w:eastAsia="Arial" w:hAnsi="Arial" w:cs="Arial"/>
                <w:lang w:val="en"/>
              </w:rPr>
              <w:t xml:space="preserve"> </w:t>
            </w:r>
            <w:r>
              <w:rPr>
                <w:rFonts w:ascii="Arial" w:eastAsia="Arial" w:hAnsi="Arial" w:cs="Arial"/>
                <w:lang w:val="en"/>
              </w:rPr>
              <w:t>OST</w:t>
            </w:r>
            <w:r w:rsidRPr="00473E0B">
              <w:rPr>
                <w:rFonts w:ascii="Arial" w:eastAsia="Arial" w:hAnsi="Arial" w:cs="Arial"/>
                <w:lang w:val="en"/>
              </w:rPr>
              <w:t xml:space="preserve">s) with a total coverage of 662 </w:t>
            </w:r>
            <w:r w:rsidR="001B1619">
              <w:rPr>
                <w:rFonts w:ascii="Arial" w:eastAsia="Arial" w:hAnsi="Arial" w:cs="Arial"/>
                <w:lang w:val="en"/>
              </w:rPr>
              <w:t xml:space="preserve">by </w:t>
            </w:r>
            <w:r>
              <w:rPr>
                <w:rFonts w:ascii="Arial" w:eastAsia="Arial" w:hAnsi="Arial" w:cs="Arial"/>
                <w:lang w:val="en"/>
              </w:rPr>
              <w:t>SEP</w:t>
            </w:r>
            <w:r w:rsidRPr="00473E0B">
              <w:rPr>
                <w:rFonts w:ascii="Arial" w:eastAsia="Arial" w:hAnsi="Arial" w:cs="Arial"/>
                <w:lang w:val="en"/>
              </w:rPr>
              <w:t xml:space="preserve">s and 208 </w:t>
            </w:r>
            <w:r w:rsidR="001B1619">
              <w:rPr>
                <w:rFonts w:ascii="Arial" w:eastAsia="Arial" w:hAnsi="Arial" w:cs="Arial"/>
                <w:lang w:val="en"/>
              </w:rPr>
              <w:t xml:space="preserve">on </w:t>
            </w:r>
            <w:r>
              <w:rPr>
                <w:rFonts w:ascii="Arial" w:eastAsia="Arial" w:hAnsi="Arial" w:cs="Arial"/>
                <w:lang w:val="en"/>
              </w:rPr>
              <w:t>OST</w:t>
            </w:r>
            <w:r w:rsidRPr="00473E0B">
              <w:rPr>
                <w:rFonts w:ascii="Arial" w:eastAsia="Arial" w:hAnsi="Arial" w:cs="Arial"/>
                <w:lang w:val="en"/>
              </w:rPr>
              <w:t xml:space="preserve"> by the end of 2022. HIV testing, syringe</w:t>
            </w:r>
            <w:r w:rsidR="001B1619">
              <w:rPr>
                <w:rFonts w:ascii="Arial" w:eastAsia="Arial" w:hAnsi="Arial" w:cs="Arial"/>
                <w:lang w:val="en"/>
              </w:rPr>
              <w:t>s and</w:t>
            </w:r>
            <w:r w:rsidRPr="00473E0B">
              <w:rPr>
                <w:rFonts w:ascii="Arial" w:eastAsia="Arial" w:hAnsi="Arial" w:cs="Arial"/>
                <w:lang w:val="en"/>
              </w:rPr>
              <w:t xml:space="preserve"> methadone</w:t>
            </w:r>
            <w:r w:rsidR="001B1619">
              <w:rPr>
                <w:rFonts w:ascii="Arial" w:eastAsia="Arial" w:hAnsi="Arial" w:cs="Arial"/>
                <w:lang w:val="en"/>
              </w:rPr>
              <w:t xml:space="preserve"> provision</w:t>
            </w:r>
            <w:r w:rsidRPr="00473E0B">
              <w:rPr>
                <w:rFonts w:ascii="Arial" w:eastAsia="Arial" w:hAnsi="Arial" w:cs="Arial"/>
                <w:lang w:val="en"/>
              </w:rPr>
              <w:t>, TB diagnos</w:t>
            </w:r>
            <w:r w:rsidR="001B1619">
              <w:rPr>
                <w:rFonts w:ascii="Arial" w:eastAsia="Arial" w:hAnsi="Arial" w:cs="Arial"/>
                <w:lang w:val="en"/>
              </w:rPr>
              <w:t>tics</w:t>
            </w:r>
            <w:r w:rsidRPr="00473E0B">
              <w:rPr>
                <w:rFonts w:ascii="Arial" w:eastAsia="Arial" w:hAnsi="Arial" w:cs="Arial"/>
                <w:lang w:val="en"/>
              </w:rPr>
              <w:t xml:space="preserve">, and ART services for </w:t>
            </w:r>
            <w:r w:rsidRPr="00473E0B">
              <w:rPr>
                <w:rFonts w:ascii="Arial" w:eastAsia="Arial" w:hAnsi="Arial" w:cs="Arial"/>
                <w:lang w:val="en"/>
              </w:rPr>
              <w:lastRenderedPageBreak/>
              <w:t xml:space="preserve">prisoners will be expanded to provide 90% of PWUD with harm reduction programs and 90% of PWUD with ART in prisons with an uninterrupted supply of medications. The quality of services will be improved, and the package of services provided will be expanded to include viral hepatitis testing for up to 100% of </w:t>
            </w:r>
            <w:r w:rsidR="002A6D5D">
              <w:rPr>
                <w:rFonts w:ascii="Arial" w:eastAsia="Arial" w:hAnsi="Arial" w:cs="Arial"/>
                <w:lang w:val="en"/>
              </w:rPr>
              <w:t>prisoners</w:t>
            </w:r>
            <w:r w:rsidRPr="00473E0B">
              <w:rPr>
                <w:rFonts w:ascii="Arial" w:eastAsia="Arial" w:hAnsi="Arial" w:cs="Arial"/>
                <w:lang w:val="en"/>
              </w:rPr>
              <w:t xml:space="preserve"> and PWUD on probation each year. 60% of new drug users among </w:t>
            </w:r>
            <w:r>
              <w:rPr>
                <w:rFonts w:ascii="Arial" w:eastAsia="Arial" w:hAnsi="Arial" w:cs="Arial"/>
                <w:lang w:val="en"/>
              </w:rPr>
              <w:t>detainees</w:t>
            </w:r>
            <w:r w:rsidRPr="00473E0B">
              <w:rPr>
                <w:rFonts w:ascii="Arial" w:eastAsia="Arial" w:hAnsi="Arial" w:cs="Arial"/>
                <w:lang w:val="en"/>
              </w:rPr>
              <w:t xml:space="preserve"> will be provided with condoms and lubricants. </w:t>
            </w:r>
            <w:r w:rsidR="00FC37F2">
              <w:rPr>
                <w:rFonts w:ascii="Arial" w:eastAsia="Arial" w:hAnsi="Arial" w:cs="Arial"/>
                <w:lang w:val="en"/>
              </w:rPr>
              <w:t>SRH</w:t>
            </w:r>
            <w:r w:rsidRPr="00473E0B">
              <w:rPr>
                <w:rFonts w:ascii="Arial" w:eastAsia="Arial" w:hAnsi="Arial" w:cs="Arial"/>
                <w:lang w:val="en"/>
              </w:rPr>
              <w:t xml:space="preserve"> services will be provided for all PWUD/prisoners in need, including free STI diagnos</w:t>
            </w:r>
            <w:r w:rsidR="004A38E8">
              <w:rPr>
                <w:rFonts w:ascii="Arial" w:eastAsia="Arial" w:hAnsi="Arial" w:cs="Arial"/>
                <w:lang w:val="en"/>
              </w:rPr>
              <w:t>tics</w:t>
            </w:r>
            <w:r w:rsidRPr="00473E0B">
              <w:rPr>
                <w:rFonts w:ascii="Arial" w:eastAsia="Arial" w:hAnsi="Arial" w:cs="Arial"/>
                <w:lang w:val="en"/>
              </w:rPr>
              <w:t xml:space="preserve"> and treatment, </w:t>
            </w:r>
            <w:r w:rsidR="009C2EF8">
              <w:rPr>
                <w:rFonts w:ascii="Arial" w:eastAsia="Arial" w:hAnsi="Arial" w:cs="Arial"/>
                <w:lang w:val="en"/>
              </w:rPr>
              <w:t>H</w:t>
            </w:r>
            <w:r w:rsidRPr="00473E0B">
              <w:rPr>
                <w:rFonts w:ascii="Arial" w:eastAsia="Arial" w:hAnsi="Arial" w:cs="Arial"/>
                <w:lang w:val="en"/>
              </w:rPr>
              <w:t>C</w:t>
            </w:r>
            <w:r w:rsidR="009C2EF8">
              <w:rPr>
                <w:rFonts w:ascii="Arial" w:eastAsia="Arial" w:hAnsi="Arial" w:cs="Arial"/>
                <w:lang w:val="en"/>
              </w:rPr>
              <w:t>V</w:t>
            </w:r>
            <w:r w:rsidRPr="00473E0B">
              <w:rPr>
                <w:rFonts w:ascii="Arial" w:eastAsia="Arial" w:hAnsi="Arial" w:cs="Arial"/>
                <w:lang w:val="en"/>
              </w:rPr>
              <w:t xml:space="preserve"> treatment, and provision of </w:t>
            </w:r>
            <w:r w:rsidR="00E90859">
              <w:rPr>
                <w:rFonts w:ascii="Arial" w:eastAsia="Arial" w:hAnsi="Arial" w:cs="Arial"/>
                <w:lang w:val="en"/>
              </w:rPr>
              <w:t>HBV</w:t>
            </w:r>
            <w:r w:rsidRPr="00473E0B">
              <w:rPr>
                <w:rFonts w:ascii="Arial" w:eastAsia="Arial" w:hAnsi="Arial" w:cs="Arial"/>
                <w:lang w:val="en"/>
              </w:rPr>
              <w:t xml:space="preserve"> vaccinations. Rapid HIV testing in pre-trial detention facilities will be introduced, as well as re-testing for HIV six months after admission to prison</w:t>
            </w:r>
            <w:r>
              <w:rPr>
                <w:rFonts w:ascii="Arial" w:eastAsia="Arial" w:hAnsi="Arial" w:cs="Arial"/>
                <w:lang w:val="en"/>
              </w:rPr>
              <w:t xml:space="preserve"> due to </w:t>
            </w:r>
            <w:r w:rsidRPr="00473E0B">
              <w:rPr>
                <w:rFonts w:ascii="Arial" w:eastAsia="Arial" w:hAnsi="Arial" w:cs="Arial"/>
                <w:lang w:val="en"/>
              </w:rPr>
              <w:t>the window period. Naloxone and overdose prevention training will be given to at least 90% of PWID. Minimum package of services will include provi</w:t>
            </w:r>
            <w:r w:rsidR="00D13271">
              <w:rPr>
                <w:rFonts w:ascii="Arial" w:eastAsia="Arial" w:hAnsi="Arial" w:cs="Arial"/>
                <w:lang w:val="en"/>
              </w:rPr>
              <w:t>sion of</w:t>
            </w:r>
            <w:r w:rsidRPr="00473E0B">
              <w:rPr>
                <w:rFonts w:ascii="Arial" w:eastAsia="Arial" w:hAnsi="Arial" w:cs="Arial"/>
                <w:lang w:val="en"/>
              </w:rPr>
              <w:t xml:space="preserve"> information</w:t>
            </w:r>
            <w:r w:rsidR="00D13271">
              <w:rPr>
                <w:rFonts w:ascii="Arial" w:eastAsia="Arial" w:hAnsi="Arial" w:cs="Arial"/>
                <w:lang w:val="en"/>
              </w:rPr>
              <w:t>,</w:t>
            </w:r>
            <w:r w:rsidRPr="00473E0B">
              <w:rPr>
                <w:rFonts w:ascii="Arial" w:eastAsia="Arial" w:hAnsi="Arial" w:cs="Arial"/>
                <w:lang w:val="en"/>
              </w:rPr>
              <w:t xml:space="preserve"> syringes</w:t>
            </w:r>
            <w:r>
              <w:rPr>
                <w:rFonts w:ascii="Arial" w:eastAsia="Arial" w:hAnsi="Arial" w:cs="Arial"/>
                <w:lang w:val="en"/>
              </w:rPr>
              <w:t>, OST</w:t>
            </w:r>
            <w:r w:rsidRPr="00473E0B">
              <w:rPr>
                <w:rFonts w:ascii="Arial" w:eastAsia="Arial" w:hAnsi="Arial" w:cs="Arial"/>
                <w:lang w:val="en"/>
              </w:rPr>
              <w:t xml:space="preserve">, condoms; HCV and STI testing; STI treatment if needed. </w:t>
            </w:r>
          </w:p>
          <w:p w14:paraId="1034A95D" w14:textId="63798186" w:rsidR="003270A7" w:rsidRPr="00E769B9" w:rsidRDefault="003270A7"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05BA1">
              <w:rPr>
                <w:rFonts w:ascii="Arial" w:eastAsia="Arial" w:hAnsi="Arial" w:cs="Arial"/>
                <w:lang w:val="en"/>
              </w:rPr>
              <w:t>Individual and group counseling will be provided on safe injecting and sexual practices; HIV, STI, and hepatitis prevention</w:t>
            </w:r>
            <w:r>
              <w:rPr>
                <w:rFonts w:ascii="Arial" w:eastAsia="Arial" w:hAnsi="Arial" w:cs="Arial"/>
                <w:lang w:val="en"/>
              </w:rPr>
              <w:t xml:space="preserve"> as well as on</w:t>
            </w:r>
            <w:r w:rsidRPr="00605BA1">
              <w:rPr>
                <w:rFonts w:ascii="Arial" w:eastAsia="Arial" w:hAnsi="Arial" w:cs="Arial"/>
                <w:lang w:val="en"/>
              </w:rPr>
              <w:t xml:space="preserve"> human rights, reaching up to 90% of the target </w:t>
            </w:r>
            <w:r w:rsidR="000457FA">
              <w:rPr>
                <w:rFonts w:ascii="Arial" w:eastAsia="Arial" w:hAnsi="Arial" w:cs="Arial"/>
                <w:lang w:val="en"/>
              </w:rPr>
              <w:t>prisoners</w:t>
            </w:r>
            <w:r w:rsidRPr="00605BA1">
              <w:rPr>
                <w:rFonts w:ascii="Arial" w:eastAsia="Arial" w:hAnsi="Arial" w:cs="Arial"/>
                <w:lang w:val="en"/>
              </w:rPr>
              <w:t xml:space="preserve"> population. There will be training for 95% of prisoners living with HIV in 6 modules of the Patient School. Informational and educational materials will be developed and distributed.</w:t>
            </w:r>
          </w:p>
          <w:p w14:paraId="4F521EAA" w14:textId="770AAC05" w:rsidR="003270A7" w:rsidRPr="00E769B9" w:rsidRDefault="003270A7" w:rsidP="0026062D">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lang w:val="en"/>
              </w:rPr>
              <w:t xml:space="preserve">Continuity of services during and after imprisonment is ensured by preparing for release, accompanying </w:t>
            </w:r>
            <w:r w:rsidR="002971DA">
              <w:rPr>
                <w:rFonts w:ascii="Arial" w:eastAsia="Arial" w:hAnsi="Arial" w:cs="Arial"/>
                <w:lang w:val="en"/>
              </w:rPr>
              <w:t>prisoners</w:t>
            </w:r>
            <w:r>
              <w:rPr>
                <w:rFonts w:ascii="Arial" w:eastAsia="Arial" w:hAnsi="Arial" w:cs="Arial"/>
                <w:lang w:val="en"/>
              </w:rPr>
              <w:t xml:space="preserve"> on OST, ART, treatment for TB or hepatitis after release. Those in need will be provided with temporary accommodation after their release with the support of the civil society organizations. There will be activities to build the capacity of the ex-prisoner community, including the provision of services and advocacy as well as participation in country decision-making coordination mechanisms. Upon admission to the penitentiary system as well as after release, prisoners will be provided with legal support </w:t>
            </w:r>
            <w:r w:rsidR="005B1BD5">
              <w:rPr>
                <w:rFonts w:ascii="Arial" w:eastAsia="Arial" w:hAnsi="Arial" w:cs="Arial"/>
                <w:lang w:val="en"/>
              </w:rPr>
              <w:t>In line with</w:t>
            </w:r>
            <w:r>
              <w:rPr>
                <w:rFonts w:ascii="Arial" w:eastAsia="Arial" w:hAnsi="Arial" w:cs="Arial"/>
                <w:lang w:val="en"/>
              </w:rPr>
              <w:t xml:space="preserve"> the legislation of the Kyrgyz Republic, with assistance in restoring documents, and the possibility of vocational training.</w:t>
            </w:r>
          </w:p>
          <w:p w14:paraId="188F215A" w14:textId="7BF61673" w:rsidR="00662E6E" w:rsidRPr="00771958" w:rsidRDefault="003270A7"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sz w:val="22"/>
                <w:szCs w:val="22"/>
              </w:rPr>
            </w:pPr>
            <w:r w:rsidRPr="00A940D1">
              <w:rPr>
                <w:rFonts w:eastAsia="Arial"/>
                <w:sz w:val="22"/>
                <w:szCs w:val="22"/>
                <w:lang w:val="en"/>
              </w:rPr>
              <w:t xml:space="preserve">Awareness-raising of employees of detention </w:t>
            </w:r>
            <w:r w:rsidR="00FA5D6C">
              <w:rPr>
                <w:rFonts w:eastAsia="Arial"/>
                <w:sz w:val="22"/>
                <w:szCs w:val="22"/>
                <w:lang w:val="en"/>
              </w:rPr>
              <w:t>facilities</w:t>
            </w:r>
            <w:r w:rsidRPr="00A940D1">
              <w:rPr>
                <w:rFonts w:eastAsia="Arial"/>
                <w:sz w:val="22"/>
                <w:szCs w:val="22"/>
                <w:lang w:val="en"/>
              </w:rPr>
              <w:t xml:space="preserve"> will be carried out on stigma and discrimination in order to ensure the rights of PLHIV and the various needs of different sub</w:t>
            </w:r>
            <w:r w:rsidR="00FA5D6C">
              <w:rPr>
                <w:rFonts w:eastAsia="Arial"/>
                <w:sz w:val="22"/>
                <w:szCs w:val="22"/>
                <w:lang w:val="en"/>
              </w:rPr>
              <w:t>-</w:t>
            </w:r>
            <w:r w:rsidRPr="00A940D1">
              <w:rPr>
                <w:rFonts w:eastAsia="Arial"/>
                <w:sz w:val="22"/>
                <w:szCs w:val="22"/>
                <w:lang w:val="en"/>
              </w:rPr>
              <w:t>groups among prisoners. Delivery of bio-materials of prisoners for the laboratory diagnosis of HIV and TB will be taken care of.</w:t>
            </w:r>
          </w:p>
        </w:tc>
      </w:tr>
      <w:tr w:rsidR="00662E6E" w14:paraId="3AD192A9" w14:textId="77777777" w:rsidTr="00294243">
        <w:tc>
          <w:tcPr>
            <w:tcW w:w="2547" w:type="dxa"/>
          </w:tcPr>
          <w:p w14:paraId="6C65E0C5" w14:textId="77777777" w:rsidR="00662E6E" w:rsidRDefault="00662E6E" w:rsidP="0026062D">
            <w:pPr>
              <w:pStyle w:val="BodyText"/>
              <w:widowControl w:val="0"/>
              <w:spacing w:line="240" w:lineRule="auto"/>
              <w:cnfStyle w:val="001000000000" w:firstRow="0" w:lastRow="0" w:firstColumn="1" w:lastColumn="0" w:oddVBand="0" w:evenVBand="0" w:oddHBand="0" w:evenHBand="0" w:firstRowFirstColumn="0" w:firstRowLastColumn="0" w:lastRowFirstColumn="0" w:lastRowLastColumn="0"/>
            </w:pPr>
            <w:r>
              <w:lastRenderedPageBreak/>
              <w:t>Population, geographies and/or barriers addressed</w:t>
            </w:r>
          </w:p>
        </w:tc>
        <w:tc>
          <w:tcPr>
            <w:tcW w:w="12616" w:type="dxa"/>
          </w:tcPr>
          <w:p w14:paraId="5768D4BF" w14:textId="46E8D633" w:rsidR="00C11687" w:rsidRPr="00E769B9" w:rsidRDefault="00C11687" w:rsidP="0026062D">
            <w:pPr>
              <w:widowControl w:val="0"/>
              <w:jc w:val="both"/>
              <w:rPr>
                <w:rFonts w:ascii="Arial" w:eastAsia="Arial" w:hAnsi="Arial" w:cs="Arial"/>
                <w:szCs w:val="20"/>
              </w:rPr>
            </w:pPr>
            <w:r>
              <w:rPr>
                <w:rFonts w:ascii="Arial" w:eastAsia="Arial" w:hAnsi="Arial" w:cs="Arial"/>
                <w:szCs w:val="20"/>
                <w:lang w:val="en"/>
              </w:rPr>
              <w:t>PL</w:t>
            </w:r>
            <w:r w:rsidRPr="00605BA1">
              <w:rPr>
                <w:rFonts w:ascii="Arial" w:eastAsia="Arial" w:hAnsi="Arial" w:cs="Arial"/>
                <w:szCs w:val="20"/>
                <w:lang w:val="en"/>
              </w:rPr>
              <w:t xml:space="preserve">HIV, people with TB, exposed </w:t>
            </w:r>
            <w:r>
              <w:rPr>
                <w:rFonts w:ascii="Arial" w:eastAsia="Arial" w:hAnsi="Arial" w:cs="Arial"/>
                <w:szCs w:val="20"/>
                <w:lang w:val="en"/>
              </w:rPr>
              <w:t>people</w:t>
            </w:r>
            <w:r w:rsidRPr="00605BA1">
              <w:rPr>
                <w:rFonts w:ascii="Arial" w:eastAsia="Arial" w:hAnsi="Arial" w:cs="Arial"/>
                <w:szCs w:val="20"/>
                <w:lang w:val="en"/>
              </w:rPr>
              <w:t>, and people in prison. All organizations of the penitentiary system and probation system, colony settlements, pre-trial detention centers</w:t>
            </w:r>
          </w:p>
          <w:p w14:paraId="6BB69892" w14:textId="77777777" w:rsidR="00C11687" w:rsidRPr="00E769B9" w:rsidRDefault="00C11687" w:rsidP="0026062D">
            <w:pPr>
              <w:widowControl w:val="0"/>
              <w:jc w:val="both"/>
              <w:rPr>
                <w:rFonts w:ascii="Arial" w:eastAsia="Arial" w:hAnsi="Arial" w:cs="Arial"/>
                <w:szCs w:val="20"/>
              </w:rPr>
            </w:pPr>
            <w:r w:rsidRPr="00605BA1">
              <w:rPr>
                <w:rFonts w:ascii="Arial" w:eastAsia="Arial" w:hAnsi="Arial" w:cs="Arial"/>
                <w:szCs w:val="20"/>
                <w:lang w:val="en"/>
              </w:rPr>
              <w:t>Kyrgyz Republic.</w:t>
            </w:r>
          </w:p>
          <w:p w14:paraId="57081C8A" w14:textId="1E36E129" w:rsidR="00C11687" w:rsidRPr="00E769B9" w:rsidRDefault="00C11687" w:rsidP="0026062D">
            <w:pPr>
              <w:widowControl w:val="0"/>
              <w:jc w:val="both"/>
              <w:rPr>
                <w:rFonts w:ascii="Arial" w:eastAsia="Arial" w:hAnsi="Arial" w:cs="Arial"/>
                <w:szCs w:val="20"/>
              </w:rPr>
            </w:pPr>
            <w:r w:rsidRPr="00F9577A">
              <w:rPr>
                <w:rFonts w:ascii="Arial" w:eastAsia="Arial" w:hAnsi="Arial" w:cs="Arial"/>
                <w:szCs w:val="20"/>
                <w:lang w:val="en"/>
              </w:rPr>
              <w:t>The</w:t>
            </w:r>
            <w:r>
              <w:rPr>
                <w:rFonts w:ascii="Arial" w:eastAsia="Arial" w:hAnsi="Arial" w:cs="Arial"/>
                <w:szCs w:val="20"/>
                <w:lang w:val="en"/>
              </w:rPr>
              <w:t xml:space="preserve"> penitentiary</w:t>
            </w:r>
            <w:r w:rsidRPr="00F9577A">
              <w:rPr>
                <w:rFonts w:ascii="Arial" w:eastAsia="Arial" w:hAnsi="Arial" w:cs="Arial"/>
                <w:szCs w:val="20"/>
                <w:lang w:val="en"/>
              </w:rPr>
              <w:t xml:space="preserve"> system </w:t>
            </w:r>
            <w:r w:rsidR="00040B36">
              <w:rPr>
                <w:rFonts w:ascii="Arial" w:eastAsia="Arial" w:hAnsi="Arial" w:cs="Arial"/>
                <w:szCs w:val="20"/>
                <w:lang w:val="en"/>
              </w:rPr>
              <w:t>doesn’t have</w:t>
            </w:r>
            <w:r w:rsidRPr="00F9577A">
              <w:rPr>
                <w:rFonts w:ascii="Arial" w:eastAsia="Arial" w:hAnsi="Arial" w:cs="Arial"/>
                <w:szCs w:val="20"/>
                <w:lang w:val="en"/>
              </w:rPr>
              <w:t xml:space="preserve"> estimate</w:t>
            </w:r>
            <w:r w:rsidR="00040B36">
              <w:rPr>
                <w:rFonts w:ascii="Arial" w:eastAsia="Arial" w:hAnsi="Arial" w:cs="Arial"/>
                <w:szCs w:val="20"/>
                <w:lang w:val="en"/>
              </w:rPr>
              <w:t>s</w:t>
            </w:r>
            <w:r w:rsidRPr="00F9577A">
              <w:rPr>
                <w:rFonts w:ascii="Arial" w:eastAsia="Arial" w:hAnsi="Arial" w:cs="Arial"/>
                <w:szCs w:val="20"/>
                <w:lang w:val="en"/>
              </w:rPr>
              <w:t xml:space="preserve"> </w:t>
            </w:r>
            <w:r w:rsidR="00040B36">
              <w:rPr>
                <w:rFonts w:ascii="Arial" w:eastAsia="Arial" w:hAnsi="Arial" w:cs="Arial"/>
                <w:szCs w:val="20"/>
                <w:lang w:val="en"/>
              </w:rPr>
              <w:t xml:space="preserve">by </w:t>
            </w:r>
            <w:r w:rsidRPr="00F9577A">
              <w:rPr>
                <w:rFonts w:ascii="Arial" w:eastAsia="Arial" w:hAnsi="Arial" w:cs="Arial"/>
                <w:szCs w:val="20"/>
                <w:lang w:val="en"/>
              </w:rPr>
              <w:t xml:space="preserve">the </w:t>
            </w:r>
            <w:r w:rsidR="00040B36">
              <w:rPr>
                <w:rFonts w:ascii="Arial" w:eastAsia="Arial" w:hAnsi="Arial" w:cs="Arial"/>
                <w:szCs w:val="20"/>
                <w:lang w:val="en"/>
              </w:rPr>
              <w:t>imprisoned KPs</w:t>
            </w:r>
            <w:r w:rsidRPr="00F9577A">
              <w:rPr>
                <w:rFonts w:ascii="Arial" w:eastAsia="Arial" w:hAnsi="Arial" w:cs="Arial"/>
                <w:szCs w:val="20"/>
                <w:lang w:val="en"/>
              </w:rPr>
              <w:t xml:space="preserve">, at the same time, according to the sentence-implementation service (SIS), by the end of 2022, the total prison population was 6,800 people. </w:t>
            </w:r>
            <w:r w:rsidR="00FA4A83">
              <w:rPr>
                <w:rFonts w:ascii="Arial" w:eastAsia="Arial" w:hAnsi="Arial" w:cs="Arial"/>
                <w:szCs w:val="20"/>
                <w:lang w:val="en"/>
              </w:rPr>
              <w:t xml:space="preserve">According to the </w:t>
            </w:r>
            <w:r w:rsidR="00AC7AD0">
              <w:rPr>
                <w:rFonts w:ascii="Arial" w:eastAsia="Arial" w:hAnsi="Arial" w:cs="Arial"/>
                <w:szCs w:val="20"/>
                <w:lang w:val="en"/>
              </w:rPr>
              <w:t>RCCVHHIV</w:t>
            </w:r>
            <w:r w:rsidR="00FA4A83">
              <w:rPr>
                <w:rFonts w:ascii="Arial" w:eastAsia="Arial" w:hAnsi="Arial" w:cs="Arial"/>
                <w:szCs w:val="20"/>
                <w:lang w:val="en"/>
              </w:rPr>
              <w:t xml:space="preserve">, </w:t>
            </w:r>
            <w:r>
              <w:rPr>
                <w:rFonts w:ascii="Arial" w:eastAsia="Arial" w:hAnsi="Arial" w:cs="Arial"/>
                <w:szCs w:val="20"/>
                <w:lang w:val="en"/>
              </w:rPr>
              <w:t>147</w:t>
            </w:r>
            <w:r w:rsidRPr="00F9577A">
              <w:rPr>
                <w:rFonts w:ascii="Arial" w:eastAsia="Arial" w:hAnsi="Arial" w:cs="Arial"/>
                <w:szCs w:val="20"/>
                <w:lang w:val="en"/>
              </w:rPr>
              <w:t xml:space="preserve"> PLHIV </w:t>
            </w:r>
            <w:r w:rsidR="0021587E">
              <w:rPr>
                <w:rFonts w:ascii="Arial" w:eastAsia="Arial" w:hAnsi="Arial" w:cs="Arial"/>
                <w:szCs w:val="20"/>
                <w:lang w:val="en"/>
              </w:rPr>
              <w:t xml:space="preserve">were </w:t>
            </w:r>
            <w:r w:rsidRPr="00F9577A">
              <w:rPr>
                <w:rFonts w:ascii="Arial" w:eastAsia="Arial" w:hAnsi="Arial" w:cs="Arial"/>
                <w:szCs w:val="20"/>
                <w:lang w:val="en"/>
              </w:rPr>
              <w:t xml:space="preserve">in the SIS, of whom </w:t>
            </w:r>
            <w:r>
              <w:rPr>
                <w:rFonts w:ascii="Arial" w:eastAsia="Arial" w:hAnsi="Arial" w:cs="Arial"/>
                <w:szCs w:val="20"/>
                <w:lang w:val="en"/>
              </w:rPr>
              <w:t>145 PLHIV (</w:t>
            </w:r>
            <w:r w:rsidRPr="00F9577A">
              <w:rPr>
                <w:rFonts w:ascii="Arial" w:eastAsia="Arial" w:hAnsi="Arial" w:cs="Arial"/>
                <w:szCs w:val="20"/>
                <w:lang w:val="en"/>
              </w:rPr>
              <w:t>9</w:t>
            </w:r>
            <w:r>
              <w:rPr>
                <w:rFonts w:ascii="Arial" w:eastAsia="Arial" w:hAnsi="Arial" w:cs="Arial"/>
                <w:szCs w:val="20"/>
                <w:lang w:val="en"/>
              </w:rPr>
              <w:t>8,6</w:t>
            </w:r>
            <w:r w:rsidRPr="00F9577A">
              <w:rPr>
                <w:rFonts w:ascii="Arial" w:eastAsia="Arial" w:hAnsi="Arial" w:cs="Arial"/>
                <w:szCs w:val="20"/>
                <w:lang w:val="en"/>
              </w:rPr>
              <w:t>%</w:t>
            </w:r>
            <w:r>
              <w:rPr>
                <w:rFonts w:ascii="Arial" w:eastAsia="Arial" w:hAnsi="Arial" w:cs="Arial"/>
                <w:szCs w:val="20"/>
                <w:lang w:val="en"/>
              </w:rPr>
              <w:t>)</w:t>
            </w:r>
            <w:r w:rsidRPr="00F9577A">
              <w:rPr>
                <w:rFonts w:ascii="Arial" w:eastAsia="Arial" w:hAnsi="Arial" w:cs="Arial"/>
                <w:szCs w:val="20"/>
                <w:lang w:val="en"/>
              </w:rPr>
              <w:t xml:space="preserve"> received ART and</w:t>
            </w:r>
            <w:r>
              <w:rPr>
                <w:rFonts w:ascii="Arial" w:eastAsia="Arial" w:hAnsi="Arial" w:cs="Arial"/>
                <w:szCs w:val="20"/>
                <w:lang w:val="en"/>
              </w:rPr>
              <w:t xml:space="preserve"> 119 (82</w:t>
            </w:r>
            <w:r w:rsidRPr="00F9577A">
              <w:rPr>
                <w:rFonts w:ascii="Arial" w:eastAsia="Arial" w:hAnsi="Arial" w:cs="Arial"/>
                <w:szCs w:val="20"/>
                <w:lang w:val="en"/>
              </w:rPr>
              <w:t>%</w:t>
            </w:r>
            <w:r>
              <w:rPr>
                <w:rFonts w:ascii="Arial" w:eastAsia="Arial" w:hAnsi="Arial" w:cs="Arial"/>
                <w:szCs w:val="20"/>
                <w:lang w:val="en"/>
              </w:rPr>
              <w:t>)</w:t>
            </w:r>
            <w:r w:rsidRPr="00F9577A">
              <w:rPr>
                <w:rFonts w:ascii="Arial" w:eastAsia="Arial" w:hAnsi="Arial" w:cs="Arial"/>
                <w:szCs w:val="20"/>
                <w:lang w:val="en"/>
              </w:rPr>
              <w:t xml:space="preserve"> had viral suppression</w:t>
            </w:r>
            <w:r w:rsidR="0024217B">
              <w:rPr>
                <w:rStyle w:val="FootnoteReference"/>
                <w:rFonts w:ascii="Arial" w:eastAsia="Arial" w:hAnsi="Arial" w:cs="Arial"/>
                <w:szCs w:val="20"/>
                <w:lang w:val="en"/>
              </w:rPr>
              <w:footnoteReference w:id="31"/>
            </w:r>
            <w:r w:rsidRPr="00F9577A">
              <w:rPr>
                <w:rFonts w:ascii="Arial" w:eastAsia="Arial" w:hAnsi="Arial" w:cs="Arial"/>
                <w:szCs w:val="20"/>
                <w:lang w:val="en"/>
              </w:rPr>
              <w:t xml:space="preserve">. </w:t>
            </w:r>
            <w:r>
              <w:rPr>
                <w:rFonts w:ascii="Arial" w:eastAsia="Arial" w:hAnsi="Arial" w:cs="Arial"/>
                <w:szCs w:val="20"/>
                <w:lang w:val="en"/>
              </w:rPr>
              <w:t>T</w:t>
            </w:r>
            <w:r w:rsidRPr="00F9577A">
              <w:rPr>
                <w:rFonts w:ascii="Arial" w:eastAsia="Arial" w:hAnsi="Arial" w:cs="Arial"/>
                <w:szCs w:val="20"/>
                <w:lang w:val="en"/>
              </w:rPr>
              <w:t xml:space="preserve">he number of applications for parenteral hepatitis does not decrease. </w:t>
            </w:r>
          </w:p>
          <w:p w14:paraId="6D3BAB94" w14:textId="070F0DA4" w:rsidR="00C11687" w:rsidRPr="00E769B9" w:rsidRDefault="00C11687" w:rsidP="0026062D">
            <w:pPr>
              <w:widowControl w:val="0"/>
              <w:jc w:val="both"/>
              <w:rPr>
                <w:rFonts w:ascii="Arial" w:eastAsia="Arial" w:hAnsi="Arial" w:cs="Arial"/>
                <w:szCs w:val="20"/>
              </w:rPr>
            </w:pPr>
            <w:r>
              <w:rPr>
                <w:rFonts w:ascii="Arial" w:eastAsia="Arial" w:hAnsi="Arial" w:cs="Arial"/>
                <w:szCs w:val="20"/>
                <w:lang w:val="en"/>
              </w:rPr>
              <w:t xml:space="preserve">Meanwhile, </w:t>
            </w:r>
            <w:r w:rsidR="00B24577">
              <w:rPr>
                <w:rFonts w:ascii="Arial" w:eastAsia="Arial" w:hAnsi="Arial" w:cs="Arial"/>
                <w:szCs w:val="20"/>
                <w:lang w:val="en"/>
              </w:rPr>
              <w:t>specific</w:t>
            </w:r>
            <w:r>
              <w:rPr>
                <w:rFonts w:ascii="Arial" w:eastAsia="Arial" w:hAnsi="Arial" w:cs="Arial"/>
                <w:szCs w:val="20"/>
                <w:lang w:val="en"/>
              </w:rPr>
              <w:t xml:space="preserve"> sub</w:t>
            </w:r>
            <w:r w:rsidR="00B24577">
              <w:rPr>
                <w:rFonts w:ascii="Arial" w:eastAsia="Arial" w:hAnsi="Arial" w:cs="Arial"/>
                <w:szCs w:val="20"/>
                <w:lang w:val="en"/>
              </w:rPr>
              <w:t>-</w:t>
            </w:r>
            <w:r>
              <w:rPr>
                <w:rFonts w:ascii="Arial" w:eastAsia="Arial" w:hAnsi="Arial" w:cs="Arial"/>
                <w:szCs w:val="20"/>
                <w:lang w:val="en"/>
              </w:rPr>
              <w:t xml:space="preserve">culture among prisoners reduces motivation to participate in harm reduction programs, especially OST. The number of medical workers in prison facilities is limited, there is a high turnover of personnel. For a long time, prisoners themselves have not been involved in programs as volunteers and social workers, which significantly reduces the popularity of </w:t>
            </w:r>
            <w:r>
              <w:rPr>
                <w:rFonts w:ascii="Arial" w:eastAsia="Arial" w:hAnsi="Arial" w:cs="Arial"/>
                <w:szCs w:val="20"/>
                <w:lang w:val="en"/>
              </w:rPr>
              <w:lastRenderedPageBreak/>
              <w:t xml:space="preserve">programs among prisoners. </w:t>
            </w:r>
          </w:p>
          <w:p w14:paraId="2532379E" w14:textId="47453239" w:rsidR="00C11687" w:rsidRPr="00E769B9" w:rsidRDefault="00C11687" w:rsidP="0026062D">
            <w:pPr>
              <w:widowControl w:val="0"/>
              <w:jc w:val="both"/>
              <w:rPr>
                <w:rFonts w:ascii="Arial" w:eastAsia="Arial" w:hAnsi="Arial" w:cs="Arial"/>
                <w:szCs w:val="20"/>
              </w:rPr>
            </w:pPr>
            <w:r>
              <w:rPr>
                <w:rFonts w:ascii="Arial" w:eastAsia="Arial" w:hAnsi="Arial" w:cs="Arial"/>
                <w:szCs w:val="20"/>
                <w:lang w:val="en"/>
              </w:rPr>
              <w:t xml:space="preserve">Healthcare services in the penitentiary system are not included in the general public healthcare system and are funded separately, which ultimately leads to the fact that healthcare </w:t>
            </w:r>
            <w:r w:rsidR="00831DBE">
              <w:rPr>
                <w:rFonts w:ascii="Arial" w:eastAsia="Arial" w:hAnsi="Arial" w:cs="Arial"/>
                <w:szCs w:val="20"/>
                <w:lang w:val="en"/>
              </w:rPr>
              <w:t xml:space="preserve">in penitentiary system </w:t>
            </w:r>
            <w:r>
              <w:rPr>
                <w:rFonts w:ascii="Arial" w:eastAsia="Arial" w:hAnsi="Arial" w:cs="Arial"/>
                <w:szCs w:val="20"/>
                <w:lang w:val="en"/>
              </w:rPr>
              <w:t xml:space="preserve">is funded </w:t>
            </w:r>
            <w:r w:rsidR="00831DBE">
              <w:rPr>
                <w:rFonts w:ascii="Arial" w:eastAsia="Arial" w:hAnsi="Arial" w:cs="Arial"/>
                <w:szCs w:val="20"/>
                <w:lang w:val="en"/>
              </w:rPr>
              <w:t>last</w:t>
            </w:r>
            <w:r>
              <w:rPr>
                <w:rFonts w:ascii="Arial" w:eastAsia="Arial" w:hAnsi="Arial" w:cs="Arial"/>
                <w:szCs w:val="20"/>
                <w:lang w:val="en"/>
              </w:rPr>
              <w:t xml:space="preserve">. </w:t>
            </w:r>
            <w:r w:rsidR="00831DBE">
              <w:rPr>
                <w:rFonts w:ascii="Arial" w:eastAsia="Arial" w:hAnsi="Arial" w:cs="Arial"/>
                <w:szCs w:val="20"/>
                <w:lang w:val="en"/>
              </w:rPr>
              <w:t>P</w:t>
            </w:r>
            <w:r>
              <w:rPr>
                <w:rFonts w:ascii="Arial" w:eastAsia="Arial" w:hAnsi="Arial" w:cs="Arial"/>
                <w:szCs w:val="20"/>
                <w:lang w:val="en"/>
              </w:rPr>
              <w:t xml:space="preserve">risoners </w:t>
            </w:r>
            <w:r w:rsidR="002A5D41">
              <w:rPr>
                <w:rFonts w:ascii="Arial" w:eastAsia="Arial" w:hAnsi="Arial" w:cs="Arial"/>
                <w:szCs w:val="20"/>
                <w:lang w:val="en"/>
              </w:rPr>
              <w:t xml:space="preserve">heavily </w:t>
            </w:r>
            <w:r>
              <w:rPr>
                <w:rFonts w:ascii="Arial" w:eastAsia="Arial" w:hAnsi="Arial" w:cs="Arial"/>
                <w:szCs w:val="20"/>
                <w:lang w:val="en"/>
              </w:rPr>
              <w:t xml:space="preserve">rely on the support of their relatives </w:t>
            </w:r>
            <w:r w:rsidR="002A5D41">
              <w:rPr>
                <w:rFonts w:ascii="Arial" w:eastAsia="Arial" w:hAnsi="Arial" w:cs="Arial"/>
                <w:szCs w:val="20"/>
                <w:lang w:val="en"/>
              </w:rPr>
              <w:t>in</w:t>
            </w:r>
            <w:r>
              <w:rPr>
                <w:rFonts w:ascii="Arial" w:eastAsia="Arial" w:hAnsi="Arial" w:cs="Arial"/>
                <w:szCs w:val="20"/>
                <w:lang w:val="en"/>
              </w:rPr>
              <w:t xml:space="preserve"> purchas</w:t>
            </w:r>
            <w:r w:rsidR="002A5D41">
              <w:rPr>
                <w:rFonts w:ascii="Arial" w:eastAsia="Arial" w:hAnsi="Arial" w:cs="Arial"/>
                <w:szCs w:val="20"/>
                <w:lang w:val="en"/>
              </w:rPr>
              <w:t>ing</w:t>
            </w:r>
            <w:r>
              <w:rPr>
                <w:rFonts w:ascii="Arial" w:eastAsia="Arial" w:hAnsi="Arial" w:cs="Arial"/>
                <w:szCs w:val="20"/>
                <w:lang w:val="en"/>
              </w:rPr>
              <w:t xml:space="preserve"> medicines, they face severe difficulties in accessing health and hygiene products.</w:t>
            </w:r>
          </w:p>
          <w:p w14:paraId="1B6CDFC7" w14:textId="40381FA1" w:rsidR="00662E6E" w:rsidRPr="0034238F" w:rsidRDefault="00C11687" w:rsidP="0026062D">
            <w:pPr>
              <w:pStyle w:val="BodyText"/>
              <w:widowControl w:val="0"/>
              <w:spacing w:line="240" w:lineRule="auto"/>
              <w:jc w:val="both"/>
              <w:rPr>
                <w:sz w:val="22"/>
              </w:rPr>
            </w:pPr>
            <w:r w:rsidRPr="0034238F">
              <w:rPr>
                <w:rFonts w:ascii="Arial" w:eastAsia="Arial" w:hAnsi="Arial" w:cs="Arial"/>
                <w:sz w:val="22"/>
                <w:lang w:val="en"/>
              </w:rPr>
              <w:t xml:space="preserve">Released prisoners with HIV and TB are often </w:t>
            </w:r>
            <w:r w:rsidR="00417207">
              <w:rPr>
                <w:rFonts w:ascii="Arial" w:eastAsia="Arial" w:hAnsi="Arial" w:cs="Arial"/>
                <w:sz w:val="22"/>
                <w:lang w:val="en"/>
              </w:rPr>
              <w:t>off</w:t>
            </w:r>
            <w:r w:rsidRPr="0034238F">
              <w:rPr>
                <w:rFonts w:ascii="Arial" w:eastAsia="Arial" w:hAnsi="Arial" w:cs="Arial"/>
                <w:sz w:val="22"/>
                <w:lang w:val="en"/>
              </w:rPr>
              <w:t xml:space="preserve"> </w:t>
            </w:r>
            <w:r w:rsidR="00417207">
              <w:rPr>
                <w:rFonts w:ascii="Arial" w:eastAsia="Arial" w:hAnsi="Arial" w:cs="Arial"/>
                <w:sz w:val="22"/>
                <w:lang w:val="en"/>
              </w:rPr>
              <w:t>records</w:t>
            </w:r>
            <w:r w:rsidRPr="0034238F">
              <w:rPr>
                <w:rFonts w:ascii="Arial" w:eastAsia="Arial" w:hAnsi="Arial" w:cs="Arial"/>
                <w:sz w:val="22"/>
                <w:lang w:val="en"/>
              </w:rPr>
              <w:t xml:space="preserve"> as they do not reach </w:t>
            </w:r>
            <w:r w:rsidR="00417207">
              <w:rPr>
                <w:rFonts w:ascii="Arial" w:eastAsia="Arial" w:hAnsi="Arial" w:cs="Arial"/>
                <w:sz w:val="22"/>
                <w:lang w:val="en"/>
              </w:rPr>
              <w:t>healthcare facilities</w:t>
            </w:r>
            <w:r w:rsidRPr="0034238F">
              <w:rPr>
                <w:rFonts w:ascii="Arial" w:eastAsia="Arial" w:hAnsi="Arial" w:cs="Arial"/>
                <w:sz w:val="22"/>
                <w:lang w:val="en"/>
              </w:rPr>
              <w:t xml:space="preserve"> in </w:t>
            </w:r>
            <w:r w:rsidR="00417207">
              <w:rPr>
                <w:rFonts w:ascii="Arial" w:eastAsia="Arial" w:hAnsi="Arial" w:cs="Arial"/>
                <w:sz w:val="22"/>
                <w:lang w:val="en"/>
              </w:rPr>
              <w:t>the civil healthcare</w:t>
            </w:r>
            <w:r w:rsidRPr="0034238F">
              <w:rPr>
                <w:rFonts w:ascii="Arial" w:eastAsia="Arial" w:hAnsi="Arial" w:cs="Arial"/>
                <w:sz w:val="22"/>
                <w:lang w:val="en"/>
              </w:rPr>
              <w:t xml:space="preserve"> sector. The </w:t>
            </w:r>
            <w:r w:rsidR="0095491A">
              <w:rPr>
                <w:rFonts w:ascii="Arial" w:eastAsia="Arial" w:hAnsi="Arial" w:cs="Arial"/>
                <w:sz w:val="22"/>
                <w:lang w:val="en"/>
              </w:rPr>
              <w:t>accompaniment</w:t>
            </w:r>
            <w:r w:rsidRPr="0034238F">
              <w:rPr>
                <w:rFonts w:ascii="Arial" w:eastAsia="Arial" w:hAnsi="Arial" w:cs="Arial"/>
                <w:sz w:val="22"/>
                <w:lang w:val="en"/>
              </w:rPr>
              <w:t xml:space="preserve"> system was resumed only under the current grant of the GF. Many of those released from prison do not have identity documents, restricting their access to HIV and TB services. Some do not have a place of residence and need to adapt to the social environment.</w:t>
            </w:r>
            <w:r w:rsidR="0095491A">
              <w:rPr>
                <w:rFonts w:ascii="Arial" w:eastAsia="Arial" w:hAnsi="Arial" w:cs="Arial"/>
                <w:sz w:val="22"/>
                <w:lang w:val="en"/>
              </w:rPr>
              <w:t xml:space="preserve"> There is a huge need in re-socializing services.</w:t>
            </w:r>
          </w:p>
        </w:tc>
      </w:tr>
      <w:tr w:rsidR="00662E6E" w14:paraId="58D72A36"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F42E2C" w14:textId="77777777" w:rsidR="00662E6E" w:rsidRDefault="00662E6E" w:rsidP="0026062D">
            <w:pPr>
              <w:pStyle w:val="BodyText"/>
              <w:widowControl w:val="0"/>
              <w:spacing w:line="240" w:lineRule="auto"/>
            </w:pPr>
            <w:r>
              <w:lastRenderedPageBreak/>
              <w:t>Amount requested</w:t>
            </w:r>
          </w:p>
        </w:tc>
        <w:tc>
          <w:tcPr>
            <w:tcW w:w="12616" w:type="dxa"/>
          </w:tcPr>
          <w:p w14:paraId="769BFA1D" w14:textId="1B6C2806" w:rsidR="00662E6E" w:rsidRPr="00771958" w:rsidRDefault="0095491A"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$126,542</w:t>
            </w:r>
          </w:p>
        </w:tc>
      </w:tr>
      <w:tr w:rsidR="00662E6E" w14:paraId="2A7587E0"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517B473D" w14:textId="77777777" w:rsidR="00662E6E" w:rsidRDefault="00662E6E" w:rsidP="0026062D">
            <w:pPr>
              <w:pStyle w:val="BodyText"/>
              <w:widowControl w:val="0"/>
              <w:spacing w:line="240" w:lineRule="auto"/>
            </w:pPr>
            <w:r>
              <w:t>Expected outcome</w:t>
            </w:r>
          </w:p>
        </w:tc>
        <w:tc>
          <w:tcPr>
            <w:tcW w:w="12616" w:type="dxa"/>
          </w:tcPr>
          <w:p w14:paraId="0168BF0A" w14:textId="660F0A3B" w:rsidR="00662E6E" w:rsidRPr="00FA4A83" w:rsidRDefault="00496C6A"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sidRPr="00A4784C">
              <w:rPr>
                <w:sz w:val="22"/>
                <w:szCs w:val="20"/>
                <w:lang w:val="en"/>
              </w:rPr>
              <w:t>At least 95% of the coverage of prisoners/PWID with a minimum package of services will be tested for HIV and will know their result</w:t>
            </w:r>
          </w:p>
        </w:tc>
      </w:tr>
    </w:tbl>
    <w:p w14:paraId="796B316B" w14:textId="5339D406"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1CA3B195"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765D44" w14:textId="7A58A938" w:rsidR="00662E6E" w:rsidRDefault="00662E6E" w:rsidP="0026062D">
            <w:pPr>
              <w:pStyle w:val="BodyText"/>
              <w:widowControl w:val="0"/>
              <w:spacing w:line="240" w:lineRule="auto"/>
            </w:pPr>
            <w:r>
              <w:t>Module #9</w:t>
            </w:r>
          </w:p>
        </w:tc>
        <w:tc>
          <w:tcPr>
            <w:tcW w:w="12616" w:type="dxa"/>
          </w:tcPr>
          <w:p w14:paraId="61E4ABE7" w14:textId="48CB58E0" w:rsidR="00662E6E" w:rsidRPr="00FE2025" w:rsidRDefault="00FE2025"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FE2025">
              <w:rPr>
                <w:sz w:val="22"/>
                <w:szCs w:val="22"/>
              </w:rPr>
              <w:t>Differentiated HIV Testing Services</w:t>
            </w:r>
          </w:p>
        </w:tc>
      </w:tr>
      <w:tr w:rsidR="00662E6E" w14:paraId="29C4E5FB"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E073D9" w14:textId="77777777" w:rsidR="00662E6E" w:rsidRDefault="00662E6E" w:rsidP="0026062D">
            <w:pPr>
              <w:pStyle w:val="BodyText"/>
              <w:widowControl w:val="0"/>
              <w:spacing w:line="240" w:lineRule="auto"/>
            </w:pPr>
            <w:r>
              <w:t>Intervention(s)</w:t>
            </w:r>
          </w:p>
        </w:tc>
        <w:tc>
          <w:tcPr>
            <w:tcW w:w="12616" w:type="dxa"/>
          </w:tcPr>
          <w:p w14:paraId="18F9133D" w14:textId="77777777" w:rsidR="00662E6E" w:rsidRDefault="006D7097"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b/>
                <w:bCs/>
                <w:sz w:val="22"/>
                <w:szCs w:val="22"/>
              </w:rPr>
            </w:pPr>
            <w:r w:rsidRPr="006D7097">
              <w:rPr>
                <w:b/>
                <w:bCs/>
                <w:sz w:val="22"/>
                <w:szCs w:val="22"/>
              </w:rPr>
              <w:t>Facility-based testing for key population (KP) programs; Self-testing for KP programs</w:t>
            </w:r>
          </w:p>
          <w:p w14:paraId="0F7C3A57" w14:textId="25EA1310" w:rsidR="006D7097" w:rsidRPr="006D7097" w:rsidRDefault="006D7097" w:rsidP="0026062D">
            <w:pPr>
              <w:widowControl w:val="0"/>
              <w:jc w:val="both"/>
              <w:cnfStyle w:val="000000100000" w:firstRow="0" w:lastRow="0" w:firstColumn="0" w:lastColumn="0" w:oddVBand="0" w:evenVBand="0" w:oddHBand="1" w:evenHBand="0" w:firstRowFirstColumn="0" w:firstRowLastColumn="0" w:lastRowFirstColumn="0" w:lastRowLastColumn="0"/>
              <w:rPr>
                <w:bCs/>
              </w:rPr>
            </w:pPr>
            <w:r w:rsidRPr="006D7097">
              <w:rPr>
                <w:bCs/>
                <w:lang w:val="en"/>
              </w:rPr>
              <w:t xml:space="preserve">HIV testing will cover 90-95% of people from the KP covered by preventive programs. Testing programs based on </w:t>
            </w:r>
            <w:r w:rsidR="004C2376">
              <w:rPr>
                <w:bCs/>
                <w:lang w:val="en"/>
              </w:rPr>
              <w:t>NGOs</w:t>
            </w:r>
            <w:r w:rsidRPr="006D7097">
              <w:rPr>
                <w:bCs/>
                <w:lang w:val="en"/>
              </w:rPr>
              <w:t xml:space="preserve"> using saliva and blood drop tests will be continued, to ensure access to new groups of </w:t>
            </w:r>
            <w:r w:rsidR="004C2376">
              <w:rPr>
                <w:bCs/>
                <w:lang w:val="en"/>
              </w:rPr>
              <w:t>KPs</w:t>
            </w:r>
            <w:r w:rsidRPr="006D7097">
              <w:rPr>
                <w:bCs/>
                <w:lang w:val="en"/>
              </w:rPr>
              <w:t xml:space="preserve"> (young PWUD, SW, MSM, </w:t>
            </w:r>
            <w:r w:rsidR="004C2376">
              <w:rPr>
                <w:bCs/>
                <w:lang w:val="en"/>
              </w:rPr>
              <w:t xml:space="preserve">NPAS </w:t>
            </w:r>
            <w:r w:rsidRPr="006D7097">
              <w:rPr>
                <w:bCs/>
                <w:lang w:val="en"/>
              </w:rPr>
              <w:t xml:space="preserve">users), approaches of online counseling and obtaining tests through </w:t>
            </w:r>
            <w:r w:rsidR="00964F9C">
              <w:rPr>
                <w:bCs/>
                <w:lang w:val="en"/>
              </w:rPr>
              <w:t>vending</w:t>
            </w:r>
            <w:r w:rsidRPr="006D7097">
              <w:rPr>
                <w:bCs/>
                <w:lang w:val="en"/>
              </w:rPr>
              <w:t xml:space="preserve"> machines will be introduced with the development of mechanisms for reporting the result and subsequent support in case of a positive test.</w:t>
            </w:r>
          </w:p>
          <w:p w14:paraId="2BD6E363" w14:textId="5A580CDB" w:rsidR="006D7097" w:rsidRPr="006D7097" w:rsidRDefault="006D7097" w:rsidP="0026062D">
            <w:pPr>
              <w:widowControl w:val="0"/>
              <w:jc w:val="both"/>
              <w:cnfStyle w:val="000000100000" w:firstRow="0" w:lastRow="0" w:firstColumn="0" w:lastColumn="0" w:oddVBand="0" w:evenVBand="0" w:oddHBand="1" w:evenHBand="0" w:firstRowFirstColumn="0" w:firstRowLastColumn="0" w:lastRowFirstColumn="0" w:lastRowLastColumn="0"/>
              <w:rPr>
                <w:bCs/>
              </w:rPr>
            </w:pPr>
            <w:r w:rsidRPr="006D7097">
              <w:rPr>
                <w:bCs/>
                <w:lang w:val="en"/>
              </w:rPr>
              <w:t>Testing will continue among groups at high risk of HIV infection and provided for by the national HIV testing protocol, including PLHIV partners, migrants, in places of detention.</w:t>
            </w:r>
            <w:r w:rsidR="008C7064">
              <w:rPr>
                <w:bCs/>
                <w:lang w:val="en"/>
              </w:rPr>
              <w:t xml:space="preserve"> Neutral testing approach will be implemented.</w:t>
            </w:r>
          </w:p>
          <w:p w14:paraId="6DDE2740" w14:textId="637E5BF5" w:rsidR="006D7097" w:rsidRPr="008C7064" w:rsidRDefault="006D7097" w:rsidP="0026062D">
            <w:pPr>
              <w:widowControl w:val="0"/>
              <w:jc w:val="both"/>
              <w:cnfStyle w:val="000000100000" w:firstRow="0" w:lastRow="0" w:firstColumn="0" w:lastColumn="0" w:oddVBand="0" w:evenVBand="0" w:oddHBand="1" w:evenHBand="0" w:firstRowFirstColumn="0" w:firstRowLastColumn="0" w:lastRowFirstColumn="0" w:lastRowLastColumn="0"/>
            </w:pPr>
            <w:r w:rsidRPr="008C7064">
              <w:rPr>
                <w:lang w:val="en"/>
              </w:rPr>
              <w:t xml:space="preserve">Late diagnosis of HIV infection remains one of the main problems in the country, more than 50% of new HIV cases are diagnosed with a CD4 level of less than 350. In 2022, measures were taken to expand the rapid testing program among STI patients who are in impatient </w:t>
            </w:r>
            <w:r w:rsidR="008C7064" w:rsidRPr="008C7064">
              <w:rPr>
                <w:lang w:val="en"/>
              </w:rPr>
              <w:t xml:space="preserve">care </w:t>
            </w:r>
            <w:r w:rsidRPr="008C7064">
              <w:rPr>
                <w:lang w:val="en"/>
              </w:rPr>
              <w:t xml:space="preserve">with AIDS-indicator, where the frequency of registration of new HIV cases reached more than 1%. Activities will be continued, including the integration of rapid capillary blood testing for integrated HIV and STI services at the PHC level. </w:t>
            </w:r>
            <w:r w:rsidR="008C7064">
              <w:rPr>
                <w:lang w:val="en"/>
              </w:rPr>
              <w:t>P</w:t>
            </w:r>
            <w:r w:rsidRPr="008C7064">
              <w:rPr>
                <w:lang w:val="en"/>
              </w:rPr>
              <w:t>eople who have not previously been covered by preventive programs will have access to testing. The integration of STI services in HIV prevention and testing programs across the country will be increased. Current national testing strategies will be reviewed.</w:t>
            </w:r>
          </w:p>
          <w:p w14:paraId="7E94BDBA" w14:textId="214AA8EF" w:rsidR="006D7097" w:rsidRPr="008C7064" w:rsidRDefault="006D7097" w:rsidP="0026062D">
            <w:pPr>
              <w:widowControl w:val="0"/>
              <w:jc w:val="both"/>
              <w:cnfStyle w:val="000000100000" w:firstRow="0" w:lastRow="0" w:firstColumn="0" w:lastColumn="0" w:oddVBand="0" w:evenVBand="0" w:oddHBand="1" w:evenHBand="0" w:firstRowFirstColumn="0" w:firstRowLastColumn="0" w:lastRowFirstColumn="0" w:lastRowLastColumn="0"/>
            </w:pPr>
            <w:r w:rsidRPr="008C7064">
              <w:rPr>
                <w:lang w:val="en"/>
              </w:rPr>
              <w:t xml:space="preserve">Since 2021, an HIV self-testing program is being implemented, which requires intensive development. Self-testing and assisted HIV self-testing services will become available to a wider range of vulnerable populations. </w:t>
            </w:r>
            <w:r w:rsidR="007C0734">
              <w:rPr>
                <w:lang w:val="en"/>
              </w:rPr>
              <w:t>Activities to be</w:t>
            </w:r>
            <w:r w:rsidRPr="008C7064">
              <w:rPr>
                <w:lang w:val="en"/>
              </w:rPr>
              <w:t xml:space="preserve"> implemented </w:t>
            </w:r>
            <w:r w:rsidR="007C0734">
              <w:rPr>
                <w:lang w:val="en"/>
              </w:rPr>
              <w:t>on</w:t>
            </w:r>
            <w:r w:rsidRPr="008C7064">
              <w:rPr>
                <w:lang w:val="en"/>
              </w:rPr>
              <w:t xml:space="preserve"> populariz</w:t>
            </w:r>
            <w:r w:rsidR="007C0734">
              <w:rPr>
                <w:lang w:val="en"/>
              </w:rPr>
              <w:t>ing</w:t>
            </w:r>
            <w:r w:rsidRPr="008C7064">
              <w:rPr>
                <w:lang w:val="en"/>
              </w:rPr>
              <w:t xml:space="preserve"> testing and self-testing services (information campaigns involving the media, targeting </w:t>
            </w:r>
            <w:r w:rsidR="007C0734">
              <w:rPr>
                <w:lang w:val="en"/>
              </w:rPr>
              <w:t xml:space="preserve">ads </w:t>
            </w:r>
            <w:r w:rsidRPr="008C7064">
              <w:rPr>
                <w:lang w:val="en"/>
              </w:rPr>
              <w:t xml:space="preserve">and use of social </w:t>
            </w:r>
            <w:r w:rsidRPr="008C7064">
              <w:rPr>
                <w:lang w:val="en"/>
              </w:rPr>
              <w:lastRenderedPageBreak/>
              <w:t>networks, testing campaigns in places where people have an increased risk of infection).</w:t>
            </w:r>
          </w:p>
          <w:p w14:paraId="2B3F95F6" w14:textId="494F58E4" w:rsidR="006D7097" w:rsidRPr="006D7097" w:rsidRDefault="006D7097" w:rsidP="0026062D">
            <w:pPr>
              <w:widowControl w:val="0"/>
              <w:jc w:val="both"/>
              <w:cnfStyle w:val="000000100000" w:firstRow="0" w:lastRow="0" w:firstColumn="0" w:lastColumn="0" w:oddVBand="0" w:evenVBand="0" w:oddHBand="1" w:evenHBand="0" w:firstRowFirstColumn="0" w:firstRowLastColumn="0" w:lastRowFirstColumn="0" w:lastRowLastColumn="0"/>
            </w:pPr>
            <w:r w:rsidRPr="006D7097">
              <w:rPr>
                <w:lang w:val="en"/>
              </w:rPr>
              <w:t>To improve the alignment of the testing program with treatment, a mechanism for offline/online support of people with a positive HIV test result will be introduced in the treatment and care program and implemented throughout the country.</w:t>
            </w:r>
          </w:p>
          <w:p w14:paraId="2DFDE4DF" w14:textId="0F2F966D" w:rsidR="006D7097" w:rsidRPr="006D7097" w:rsidRDefault="006D7097"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sz w:val="22"/>
                <w:szCs w:val="22"/>
                <w:lang w:val="en"/>
              </w:rPr>
            </w:pPr>
            <w:r w:rsidRPr="006D7097">
              <w:rPr>
                <w:sz w:val="22"/>
                <w:szCs w:val="22"/>
                <w:lang w:val="en"/>
              </w:rPr>
              <w:t xml:space="preserve">Unfortunately, information on transmission </w:t>
            </w:r>
            <w:r w:rsidR="00471B2E">
              <w:rPr>
                <w:sz w:val="22"/>
                <w:szCs w:val="22"/>
                <w:lang w:val="en"/>
              </w:rPr>
              <w:t xml:space="preserve">routes </w:t>
            </w:r>
            <w:r w:rsidRPr="006D7097">
              <w:rPr>
                <w:sz w:val="22"/>
                <w:szCs w:val="22"/>
                <w:lang w:val="en"/>
              </w:rPr>
              <w:t xml:space="preserve">as collected in routine epidemiological surveillance is not always accurate. Due to stigmatizing behavior, such as those associated with PWUD and MSM, an overreporting of heterosexual </w:t>
            </w:r>
            <w:r w:rsidR="00471B2E">
              <w:rPr>
                <w:sz w:val="22"/>
                <w:szCs w:val="22"/>
                <w:lang w:val="en"/>
              </w:rPr>
              <w:t>route</w:t>
            </w:r>
            <w:r w:rsidRPr="006D7097">
              <w:rPr>
                <w:sz w:val="22"/>
                <w:szCs w:val="22"/>
                <w:lang w:val="en"/>
              </w:rPr>
              <w:t xml:space="preserve"> of HIV transmission is being observed. Epidemiologists will be trained to improve on this and will be provided with revised forms for notifying HIV cases. This considers in particular the HIV risk assessment section.</w:t>
            </w:r>
          </w:p>
          <w:p w14:paraId="347E35B1" w14:textId="264B192B" w:rsidR="006D7097" w:rsidRPr="00F66388" w:rsidRDefault="006D7097" w:rsidP="0026062D">
            <w:pPr>
              <w:widowControl w:val="0"/>
              <w:jc w:val="both"/>
              <w:cnfStyle w:val="000000100000" w:firstRow="0" w:lastRow="0" w:firstColumn="0" w:lastColumn="0" w:oddVBand="0" w:evenVBand="0" w:oddHBand="1" w:evenHBand="0" w:firstRowFirstColumn="0" w:firstRowLastColumn="0" w:lastRowFirstColumn="0" w:lastRowLastColumn="0"/>
            </w:pPr>
            <w:r w:rsidRPr="006D7097">
              <w:rPr>
                <w:lang w:val="en"/>
              </w:rPr>
              <w:t xml:space="preserve">Without an effective system for quality control, it is impossible ensure that the research results comply with the established standards of analytical accuracy. External quality assessment (national and international) is a system of objective evaluation in order to ensure comparability of data conducted in different laboratories. </w:t>
            </w:r>
            <w:r w:rsidRPr="00F66388">
              <w:rPr>
                <w:lang w:val="en"/>
              </w:rPr>
              <w:t xml:space="preserve">To maintain testing services </w:t>
            </w:r>
            <w:r w:rsidR="00F66388">
              <w:rPr>
                <w:lang w:val="en"/>
              </w:rPr>
              <w:t>at</w:t>
            </w:r>
            <w:r w:rsidRPr="00F66388">
              <w:rPr>
                <w:lang w:val="en"/>
              </w:rPr>
              <w:t xml:space="preserve"> a high </w:t>
            </w:r>
            <w:r w:rsidR="00F66388">
              <w:rPr>
                <w:lang w:val="en"/>
              </w:rPr>
              <w:t>quality level</w:t>
            </w:r>
            <w:r w:rsidRPr="00F66388">
              <w:rPr>
                <w:lang w:val="en"/>
              </w:rPr>
              <w:t xml:space="preserve">, an external </w:t>
            </w:r>
            <w:r w:rsidR="00F66388">
              <w:rPr>
                <w:lang w:val="en"/>
              </w:rPr>
              <w:t>quality assurance</w:t>
            </w:r>
            <w:r w:rsidRPr="00F66388">
              <w:rPr>
                <w:lang w:val="en"/>
              </w:rPr>
              <w:t xml:space="preserve"> of laboratory tests by certified specialists and maintenance of laboratory equipment will be carried out. </w:t>
            </w:r>
            <w:r w:rsidR="00F66388">
              <w:rPr>
                <w:lang w:val="en"/>
              </w:rPr>
              <w:t>T</w:t>
            </w:r>
            <w:r w:rsidRPr="00F66388">
              <w:rPr>
                <w:lang w:val="en"/>
              </w:rPr>
              <w:t xml:space="preserve">o ensure the quality of services </w:t>
            </w:r>
            <w:r w:rsidR="00F66388">
              <w:rPr>
                <w:lang w:val="en"/>
              </w:rPr>
              <w:t>as per</w:t>
            </w:r>
            <w:r w:rsidRPr="00F66388">
              <w:rPr>
                <w:lang w:val="en"/>
              </w:rPr>
              <w:t xml:space="preserve"> international standards, the preparation and accreditation of HIV diagnostic laboratories (Osh, Is</w:t>
            </w:r>
            <w:r w:rsidR="00F66388">
              <w:rPr>
                <w:lang w:val="en"/>
              </w:rPr>
              <w:t>s</w:t>
            </w:r>
            <w:r w:rsidRPr="00F66388">
              <w:rPr>
                <w:lang w:val="en"/>
              </w:rPr>
              <w:t xml:space="preserve">yk-Kul, </w:t>
            </w:r>
            <w:proofErr w:type="spellStart"/>
            <w:r w:rsidRPr="00F66388">
              <w:rPr>
                <w:lang w:val="en"/>
              </w:rPr>
              <w:t>Naryn</w:t>
            </w:r>
            <w:proofErr w:type="spellEnd"/>
            <w:r w:rsidRPr="00F66388">
              <w:rPr>
                <w:lang w:val="en"/>
              </w:rPr>
              <w:t xml:space="preserve">, Jalal-Abad, Bishkek centers of CHVHIV and </w:t>
            </w:r>
            <w:r w:rsidR="00AC7AD0">
              <w:rPr>
                <w:lang w:val="en"/>
              </w:rPr>
              <w:t>RCCVHHIV</w:t>
            </w:r>
            <w:r w:rsidRPr="00F66388">
              <w:rPr>
                <w:lang w:val="en"/>
              </w:rPr>
              <w:t xml:space="preserve">) will be carried out, </w:t>
            </w:r>
            <w:proofErr w:type="gramStart"/>
            <w:r w:rsidR="005B1BD5">
              <w:rPr>
                <w:lang w:val="en"/>
              </w:rPr>
              <w:t>In</w:t>
            </w:r>
            <w:proofErr w:type="gramEnd"/>
            <w:r w:rsidR="005B1BD5">
              <w:rPr>
                <w:lang w:val="en"/>
              </w:rPr>
              <w:t xml:space="preserve"> line with</w:t>
            </w:r>
            <w:r w:rsidRPr="00F66388">
              <w:rPr>
                <w:lang w:val="en"/>
              </w:rPr>
              <w:t xml:space="preserve"> ISO15189, including repurposing/repairing premises and updating laboratory equipment. Laboratory staff will be trained </w:t>
            </w:r>
            <w:r w:rsidR="00F66388">
              <w:rPr>
                <w:lang w:val="en"/>
              </w:rPr>
              <w:t>on</w:t>
            </w:r>
            <w:r w:rsidRPr="00F66388">
              <w:rPr>
                <w:lang w:val="en"/>
              </w:rPr>
              <w:t xml:space="preserve"> improving the quality management system of laboratory research.</w:t>
            </w:r>
          </w:p>
          <w:p w14:paraId="13C93A0E" w14:textId="72829B78" w:rsidR="006D7097" w:rsidRPr="006D7097" w:rsidRDefault="002A264F" w:rsidP="0026062D">
            <w:pPr>
              <w:pStyle w:val="Default"/>
              <w:widowControl w:val="0"/>
              <w:spacing w:after="12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lang w:val="en"/>
              </w:rPr>
              <w:t>To</w:t>
            </w:r>
            <w:r w:rsidR="006D7097" w:rsidRPr="006D7097">
              <w:rPr>
                <w:sz w:val="22"/>
                <w:szCs w:val="22"/>
                <w:lang w:val="en"/>
              </w:rPr>
              <w:t xml:space="preserve"> use resources</w:t>
            </w:r>
            <w:r>
              <w:rPr>
                <w:sz w:val="22"/>
                <w:szCs w:val="22"/>
                <w:lang w:val="en"/>
              </w:rPr>
              <w:t xml:space="preserve"> more efficiently</w:t>
            </w:r>
            <w:r w:rsidR="006D7097" w:rsidRPr="006D7097">
              <w:rPr>
                <w:sz w:val="22"/>
                <w:szCs w:val="22"/>
                <w:lang w:val="en"/>
              </w:rPr>
              <w:t xml:space="preserve">, sharing </w:t>
            </w:r>
            <w:r>
              <w:rPr>
                <w:sz w:val="22"/>
                <w:szCs w:val="22"/>
                <w:lang w:val="en"/>
              </w:rPr>
              <w:t xml:space="preserve">use </w:t>
            </w:r>
            <w:r w:rsidR="006D7097" w:rsidRPr="006D7097">
              <w:rPr>
                <w:sz w:val="22"/>
                <w:szCs w:val="22"/>
                <w:lang w:val="en"/>
              </w:rPr>
              <w:t xml:space="preserve">of </w:t>
            </w:r>
            <w:proofErr w:type="spellStart"/>
            <w:r w:rsidR="006D7097" w:rsidRPr="006D7097">
              <w:rPr>
                <w:sz w:val="22"/>
                <w:szCs w:val="22"/>
                <w:lang w:val="en"/>
              </w:rPr>
              <w:t>Xpert</w:t>
            </w:r>
            <w:proofErr w:type="spellEnd"/>
            <w:r w:rsidR="006D7097" w:rsidRPr="006D7097">
              <w:rPr>
                <w:sz w:val="22"/>
                <w:szCs w:val="22"/>
                <w:lang w:val="en"/>
              </w:rPr>
              <w:t xml:space="preserve"> platforms for HIV, TB, COVID-19 and viral hepatitis programs</w:t>
            </w:r>
            <w:r>
              <w:rPr>
                <w:sz w:val="22"/>
                <w:szCs w:val="22"/>
                <w:lang w:val="en"/>
              </w:rPr>
              <w:t xml:space="preserve"> will be introduced</w:t>
            </w:r>
            <w:r w:rsidR="006D7097" w:rsidRPr="006D7097">
              <w:rPr>
                <w:sz w:val="22"/>
                <w:szCs w:val="22"/>
                <w:lang w:val="en"/>
              </w:rPr>
              <w:t>.</w:t>
            </w:r>
          </w:p>
        </w:tc>
      </w:tr>
      <w:tr w:rsidR="00662E6E" w14:paraId="6C19187D"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01B79F2F"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1220E0B0" w14:textId="77777777" w:rsidR="00DD1E66" w:rsidRPr="00DD1E66" w:rsidRDefault="00DD1E66" w:rsidP="0026062D">
            <w:pPr>
              <w:widowControl w:val="0"/>
              <w:jc w:val="both"/>
              <w:cnfStyle w:val="000000000000" w:firstRow="0" w:lastRow="0" w:firstColumn="0" w:lastColumn="0" w:oddVBand="0" w:evenVBand="0" w:oddHBand="0" w:evenHBand="0" w:firstRowFirstColumn="0" w:firstRowLastColumn="0" w:lastRowFirstColumn="0" w:lastRowLastColumn="0"/>
            </w:pPr>
            <w:r w:rsidRPr="00DD1E66">
              <w:rPr>
                <w:lang w:val="en"/>
              </w:rPr>
              <w:t>Key groups (MSM, TG, SW, PWUD, prisoners), people living with HIV and their sexual partners.</w:t>
            </w:r>
          </w:p>
          <w:p w14:paraId="1258700B" w14:textId="4EA2392B" w:rsidR="00DD1E66" w:rsidRPr="00DD1E66" w:rsidRDefault="00A1585B" w:rsidP="0026062D">
            <w:pPr>
              <w:widowControl w:val="0"/>
              <w:jc w:val="both"/>
              <w:cnfStyle w:val="000000000000" w:firstRow="0" w:lastRow="0" w:firstColumn="0" w:lastColumn="0" w:oddVBand="0" w:evenVBand="0" w:oddHBand="0" w:evenHBand="0" w:firstRowFirstColumn="0" w:firstRowLastColumn="0" w:lastRowFirstColumn="0" w:lastRowLastColumn="0"/>
            </w:pPr>
            <w:r>
              <w:rPr>
                <w:lang w:val="en"/>
              </w:rPr>
              <w:t>According to UNAIDS</w:t>
            </w:r>
            <w:r w:rsidR="00DD1E66" w:rsidRPr="00DD1E66">
              <w:rPr>
                <w:lang w:val="en"/>
              </w:rPr>
              <w:t xml:space="preserve">, about 83% (8,300) of the estimated number of PLHIV (10,000) are aware of their status. Despite the high level of HIV testing among the general population, it gives a low </w:t>
            </w:r>
            <w:r>
              <w:rPr>
                <w:lang w:val="en"/>
              </w:rPr>
              <w:t>yield</w:t>
            </w:r>
            <w:r w:rsidR="00DD1E66" w:rsidRPr="00DD1E66">
              <w:rPr>
                <w:lang w:val="en"/>
              </w:rPr>
              <w:t xml:space="preserve">. Prevention </w:t>
            </w:r>
            <w:r>
              <w:rPr>
                <w:lang w:val="en"/>
              </w:rPr>
              <w:t>programs</w:t>
            </w:r>
            <w:r w:rsidR="00DD1E66" w:rsidRPr="00DD1E66">
              <w:rPr>
                <w:lang w:val="en"/>
              </w:rPr>
              <w:t xml:space="preserve"> mostly serve the same clients for many years and have limited access to new populations. There is a low awareness of HIV among the population, </w:t>
            </w:r>
            <w:r w:rsidR="007F1F9C">
              <w:rPr>
                <w:lang w:val="en"/>
              </w:rPr>
              <w:t>high level of</w:t>
            </w:r>
            <w:r w:rsidR="00DD1E66" w:rsidRPr="00DD1E66">
              <w:rPr>
                <w:lang w:val="en"/>
              </w:rPr>
              <w:t xml:space="preserve"> stigma and discriminatory legal practices lead to the loss of clients during cascade of care, refusal to participate in prevention and testing programs.</w:t>
            </w:r>
          </w:p>
          <w:p w14:paraId="65CF20FF" w14:textId="6B7C2EDB" w:rsidR="00DD1E66" w:rsidRPr="00DD1E66" w:rsidRDefault="00DD1E66" w:rsidP="0026062D">
            <w:pPr>
              <w:widowControl w:val="0"/>
              <w:jc w:val="both"/>
              <w:cnfStyle w:val="000000000000" w:firstRow="0" w:lastRow="0" w:firstColumn="0" w:lastColumn="0" w:oddVBand="0" w:evenVBand="0" w:oddHBand="0" w:evenHBand="0" w:firstRowFirstColumn="0" w:firstRowLastColumn="0" w:lastRowFirstColumn="0" w:lastRowLastColumn="0"/>
            </w:pPr>
            <w:r w:rsidRPr="00DD1E66">
              <w:rPr>
                <w:lang w:val="en"/>
              </w:rPr>
              <w:t xml:space="preserve">There is still a high mortality rate among people living with HIV, about 50% of the detected cases are in the advanced stages of HIV, while there are people in the terminal stage of AIDS who need palliative care. </w:t>
            </w:r>
            <w:r w:rsidR="008559FC">
              <w:rPr>
                <w:lang w:val="en"/>
              </w:rPr>
              <w:t>One of the reasons is</w:t>
            </w:r>
            <w:r w:rsidRPr="00DD1E66">
              <w:rPr>
                <w:lang w:val="en"/>
              </w:rPr>
              <w:t xml:space="preserve"> low alertness of medical staff, especially at the PHC level, on HIV issues, insufficient involvement of </w:t>
            </w:r>
            <w:r w:rsidR="003F3320">
              <w:rPr>
                <w:lang w:val="en"/>
              </w:rPr>
              <w:t>healthcare facilities providing</w:t>
            </w:r>
            <w:r w:rsidRPr="00DD1E66">
              <w:rPr>
                <w:lang w:val="en"/>
              </w:rPr>
              <w:t xml:space="preserve"> services for STIs and other AIDS-indicator diseases in HIV testing programs.</w:t>
            </w:r>
          </w:p>
          <w:p w14:paraId="7C628F1C" w14:textId="657DC582" w:rsidR="00662E6E" w:rsidRPr="00771958" w:rsidRDefault="00DD1E66"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rPr>
            </w:pPr>
            <w:r w:rsidRPr="00DD1E66">
              <w:rPr>
                <w:sz w:val="22"/>
              </w:rPr>
              <w:t>D</w:t>
            </w:r>
            <w:proofErr w:type="spellStart"/>
            <w:r w:rsidRPr="00DD1E66">
              <w:rPr>
                <w:sz w:val="22"/>
                <w:lang w:val="en"/>
              </w:rPr>
              <w:t>ue</w:t>
            </w:r>
            <w:proofErr w:type="spellEnd"/>
            <w:r w:rsidRPr="00DD1E66">
              <w:rPr>
                <w:sz w:val="22"/>
                <w:lang w:val="en"/>
              </w:rPr>
              <w:t xml:space="preserve"> to the limited state budget for the maintenance of laboratory equipment, </w:t>
            </w:r>
            <w:r w:rsidR="003F3320">
              <w:rPr>
                <w:sz w:val="22"/>
                <w:lang w:val="en"/>
              </w:rPr>
              <w:t xml:space="preserve">including support for technicians, </w:t>
            </w:r>
            <w:r w:rsidRPr="00DD1E66">
              <w:rPr>
                <w:sz w:val="22"/>
                <w:lang w:val="en"/>
              </w:rPr>
              <w:t xml:space="preserve">the equipment in all HIV diagnostics laboratories is </w:t>
            </w:r>
            <w:r w:rsidR="003F3320">
              <w:rPr>
                <w:sz w:val="22"/>
                <w:lang w:val="en"/>
              </w:rPr>
              <w:t>heavily depreciated</w:t>
            </w:r>
            <w:r w:rsidRPr="00DD1E66">
              <w:rPr>
                <w:sz w:val="22"/>
                <w:lang w:val="en"/>
              </w:rPr>
              <w:t xml:space="preserve"> </w:t>
            </w:r>
            <w:r w:rsidR="003F3320">
              <w:rPr>
                <w:sz w:val="22"/>
                <w:lang w:val="en"/>
              </w:rPr>
              <w:t>and frequently out of service</w:t>
            </w:r>
            <w:r w:rsidRPr="00DD1E66">
              <w:rPr>
                <w:sz w:val="22"/>
                <w:lang w:val="en"/>
              </w:rPr>
              <w:t>.</w:t>
            </w:r>
          </w:p>
        </w:tc>
      </w:tr>
      <w:tr w:rsidR="00662E6E" w14:paraId="6D2BEFE7"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CD52CC" w14:textId="77777777" w:rsidR="00662E6E" w:rsidRDefault="00662E6E" w:rsidP="0026062D">
            <w:pPr>
              <w:pStyle w:val="BodyText"/>
              <w:widowControl w:val="0"/>
              <w:spacing w:line="240" w:lineRule="auto"/>
            </w:pPr>
            <w:r>
              <w:t>Amount requested</w:t>
            </w:r>
          </w:p>
        </w:tc>
        <w:tc>
          <w:tcPr>
            <w:tcW w:w="12616" w:type="dxa"/>
          </w:tcPr>
          <w:p w14:paraId="74EE186C" w14:textId="0BE5CF08" w:rsidR="00662E6E" w:rsidRPr="00771958" w:rsidRDefault="001945A5"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$325,305</w:t>
            </w:r>
          </w:p>
        </w:tc>
      </w:tr>
      <w:tr w:rsidR="00662E6E" w14:paraId="3ADA8792"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499F56BF" w14:textId="77777777" w:rsidR="00662E6E" w:rsidRDefault="00662E6E" w:rsidP="0026062D">
            <w:pPr>
              <w:pStyle w:val="BodyText"/>
              <w:widowControl w:val="0"/>
              <w:spacing w:line="240" w:lineRule="auto"/>
            </w:pPr>
            <w:r>
              <w:lastRenderedPageBreak/>
              <w:t>Expected outcome</w:t>
            </w:r>
          </w:p>
        </w:tc>
        <w:tc>
          <w:tcPr>
            <w:tcW w:w="12616" w:type="dxa"/>
          </w:tcPr>
          <w:p w14:paraId="6F03BCAA" w14:textId="77777777" w:rsidR="009F4E01" w:rsidRPr="00E769B9" w:rsidRDefault="009F4E01" w:rsidP="0026062D">
            <w:pPr>
              <w:widowControl w:val="0"/>
              <w:jc w:val="both"/>
              <w:cnfStyle w:val="000000000000" w:firstRow="0" w:lastRow="0" w:firstColumn="0" w:lastColumn="0" w:oddVBand="0" w:evenVBand="0" w:oddHBand="0" w:evenHBand="0" w:firstRowFirstColumn="0" w:firstRowLastColumn="0" w:lastRowFirstColumn="0" w:lastRowLastColumn="0"/>
            </w:pPr>
            <w:r w:rsidRPr="009F4E01">
              <w:rPr>
                <w:lang w:val="en"/>
              </w:rPr>
              <w:t>At least 95% of people living with HIV are aware of their status by 2026</w:t>
            </w:r>
          </w:p>
          <w:p w14:paraId="7D69B120" w14:textId="19661102" w:rsidR="009F4E01" w:rsidRPr="00E769B9" w:rsidRDefault="009F4E01" w:rsidP="0026062D">
            <w:pPr>
              <w:widowControl w:val="0"/>
              <w:jc w:val="both"/>
              <w:cnfStyle w:val="000000000000" w:firstRow="0" w:lastRow="0" w:firstColumn="0" w:lastColumn="0" w:oddVBand="0" w:evenVBand="0" w:oddHBand="0" w:evenHBand="0" w:firstRowFirstColumn="0" w:firstRowLastColumn="0" w:lastRowFirstColumn="0" w:lastRowLastColumn="0"/>
            </w:pPr>
            <w:r w:rsidRPr="009F4E01">
              <w:rPr>
                <w:lang w:val="en"/>
              </w:rPr>
              <w:t>At least 95% of the key group covered by the minimum package of services will be tested for HIV.</w:t>
            </w:r>
          </w:p>
          <w:p w14:paraId="00CFB189" w14:textId="5ABD2411" w:rsidR="00662E6E" w:rsidRPr="002647DC" w:rsidRDefault="009F4E01"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Pr>
                <w:lang w:val="en"/>
              </w:rPr>
              <w:t>At least 5,300 self-tests will be distributed by 2026</w:t>
            </w:r>
          </w:p>
        </w:tc>
      </w:tr>
    </w:tbl>
    <w:p w14:paraId="6C87CE6E" w14:textId="58027224"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6082D800"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F0329C" w14:textId="049939C6" w:rsidR="00662E6E" w:rsidRDefault="00662E6E" w:rsidP="0026062D">
            <w:pPr>
              <w:pStyle w:val="BodyText"/>
              <w:widowControl w:val="0"/>
              <w:spacing w:line="240" w:lineRule="auto"/>
            </w:pPr>
            <w:r>
              <w:t>Module #10</w:t>
            </w:r>
          </w:p>
        </w:tc>
        <w:tc>
          <w:tcPr>
            <w:tcW w:w="12616" w:type="dxa"/>
          </w:tcPr>
          <w:p w14:paraId="02D27FF0" w14:textId="4C9A73F6" w:rsidR="00662E6E" w:rsidRPr="001B3B06" w:rsidRDefault="001B3B06"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1B3B06">
              <w:rPr>
                <w:sz w:val="22"/>
                <w:szCs w:val="22"/>
                <w:lang w:val="en"/>
              </w:rPr>
              <w:t>Treatment, care and support</w:t>
            </w:r>
          </w:p>
        </w:tc>
      </w:tr>
      <w:tr w:rsidR="00662E6E" w14:paraId="2F1BC433"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A57296" w14:textId="77777777" w:rsidR="00662E6E" w:rsidRDefault="00662E6E" w:rsidP="0026062D">
            <w:pPr>
              <w:pStyle w:val="BodyText"/>
              <w:widowControl w:val="0"/>
              <w:spacing w:line="240" w:lineRule="auto"/>
            </w:pPr>
            <w:r>
              <w:t>Intervention(s)</w:t>
            </w:r>
          </w:p>
        </w:tc>
        <w:tc>
          <w:tcPr>
            <w:tcW w:w="12616" w:type="dxa"/>
          </w:tcPr>
          <w:p w14:paraId="2A6A51CD" w14:textId="24FAC9F0" w:rsidR="001E591C" w:rsidRPr="001E591C" w:rsidRDefault="001E591C"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b/>
                <w:bCs/>
                <w:lang w:val="en-GB"/>
              </w:rPr>
            </w:pPr>
            <w:r w:rsidRPr="001E591C">
              <w:rPr>
                <w:b/>
                <w:bCs/>
                <w:lang w:val="en-GB"/>
              </w:rPr>
              <w:t xml:space="preserve">HIV treatment and differentiated service delivery – adults (15 and above); HIV treatment and differentiated service delivery </w:t>
            </w:r>
            <w:r>
              <w:rPr>
                <w:b/>
                <w:bCs/>
                <w:lang w:val="en-GB"/>
              </w:rPr>
              <w:t>–</w:t>
            </w:r>
            <w:r w:rsidRPr="001E591C">
              <w:rPr>
                <w:b/>
                <w:bCs/>
                <w:lang w:val="en-GB"/>
              </w:rPr>
              <w:t xml:space="preserve"> children (under 15); Treatment monitoring </w:t>
            </w:r>
            <w:r>
              <w:rPr>
                <w:b/>
                <w:bCs/>
                <w:lang w:val="en-GB"/>
              </w:rPr>
              <w:t>–</w:t>
            </w:r>
            <w:r w:rsidRPr="001E591C">
              <w:rPr>
                <w:b/>
                <w:bCs/>
                <w:lang w:val="en-GB"/>
              </w:rPr>
              <w:t xml:space="preserve"> viral load and antiretroviral (ARV) toxicity; Diagnosis and management of advanced disease (adults and children).</w:t>
            </w:r>
          </w:p>
          <w:p w14:paraId="42041F5B" w14:textId="35521E8A" w:rsidR="001B3B06" w:rsidRPr="001E591C" w:rsidRDefault="00AA7390"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ART</w:t>
            </w:r>
            <w:r w:rsidR="001B3B06" w:rsidRPr="001E591C">
              <w:rPr>
                <w:lang w:val="en-GB"/>
              </w:rPr>
              <w:t xml:space="preserve"> will </w:t>
            </w:r>
            <w:proofErr w:type="gramStart"/>
            <w:r w:rsidR="001B3B06" w:rsidRPr="001E591C">
              <w:rPr>
                <w:lang w:val="en-GB"/>
              </w:rPr>
              <w:t>be provided</w:t>
            </w:r>
            <w:proofErr w:type="gramEnd"/>
            <w:r w:rsidR="001B3B06" w:rsidRPr="001E591C">
              <w:rPr>
                <w:lang w:val="en-GB"/>
              </w:rPr>
              <w:t xml:space="preserve"> to 95% of PLHIV, with the possibility of a multi-month release of ARV drugs in a wider range of institutions (PHC, in places of detention, through public health services). The main efforts to achieve this indicator will be aimed at eliminating existing gaps in the treatment cascade, namely, promoting a </w:t>
            </w:r>
            <w:r w:rsidR="00D6072E" w:rsidRPr="001E591C">
              <w:rPr>
                <w:lang w:val="en-GB"/>
              </w:rPr>
              <w:t>people</w:t>
            </w:r>
            <w:r w:rsidR="001B3B06" w:rsidRPr="001E591C">
              <w:rPr>
                <w:lang w:val="en-GB"/>
              </w:rPr>
              <w:t xml:space="preserve">-centered approach, improving adherence to ART and solving the problem of </w:t>
            </w:r>
            <w:r w:rsidR="00D6072E" w:rsidRPr="001E591C">
              <w:rPr>
                <w:lang w:val="en-GB"/>
              </w:rPr>
              <w:t>lost-to-follow-up</w:t>
            </w:r>
            <w:r w:rsidR="001B3B06" w:rsidRPr="001E591C">
              <w:rPr>
                <w:lang w:val="en-GB"/>
              </w:rPr>
              <w:t xml:space="preserve"> patients.</w:t>
            </w:r>
          </w:p>
          <w:p w14:paraId="3333CAEA" w14:textId="00A2AA10"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Medical services will be provided for all PLHIV in need </w:t>
            </w:r>
            <w:r w:rsidR="00D6072E" w:rsidRPr="001E591C">
              <w:rPr>
                <w:lang w:val="en-GB"/>
              </w:rPr>
              <w:t>as per</w:t>
            </w:r>
            <w:r w:rsidRPr="001E591C">
              <w:rPr>
                <w:lang w:val="en-GB"/>
              </w:rPr>
              <w:t xml:space="preserve"> national clinical protocols </w:t>
            </w:r>
            <w:r w:rsidR="00D6072E" w:rsidRPr="001E591C">
              <w:rPr>
                <w:lang w:val="en-GB"/>
              </w:rPr>
              <w:t>which follow</w:t>
            </w:r>
            <w:r w:rsidRPr="001E591C">
              <w:rPr>
                <w:lang w:val="en-GB"/>
              </w:rPr>
              <w:t xml:space="preserve"> WHO recommendations. Public services will be actively involved in the process of linking testing services with treatment and care services. Within the framework of cooperation between </w:t>
            </w:r>
            <w:r w:rsidR="00B16FFB" w:rsidRPr="001E591C">
              <w:rPr>
                <w:lang w:val="en-GB"/>
              </w:rPr>
              <w:t>healthcare facilities</w:t>
            </w:r>
            <w:r w:rsidRPr="001E591C">
              <w:rPr>
                <w:lang w:val="en-GB"/>
              </w:rPr>
              <w:t xml:space="preserve">, </w:t>
            </w:r>
            <w:r w:rsidR="00B16FFB" w:rsidRPr="001E591C">
              <w:rPr>
                <w:lang w:val="en-GB"/>
              </w:rPr>
              <w:t>NGOs and donor/technical partners</w:t>
            </w:r>
            <w:r w:rsidRPr="001E591C">
              <w:rPr>
                <w:lang w:val="en-GB"/>
              </w:rPr>
              <w:t>, PLHIV in need will have access to social support and treatment adherence</w:t>
            </w:r>
            <w:r w:rsidR="00B16FFB" w:rsidRPr="001E591C">
              <w:rPr>
                <w:lang w:val="en-GB"/>
              </w:rPr>
              <w:t xml:space="preserve"> programs</w:t>
            </w:r>
            <w:r w:rsidRPr="001E591C">
              <w:rPr>
                <w:lang w:val="en-GB"/>
              </w:rPr>
              <w:t xml:space="preserve">. The activities of two multidisciplinary teams </w:t>
            </w:r>
            <w:r w:rsidR="00BE5FC4" w:rsidRPr="001E591C">
              <w:rPr>
                <w:lang w:val="en-GB"/>
              </w:rPr>
              <w:t xml:space="preserve">(MDT) </w:t>
            </w:r>
            <w:r w:rsidRPr="001E591C">
              <w:rPr>
                <w:lang w:val="en-GB"/>
              </w:rPr>
              <w:t xml:space="preserve">consisting of a doctor and an equal consultant in the north and south of the country, where the largest number of PLHIV are registered, will be supported. The MDT's activities will include index testing, </w:t>
            </w:r>
            <w:r w:rsidR="00BE5FC4" w:rsidRPr="001E591C">
              <w:rPr>
                <w:lang w:val="en-GB"/>
              </w:rPr>
              <w:t>provision</w:t>
            </w:r>
            <w:r w:rsidRPr="001E591C">
              <w:rPr>
                <w:lang w:val="en-GB"/>
              </w:rPr>
              <w:t xml:space="preserve"> of ARV drugs, </w:t>
            </w:r>
            <w:r w:rsidR="00BE5FC4" w:rsidRPr="001E591C">
              <w:rPr>
                <w:lang w:val="en-GB"/>
              </w:rPr>
              <w:t>PrEP</w:t>
            </w:r>
            <w:r w:rsidRPr="001E591C">
              <w:rPr>
                <w:lang w:val="en-GB"/>
              </w:rPr>
              <w:t xml:space="preserve">, care and support for </w:t>
            </w:r>
            <w:r w:rsidR="00203C27" w:rsidRPr="001E591C">
              <w:rPr>
                <w:lang w:val="en-GB"/>
              </w:rPr>
              <w:t>patients with advance disease</w:t>
            </w:r>
            <w:r w:rsidRPr="001E591C">
              <w:rPr>
                <w:lang w:val="en-GB"/>
              </w:rPr>
              <w:t>.</w:t>
            </w:r>
          </w:p>
          <w:p w14:paraId="64FC3937" w14:textId="63514AAA"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Currently, up to 80% of ARV drugs are provided at the expense of the state budget. </w:t>
            </w:r>
            <w:r w:rsidR="00B407E8" w:rsidRPr="001E591C">
              <w:rPr>
                <w:lang w:val="en-GB"/>
              </w:rPr>
              <w:t>Partial</w:t>
            </w:r>
            <w:r w:rsidRPr="001E591C">
              <w:rPr>
                <w:lang w:val="en-GB"/>
              </w:rPr>
              <w:t xml:space="preserve"> purchase of medicines</w:t>
            </w:r>
            <w:r w:rsidR="00B407E8" w:rsidRPr="001E591C">
              <w:rPr>
                <w:lang w:val="en-GB"/>
              </w:rPr>
              <w:t xml:space="preserve"> will be covered</w:t>
            </w:r>
            <w:r w:rsidRPr="001E591C">
              <w:rPr>
                <w:lang w:val="en-GB"/>
              </w:rPr>
              <w:t xml:space="preserve">, as well as for the purchase of </w:t>
            </w:r>
            <w:r w:rsidR="00B407E8" w:rsidRPr="001E591C">
              <w:rPr>
                <w:lang w:val="en-GB"/>
              </w:rPr>
              <w:t>health products</w:t>
            </w:r>
            <w:r w:rsidRPr="001E591C">
              <w:rPr>
                <w:lang w:val="en-GB"/>
              </w:rPr>
              <w:t xml:space="preserve"> for monitoring the effectiveness of ART, which cannot be purchased on the local market due to the lack of registration. Mechanisms will be provided for monitoring and responding to long-term side effects of ARV drugs (85% of PLHIV receive tenofovir disoproxil fumarate). Transportation of </w:t>
            </w:r>
            <w:r w:rsidR="0097593E" w:rsidRPr="001E591C">
              <w:rPr>
                <w:lang w:val="en-GB"/>
              </w:rPr>
              <w:t>samples</w:t>
            </w:r>
            <w:r w:rsidRPr="001E591C">
              <w:rPr>
                <w:lang w:val="en-GB"/>
              </w:rPr>
              <w:t xml:space="preserve"> from remote regions is supported. Work will continue on monitoring early warning indicators of </w:t>
            </w:r>
            <w:r w:rsidR="0097593E" w:rsidRPr="001E591C">
              <w:rPr>
                <w:lang w:val="en-GB"/>
              </w:rPr>
              <w:t>DR</w:t>
            </w:r>
            <w:r w:rsidRPr="001E591C">
              <w:rPr>
                <w:lang w:val="en-GB"/>
              </w:rPr>
              <w:t xml:space="preserve"> to HIV in treatment programs.</w:t>
            </w:r>
          </w:p>
          <w:p w14:paraId="3B2BD463" w14:textId="55FE3284"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At least 90% of women/girls with HIV infection will have access to SRH services, including the provision of contraceptives; prevention, diagnosis and treatment of STIs; prevention of cervical cancer; gynecologist services and access to </w:t>
            </w:r>
            <w:r w:rsidR="00B92DE2" w:rsidRPr="001E591C">
              <w:rPr>
                <w:lang w:val="en-GB"/>
              </w:rPr>
              <w:t xml:space="preserve">HPV </w:t>
            </w:r>
            <w:r w:rsidRPr="001E591C">
              <w:rPr>
                <w:lang w:val="en-GB"/>
              </w:rPr>
              <w:t>vaccination (from 11 to 45 years).</w:t>
            </w:r>
          </w:p>
          <w:p w14:paraId="1B7FB8E7" w14:textId="24FA24D8" w:rsidR="001B3B06" w:rsidRPr="001E591C" w:rsidRDefault="0049444C"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One</w:t>
            </w:r>
            <w:r w:rsidR="001B3B06" w:rsidRPr="001E591C">
              <w:rPr>
                <w:lang w:val="en-GB"/>
              </w:rPr>
              <w:t xml:space="preserve"> of the key </w:t>
            </w:r>
            <w:r w:rsidR="007365D2" w:rsidRPr="001E591C">
              <w:rPr>
                <w:lang w:val="en-GB"/>
              </w:rPr>
              <w:t>issues</w:t>
            </w:r>
            <w:r w:rsidR="001B3B06" w:rsidRPr="001E591C">
              <w:rPr>
                <w:lang w:val="en-GB"/>
              </w:rPr>
              <w:t xml:space="preserve"> </w:t>
            </w:r>
            <w:r w:rsidR="007365D2" w:rsidRPr="001E591C">
              <w:rPr>
                <w:lang w:val="en-GB"/>
              </w:rPr>
              <w:t>in</w:t>
            </w:r>
            <w:r w:rsidR="001B3B06" w:rsidRPr="001E591C">
              <w:rPr>
                <w:lang w:val="en-GB"/>
              </w:rPr>
              <w:t xml:space="preserve"> achieving </w:t>
            </w:r>
            <w:r w:rsidR="007365D2" w:rsidRPr="001E591C">
              <w:rPr>
                <w:lang w:val="en-GB"/>
              </w:rPr>
              <w:t>global targets on ART initiation (</w:t>
            </w:r>
            <w:r w:rsidR="001B3B06" w:rsidRPr="001E591C">
              <w:rPr>
                <w:lang w:val="en-GB"/>
              </w:rPr>
              <w:t>the second "95"</w:t>
            </w:r>
            <w:r w:rsidR="007365D2" w:rsidRPr="001E591C">
              <w:rPr>
                <w:lang w:val="en-GB"/>
              </w:rPr>
              <w:t>)</w:t>
            </w:r>
            <w:r w:rsidR="001B3B06" w:rsidRPr="001E591C">
              <w:rPr>
                <w:lang w:val="en-GB"/>
              </w:rPr>
              <w:t xml:space="preserve"> is the</w:t>
            </w:r>
            <w:r w:rsidR="007365D2" w:rsidRPr="001E591C">
              <w:rPr>
                <w:lang w:val="en-GB"/>
              </w:rPr>
              <w:t xml:space="preserve"> patients</w:t>
            </w:r>
            <w:r w:rsidR="001B3B06" w:rsidRPr="001E591C">
              <w:rPr>
                <w:lang w:val="en-GB"/>
              </w:rPr>
              <w:t xml:space="preserve"> </w:t>
            </w:r>
            <w:r w:rsidR="007365D2" w:rsidRPr="001E591C">
              <w:rPr>
                <w:lang w:val="en-GB"/>
              </w:rPr>
              <w:t>lost to follow-up</w:t>
            </w:r>
            <w:r w:rsidR="001B3B06" w:rsidRPr="001E591C">
              <w:rPr>
                <w:lang w:val="en-GB"/>
              </w:rPr>
              <w:t xml:space="preserve">. To ensure the sustainability of </w:t>
            </w:r>
            <w:r w:rsidR="007365D2" w:rsidRPr="001E591C">
              <w:rPr>
                <w:lang w:val="en-GB"/>
              </w:rPr>
              <w:t>quality of treatment and care for HIV infection</w:t>
            </w:r>
            <w:r w:rsidR="001B3B06" w:rsidRPr="001E591C">
              <w:rPr>
                <w:lang w:val="en-GB"/>
              </w:rPr>
              <w:t>, a mechanism for motivational payments to medical workers based on results will be developed, implemented and institutionalized. Results-based motivational payments to NGO employees for treatment-uptake and successful viral suppression will continue.</w:t>
            </w:r>
          </w:p>
          <w:p w14:paraId="0DE52EB8" w14:textId="43B4FBB4"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lastRenderedPageBreak/>
              <w:t>The capacit</w:t>
            </w:r>
            <w:r w:rsidR="0073790B" w:rsidRPr="001E591C">
              <w:rPr>
                <w:lang w:val="en-GB"/>
              </w:rPr>
              <w:t>y</w:t>
            </w:r>
            <w:r w:rsidRPr="001E591C">
              <w:rPr>
                <w:lang w:val="en-GB"/>
              </w:rPr>
              <w:t xml:space="preserve"> of PLHIV communit</w:t>
            </w:r>
            <w:r w:rsidR="0073790B" w:rsidRPr="001E591C">
              <w:rPr>
                <w:lang w:val="en-GB"/>
              </w:rPr>
              <w:t>y</w:t>
            </w:r>
            <w:r w:rsidRPr="001E591C">
              <w:rPr>
                <w:lang w:val="en-GB"/>
              </w:rPr>
              <w:t xml:space="preserve"> and their close associates on HIV and human rights issues will be further built on</w:t>
            </w:r>
            <w:r w:rsidR="0073790B" w:rsidRPr="001E591C">
              <w:rPr>
                <w:lang w:val="en-GB"/>
              </w:rPr>
              <w:t xml:space="preserve">: </w:t>
            </w:r>
            <w:r w:rsidRPr="001E591C">
              <w:rPr>
                <w:lang w:val="en-GB"/>
              </w:rPr>
              <w:t>training</w:t>
            </w:r>
            <w:r w:rsidR="0073790B" w:rsidRPr="001E591C">
              <w:rPr>
                <w:lang w:val="en-GB"/>
              </w:rPr>
              <w:t>s</w:t>
            </w:r>
            <w:r w:rsidRPr="001E591C">
              <w:rPr>
                <w:lang w:val="en-GB"/>
              </w:rPr>
              <w:t xml:space="preserve"> on </w:t>
            </w:r>
            <w:r w:rsidR="0073790B" w:rsidRPr="001E591C">
              <w:rPr>
                <w:lang w:val="en-GB"/>
              </w:rPr>
              <w:t xml:space="preserve">various topics (including but not limited to </w:t>
            </w:r>
            <w:r w:rsidRPr="001E591C">
              <w:rPr>
                <w:lang w:val="en-GB"/>
              </w:rPr>
              <w:t>adherence, treatment, reduction of stigma and discrimination, SRH</w:t>
            </w:r>
            <w:r w:rsidR="0073790B" w:rsidRPr="001E591C">
              <w:rPr>
                <w:lang w:val="en-GB"/>
              </w:rPr>
              <w:t>)</w:t>
            </w:r>
            <w:r w:rsidRPr="001E591C">
              <w:rPr>
                <w:lang w:val="en-GB"/>
              </w:rPr>
              <w:t xml:space="preserve">, participation in international conferences, forums. </w:t>
            </w:r>
            <w:r w:rsidR="0073790B" w:rsidRPr="001E591C">
              <w:rPr>
                <w:lang w:val="en-GB"/>
              </w:rPr>
              <w:t>T</w:t>
            </w:r>
            <w:r w:rsidRPr="001E591C">
              <w:rPr>
                <w:lang w:val="en-GB"/>
              </w:rPr>
              <w:t>o mobilize the PLHIV community, actions on accord days</w:t>
            </w:r>
            <w:r w:rsidR="0073790B" w:rsidRPr="001E591C">
              <w:rPr>
                <w:lang w:val="en-GB"/>
              </w:rPr>
              <w:t xml:space="preserve"> will be supported</w:t>
            </w:r>
            <w:r w:rsidRPr="001E591C">
              <w:rPr>
                <w:lang w:val="en-GB"/>
              </w:rPr>
              <w:t>.</w:t>
            </w:r>
          </w:p>
          <w:p w14:paraId="4022AF54" w14:textId="7C12D9FC"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To improve access of PLHIV to HIV medical services and improve their quality, </w:t>
            </w:r>
            <w:r w:rsidR="00523FDE" w:rsidRPr="001E591C">
              <w:rPr>
                <w:lang w:val="en-GB"/>
              </w:rPr>
              <w:t xml:space="preserve">information and digital technologies </w:t>
            </w:r>
            <w:r w:rsidRPr="001E591C">
              <w:rPr>
                <w:lang w:val="en-GB"/>
              </w:rPr>
              <w:t>will be develop</w:t>
            </w:r>
            <w:r w:rsidR="00523FDE" w:rsidRPr="001E591C">
              <w:rPr>
                <w:lang w:val="en-GB"/>
              </w:rPr>
              <w:t>ed</w:t>
            </w:r>
            <w:r w:rsidRPr="001E591C">
              <w:rPr>
                <w:lang w:val="en-GB"/>
              </w:rPr>
              <w:t xml:space="preserve">. Social and legal support for PLHIV, especially children with HIV, will continue in areas </w:t>
            </w:r>
            <w:r w:rsidR="00B46F20" w:rsidRPr="001E591C">
              <w:rPr>
                <w:lang w:val="en-GB"/>
              </w:rPr>
              <w:t>with no other</w:t>
            </w:r>
            <w:r w:rsidRPr="001E591C">
              <w:rPr>
                <w:lang w:val="en-GB"/>
              </w:rPr>
              <w:t xml:space="preserve"> source of funding (</w:t>
            </w:r>
            <w:r w:rsidR="00B46F20" w:rsidRPr="001E591C">
              <w:rPr>
                <w:lang w:val="en-GB"/>
              </w:rPr>
              <w:t>educational activities</w:t>
            </w:r>
            <w:r w:rsidRPr="001E591C">
              <w:rPr>
                <w:lang w:val="en-GB"/>
              </w:rPr>
              <w:t xml:space="preserve"> </w:t>
            </w:r>
            <w:r w:rsidR="00B46F20" w:rsidRPr="001E591C">
              <w:rPr>
                <w:lang w:val="en-GB"/>
              </w:rPr>
              <w:t>on</w:t>
            </w:r>
            <w:r w:rsidRPr="001E591C">
              <w:rPr>
                <w:lang w:val="en-GB"/>
              </w:rPr>
              <w:t xml:space="preserve"> social adaptation in a society with HIV, computer literacy and foreign languages</w:t>
            </w:r>
            <w:r w:rsidR="00B46F20" w:rsidRPr="001E591C">
              <w:rPr>
                <w:lang w:val="en-GB"/>
              </w:rPr>
              <w:t xml:space="preserve"> courses</w:t>
            </w:r>
            <w:r w:rsidRPr="001E591C">
              <w:rPr>
                <w:lang w:val="en-GB"/>
              </w:rPr>
              <w:t xml:space="preserve">, </w:t>
            </w:r>
            <w:r w:rsidR="00B46F20" w:rsidRPr="001E591C">
              <w:rPr>
                <w:lang w:val="en-GB"/>
              </w:rPr>
              <w:t xml:space="preserve">dealing with </w:t>
            </w:r>
            <w:r w:rsidRPr="001E591C">
              <w:rPr>
                <w:lang w:val="en-GB"/>
              </w:rPr>
              <w:t xml:space="preserve">self-stigmatization). </w:t>
            </w:r>
            <w:r w:rsidR="00890BF5" w:rsidRPr="001E591C">
              <w:rPr>
                <w:lang w:val="en-GB"/>
              </w:rPr>
              <w:t>T</w:t>
            </w:r>
            <w:r w:rsidRPr="001E591C">
              <w:rPr>
                <w:lang w:val="en-GB"/>
              </w:rPr>
              <w:t>o improv</w:t>
            </w:r>
            <w:r w:rsidR="00890BF5" w:rsidRPr="001E591C">
              <w:rPr>
                <w:lang w:val="en-GB"/>
              </w:rPr>
              <w:t>e</w:t>
            </w:r>
            <w:r w:rsidRPr="001E591C">
              <w:rPr>
                <w:lang w:val="en-GB"/>
              </w:rPr>
              <w:t xml:space="preserve"> access and quality of specific medical services for PLHIV </w:t>
            </w:r>
            <w:r w:rsidR="00890BF5" w:rsidRPr="001E591C">
              <w:rPr>
                <w:lang w:val="en-GB"/>
              </w:rPr>
              <w:t>with no other</w:t>
            </w:r>
            <w:r w:rsidRPr="001E591C">
              <w:rPr>
                <w:lang w:val="en-GB"/>
              </w:rPr>
              <w:t xml:space="preserve"> source of funding palliative care, laboratory diagnostics of STIs, etc.</w:t>
            </w:r>
            <w:r w:rsidR="00890BF5" w:rsidRPr="001E591C">
              <w:rPr>
                <w:lang w:val="en-GB"/>
              </w:rPr>
              <w:t xml:space="preserve"> will be proposed.</w:t>
            </w:r>
            <w:r w:rsidRPr="001E591C">
              <w:rPr>
                <w:lang w:val="en-GB"/>
              </w:rPr>
              <w:t xml:space="preserve"> </w:t>
            </w:r>
            <w:r w:rsidR="00B03360" w:rsidRPr="001E591C">
              <w:rPr>
                <w:lang w:val="en-GB"/>
              </w:rPr>
              <w:t>Under Module 1,</w:t>
            </w:r>
            <w:r w:rsidRPr="001E591C">
              <w:rPr>
                <w:lang w:val="en-GB"/>
              </w:rPr>
              <w:t xml:space="preserve"> activities </w:t>
            </w:r>
            <w:proofErr w:type="gramStart"/>
            <w:r w:rsidR="00B03360" w:rsidRPr="001E591C">
              <w:rPr>
                <w:lang w:val="en-GB"/>
              </w:rPr>
              <w:t>are listed</w:t>
            </w:r>
            <w:proofErr w:type="gramEnd"/>
            <w:r w:rsidR="00B03360" w:rsidRPr="001E591C">
              <w:rPr>
                <w:lang w:val="en-GB"/>
              </w:rPr>
              <w:t xml:space="preserve"> on</w:t>
            </w:r>
            <w:r w:rsidRPr="001E591C">
              <w:rPr>
                <w:lang w:val="en-GB"/>
              </w:rPr>
              <w:t xml:space="preserve"> revis</w:t>
            </w:r>
            <w:r w:rsidR="00B03360" w:rsidRPr="001E591C">
              <w:rPr>
                <w:lang w:val="en-GB"/>
              </w:rPr>
              <w:t>ion of</w:t>
            </w:r>
            <w:r w:rsidRPr="001E591C">
              <w:rPr>
                <w:lang w:val="en-GB"/>
              </w:rPr>
              <w:t xml:space="preserve"> the </w:t>
            </w:r>
            <w:r w:rsidR="00285053">
              <w:rPr>
                <w:lang w:val="en-GB"/>
              </w:rPr>
              <w:t>Program on State-guaranteed benefit package</w:t>
            </w:r>
            <w:r w:rsidR="00B03360" w:rsidRPr="001E591C">
              <w:rPr>
                <w:lang w:val="en-GB"/>
              </w:rPr>
              <w:t xml:space="preserve"> to </w:t>
            </w:r>
            <w:r w:rsidRPr="001E591C">
              <w:rPr>
                <w:lang w:val="en-GB"/>
              </w:rPr>
              <w:t xml:space="preserve">include expanded access to health services for </w:t>
            </w:r>
            <w:r w:rsidR="00F13A5B" w:rsidRPr="001E591C">
              <w:rPr>
                <w:lang w:val="en-GB"/>
              </w:rPr>
              <w:t>KPs</w:t>
            </w:r>
            <w:r w:rsidRPr="001E591C">
              <w:rPr>
                <w:lang w:val="en-GB"/>
              </w:rPr>
              <w:t>.</w:t>
            </w:r>
          </w:p>
          <w:p w14:paraId="0DACFFE9" w14:textId="58946875"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In order to improve medical educational programs on HIV, thematic educational and methodological modules on HIV will be developed and </w:t>
            </w:r>
            <w:r w:rsidR="003E26C1" w:rsidRPr="001E591C">
              <w:rPr>
                <w:lang w:val="en-GB"/>
              </w:rPr>
              <w:t>incorporated into</w:t>
            </w:r>
            <w:r w:rsidRPr="001E591C">
              <w:rPr>
                <w:lang w:val="en-GB"/>
              </w:rPr>
              <w:t xml:space="preserve"> postgraduate education </w:t>
            </w:r>
            <w:r w:rsidR="003E26C1" w:rsidRPr="001E591C">
              <w:rPr>
                <w:lang w:val="en-GB"/>
              </w:rPr>
              <w:t>institutions</w:t>
            </w:r>
            <w:r w:rsidRPr="001E591C">
              <w:rPr>
                <w:lang w:val="en-GB"/>
              </w:rPr>
              <w:t xml:space="preserve">. Medical specialists of HIV, TB, PHC services will regularly </w:t>
            </w:r>
            <w:r w:rsidR="00760454" w:rsidRPr="001E591C">
              <w:rPr>
                <w:lang w:val="en-GB"/>
              </w:rPr>
              <w:t>update their knowledge</w:t>
            </w:r>
            <w:r w:rsidRPr="001E591C">
              <w:rPr>
                <w:lang w:val="en-GB"/>
              </w:rPr>
              <w:t xml:space="preserve"> on the diagnosis, treatment of HIV and TB in </w:t>
            </w:r>
            <w:r w:rsidR="00760454" w:rsidRPr="001E591C">
              <w:rPr>
                <w:lang w:val="en-GB"/>
              </w:rPr>
              <w:t>line</w:t>
            </w:r>
            <w:r w:rsidRPr="001E591C">
              <w:rPr>
                <w:lang w:val="en-GB"/>
              </w:rPr>
              <w:t xml:space="preserve"> with updated training programs and clinical protocols.</w:t>
            </w:r>
          </w:p>
          <w:p w14:paraId="40E251AE" w14:textId="78AE0A98" w:rsidR="001B3B06" w:rsidRPr="001E591C" w:rsidRDefault="001B3B06"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To improve the management system of </w:t>
            </w:r>
            <w:r w:rsidR="00BE3663" w:rsidRPr="001E591C">
              <w:rPr>
                <w:lang w:val="en-GB"/>
              </w:rPr>
              <w:t>pharmaceuticals and health products</w:t>
            </w:r>
            <w:r w:rsidRPr="001E591C">
              <w:rPr>
                <w:lang w:val="en-GB"/>
              </w:rPr>
              <w:t xml:space="preserve">, the relevant instructions and SOPs for the distribution, storage and </w:t>
            </w:r>
            <w:r w:rsidR="00BE3663" w:rsidRPr="001E591C">
              <w:rPr>
                <w:lang w:val="en-GB"/>
              </w:rPr>
              <w:t xml:space="preserve">stock </w:t>
            </w:r>
            <w:r w:rsidRPr="001E591C">
              <w:rPr>
                <w:lang w:val="en-GB"/>
              </w:rPr>
              <w:t xml:space="preserve">management will be updated </w:t>
            </w:r>
            <w:r w:rsidR="00BE3663" w:rsidRPr="001E591C">
              <w:rPr>
                <w:lang w:val="en-GB"/>
              </w:rPr>
              <w:t>to comply</w:t>
            </w:r>
            <w:r w:rsidRPr="001E591C">
              <w:rPr>
                <w:lang w:val="en-GB"/>
              </w:rPr>
              <w:t xml:space="preserve"> with international standards. </w:t>
            </w:r>
            <w:r w:rsidR="00184526" w:rsidRPr="001E591C">
              <w:rPr>
                <w:lang w:val="en-GB"/>
              </w:rPr>
              <w:t>Implementation</w:t>
            </w:r>
            <w:r w:rsidRPr="001E591C">
              <w:rPr>
                <w:lang w:val="en-GB"/>
              </w:rPr>
              <w:t xml:space="preserve"> of </w:t>
            </w:r>
            <w:r w:rsidR="00184526" w:rsidRPr="001E591C">
              <w:rPr>
                <w:lang w:val="en-GB"/>
              </w:rPr>
              <w:t xml:space="preserve">the </w:t>
            </w:r>
            <w:r w:rsidRPr="001E591C">
              <w:rPr>
                <w:lang w:val="en-GB"/>
              </w:rPr>
              <w:t>information system "1C</w:t>
            </w:r>
            <w:r w:rsidR="00E815AE" w:rsidRPr="001E591C">
              <w:rPr>
                <w:lang w:val="en-GB"/>
              </w:rPr>
              <w:t>:</w:t>
            </w:r>
            <w:r w:rsidRPr="001E591C">
              <w:rPr>
                <w:lang w:val="en-GB"/>
              </w:rPr>
              <w:t xml:space="preserve"> Warehouse/Pharmacy" </w:t>
            </w:r>
            <w:r w:rsidR="00184526" w:rsidRPr="001E591C">
              <w:rPr>
                <w:lang w:val="en-GB"/>
              </w:rPr>
              <w:t xml:space="preserve">(or similar) </w:t>
            </w:r>
            <w:r w:rsidRPr="001E591C">
              <w:rPr>
                <w:lang w:val="en-GB"/>
              </w:rPr>
              <w:t xml:space="preserve">and staff training </w:t>
            </w:r>
            <w:r w:rsidR="00773A8B" w:rsidRPr="001E591C">
              <w:rPr>
                <w:lang w:val="en-GB"/>
              </w:rPr>
              <w:t xml:space="preserve">to use it </w:t>
            </w:r>
            <w:r w:rsidRPr="001E591C">
              <w:rPr>
                <w:lang w:val="en-GB"/>
              </w:rPr>
              <w:t xml:space="preserve">will systematize the variety of business processes in the supply chain </w:t>
            </w:r>
            <w:r w:rsidR="00773A8B" w:rsidRPr="001E591C">
              <w:rPr>
                <w:lang w:val="en-GB"/>
              </w:rPr>
              <w:t>management</w:t>
            </w:r>
            <w:r w:rsidRPr="001E591C">
              <w:rPr>
                <w:lang w:val="en-GB"/>
              </w:rPr>
              <w:t>.</w:t>
            </w:r>
          </w:p>
          <w:p w14:paraId="4564575A" w14:textId="1F63A19F" w:rsidR="001B3B06" w:rsidRPr="001E591C" w:rsidRDefault="00BC5F84"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The existing methodology of forecasting the need for drugs and health products will be revised, with maximum automation of the workflow. Supply planning will be carried out more frequently (once every 2-6 months), in line with the updating of quantitative indicators on the drug and health products flow. Specialists will be supported at the national level </w:t>
            </w:r>
            <w:r w:rsidR="00F96743" w:rsidRPr="001E591C">
              <w:rPr>
                <w:lang w:val="en-GB"/>
              </w:rPr>
              <w:t>–</w:t>
            </w:r>
            <w:r w:rsidRPr="001E591C">
              <w:rPr>
                <w:lang w:val="en-GB"/>
              </w:rPr>
              <w:t xml:space="preserve"> HIV and TB program medical support manager and treatment and care consultants responsible for forecasting and planning within GF-funded programs.</w:t>
            </w:r>
          </w:p>
          <w:p w14:paraId="6429B543" w14:textId="7F982190" w:rsidR="00662E6E" w:rsidRPr="001E591C" w:rsidRDefault="0049444C" w:rsidP="001E591C">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en-GB"/>
              </w:rPr>
            </w:pPr>
            <w:r w:rsidRPr="001E591C">
              <w:rPr>
                <w:lang w:val="en-GB"/>
              </w:rPr>
              <w:t xml:space="preserve">To improve the system of stock management of drugs and health products, reprofiling/repair of warehouses of seven regional HIV centers will be done in line with international standards of storage of drugs and health products, development of the state centralized system of transportation and storage of drugs and </w:t>
            </w:r>
            <w:r w:rsidR="00BF7E30" w:rsidRPr="001E591C">
              <w:rPr>
                <w:lang w:val="en-GB"/>
              </w:rPr>
              <w:t>health products</w:t>
            </w:r>
            <w:r w:rsidRPr="001E591C">
              <w:rPr>
                <w:lang w:val="en-GB"/>
              </w:rPr>
              <w:t xml:space="preserve">, as well as the purchase of two medium-sized trucks of 3 tons capacity </w:t>
            </w:r>
            <w:r w:rsidR="00A764E8" w:rsidRPr="001E591C">
              <w:rPr>
                <w:lang w:val="en-GB"/>
              </w:rPr>
              <w:t xml:space="preserve">allowing cold chain compliance </w:t>
            </w:r>
            <w:r w:rsidR="00BF7E30" w:rsidRPr="001E591C">
              <w:rPr>
                <w:lang w:val="en-GB"/>
              </w:rPr>
              <w:t xml:space="preserve">for the prompt transportation of drugs and </w:t>
            </w:r>
            <w:r w:rsidR="004C0A5F" w:rsidRPr="001E591C">
              <w:rPr>
                <w:lang w:val="en-GB"/>
              </w:rPr>
              <w:t>health products</w:t>
            </w:r>
            <w:r w:rsidR="00BF7E30" w:rsidRPr="001E591C">
              <w:rPr>
                <w:lang w:val="en-GB"/>
              </w:rPr>
              <w:t xml:space="preserve"> to the regions of the country.</w:t>
            </w:r>
          </w:p>
        </w:tc>
      </w:tr>
      <w:tr w:rsidR="00662E6E" w14:paraId="7D171971"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5742B1D7" w14:textId="77777777" w:rsidR="00662E6E" w:rsidRDefault="00662E6E" w:rsidP="0026062D">
            <w:pPr>
              <w:pStyle w:val="BodyText"/>
              <w:widowControl w:val="0"/>
              <w:spacing w:line="240" w:lineRule="auto"/>
            </w:pPr>
            <w:r>
              <w:lastRenderedPageBreak/>
              <w:t>Population, geographies and/or barriers addressed</w:t>
            </w:r>
          </w:p>
        </w:tc>
        <w:tc>
          <w:tcPr>
            <w:tcW w:w="12616" w:type="dxa"/>
          </w:tcPr>
          <w:p w14:paraId="19B31530" w14:textId="4F0CB42E" w:rsidR="00D87C22" w:rsidRPr="00E769B9" w:rsidRDefault="00651037"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KPs</w:t>
            </w:r>
            <w:r w:rsidR="00D87C22">
              <w:rPr>
                <w:sz w:val="22"/>
                <w:szCs w:val="20"/>
                <w:lang w:val="en"/>
              </w:rPr>
              <w:t xml:space="preserve"> (MSM, TG, SW, PWUD, prisoners), </w:t>
            </w:r>
            <w:r>
              <w:rPr>
                <w:sz w:val="22"/>
                <w:szCs w:val="20"/>
                <w:lang w:val="en"/>
              </w:rPr>
              <w:t>PL</w:t>
            </w:r>
            <w:r w:rsidR="00D87C22">
              <w:rPr>
                <w:sz w:val="22"/>
                <w:szCs w:val="20"/>
                <w:lang w:val="en"/>
              </w:rPr>
              <w:t xml:space="preserve">HIV and their sexual partners. </w:t>
            </w:r>
          </w:p>
          <w:p w14:paraId="0640943A" w14:textId="77777777" w:rsidR="00D87C22" w:rsidRPr="00E769B9" w:rsidRDefault="00D87C22"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sidRPr="00413276">
              <w:rPr>
                <w:sz w:val="22"/>
                <w:szCs w:val="20"/>
                <w:lang w:val="en"/>
              </w:rPr>
              <w:t>Kyrgyz Republic</w:t>
            </w:r>
          </w:p>
          <w:p w14:paraId="76833AFA" w14:textId="44C9F4DE" w:rsidR="00D87C22" w:rsidRPr="00E769B9" w:rsidRDefault="00D87C22"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As of December 31, 2022, there is a significant gap between those on ART (8,253, or 83% of the estimated number of PLHIV) and those on ART (5,766, or 70% of those knowing their status). 90% achieved viral load suppression.</w:t>
            </w:r>
          </w:p>
          <w:p w14:paraId="237A74B8" w14:textId="7A06ADE6" w:rsidR="00D87C22" w:rsidRPr="00E769B9" w:rsidRDefault="00D87C22"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en-US"/>
              </w:rPr>
            </w:pPr>
            <w:r w:rsidRPr="00061381">
              <w:rPr>
                <w:sz w:val="22"/>
                <w:szCs w:val="20"/>
                <w:lang w:val="en"/>
              </w:rPr>
              <w:t xml:space="preserve">Problems persist with patients </w:t>
            </w:r>
            <w:r>
              <w:rPr>
                <w:sz w:val="22"/>
                <w:szCs w:val="20"/>
                <w:lang w:val="en"/>
              </w:rPr>
              <w:t xml:space="preserve">interrupting their </w:t>
            </w:r>
            <w:r w:rsidRPr="00061381">
              <w:rPr>
                <w:sz w:val="22"/>
                <w:szCs w:val="20"/>
                <w:lang w:val="en"/>
              </w:rPr>
              <w:t xml:space="preserve">ART treatment. There is still a high mortality rate among </w:t>
            </w:r>
            <w:r w:rsidR="00C42EAE">
              <w:rPr>
                <w:sz w:val="22"/>
                <w:szCs w:val="20"/>
                <w:lang w:val="en"/>
              </w:rPr>
              <w:t>PL</w:t>
            </w:r>
            <w:r w:rsidRPr="00061381">
              <w:rPr>
                <w:sz w:val="22"/>
                <w:szCs w:val="20"/>
                <w:lang w:val="en"/>
              </w:rPr>
              <w:t>HIV, about 50% of the detected cases are in the advanced stages of HIV, there are people in the terminal stage of AIDS who need palliative care.</w:t>
            </w:r>
          </w:p>
          <w:p w14:paraId="3EA72788" w14:textId="7D32971E" w:rsidR="00D87C22" w:rsidRPr="00E769B9" w:rsidRDefault="00D87C22" w:rsidP="0026062D">
            <w:pPr>
              <w:widowControl w:val="0"/>
              <w:jc w:val="both"/>
              <w:cnfStyle w:val="000000000000" w:firstRow="0" w:lastRow="0" w:firstColumn="0" w:lastColumn="0" w:oddVBand="0" w:evenVBand="0" w:oddHBand="0" w:evenHBand="0" w:firstRowFirstColumn="0" w:firstRowLastColumn="0" w:lastRowFirstColumn="0" w:lastRowLastColumn="0"/>
              <w:rPr>
                <w:szCs w:val="20"/>
              </w:rPr>
            </w:pPr>
            <w:r>
              <w:rPr>
                <w:szCs w:val="20"/>
                <w:lang w:val="en"/>
              </w:rPr>
              <w:lastRenderedPageBreak/>
              <w:t>The volume of purchases at the expense of public funds increas</w:t>
            </w:r>
            <w:r w:rsidR="00E8524C">
              <w:rPr>
                <w:szCs w:val="20"/>
                <w:lang w:val="en"/>
              </w:rPr>
              <w:t>es</w:t>
            </w:r>
            <w:r>
              <w:rPr>
                <w:szCs w:val="20"/>
                <w:lang w:val="en"/>
              </w:rPr>
              <w:t xml:space="preserve"> annually, </w:t>
            </w:r>
            <w:r w:rsidR="00E8524C">
              <w:rPr>
                <w:szCs w:val="20"/>
                <w:lang w:val="en"/>
              </w:rPr>
              <w:t>currently</w:t>
            </w:r>
            <w:r>
              <w:rPr>
                <w:szCs w:val="20"/>
                <w:lang w:val="en"/>
              </w:rPr>
              <w:t xml:space="preserve"> it </w:t>
            </w:r>
            <w:r w:rsidR="00E8524C">
              <w:rPr>
                <w:szCs w:val="20"/>
                <w:lang w:val="en"/>
              </w:rPr>
              <w:t>amounts to</w:t>
            </w:r>
            <w:r>
              <w:rPr>
                <w:szCs w:val="20"/>
                <w:lang w:val="en"/>
              </w:rPr>
              <w:t xml:space="preserve"> 80% </w:t>
            </w:r>
            <w:r w:rsidR="00E8524C">
              <w:rPr>
                <w:szCs w:val="20"/>
                <w:lang w:val="en"/>
              </w:rPr>
              <w:t>of</w:t>
            </w:r>
            <w:r>
              <w:rPr>
                <w:szCs w:val="20"/>
                <w:lang w:val="en"/>
              </w:rPr>
              <w:t xml:space="preserve"> medicines and tests for the diagnosis of HIV. </w:t>
            </w:r>
            <w:r w:rsidR="006B45AA" w:rsidRPr="006B45AA">
              <w:rPr>
                <w:szCs w:val="20"/>
                <w:lang w:val="en"/>
              </w:rPr>
              <w:t xml:space="preserve">However, there </w:t>
            </w:r>
            <w:r w:rsidR="006B45AA">
              <w:rPr>
                <w:szCs w:val="20"/>
                <w:lang w:val="en"/>
              </w:rPr>
              <w:t>is</w:t>
            </w:r>
            <w:r w:rsidR="006B45AA" w:rsidRPr="006B45AA">
              <w:rPr>
                <w:szCs w:val="20"/>
                <w:lang w:val="en"/>
              </w:rPr>
              <w:t xml:space="preserve"> a risk of interruption of prevention and </w:t>
            </w:r>
            <w:r w:rsidR="006B45AA">
              <w:rPr>
                <w:szCs w:val="20"/>
                <w:lang w:val="en"/>
              </w:rPr>
              <w:t>care and support</w:t>
            </w:r>
            <w:r w:rsidR="006B45AA" w:rsidRPr="006B45AA">
              <w:rPr>
                <w:szCs w:val="20"/>
                <w:lang w:val="en"/>
              </w:rPr>
              <w:t xml:space="preserve"> </w:t>
            </w:r>
            <w:r w:rsidR="006B45AA">
              <w:rPr>
                <w:szCs w:val="20"/>
                <w:lang w:val="en"/>
              </w:rPr>
              <w:t>ART-</w:t>
            </w:r>
            <w:r w:rsidR="006B45AA" w:rsidRPr="006B45AA">
              <w:rPr>
                <w:szCs w:val="20"/>
                <w:lang w:val="en"/>
              </w:rPr>
              <w:t>related services (pediatric forms) and diagnostic test systems and reagents, which the state cannot cover due to funding</w:t>
            </w:r>
            <w:r w:rsidR="006B45AA">
              <w:rPr>
                <w:szCs w:val="20"/>
                <w:lang w:val="en"/>
              </w:rPr>
              <w:t xml:space="preserve"> shortage</w:t>
            </w:r>
            <w:r w:rsidR="006B45AA" w:rsidRPr="006B45AA">
              <w:rPr>
                <w:szCs w:val="20"/>
                <w:lang w:val="en"/>
              </w:rPr>
              <w:t>, problems with registration in the Kyrgyz Republic and logistics</w:t>
            </w:r>
            <w:r w:rsidR="00F35763">
              <w:rPr>
                <w:szCs w:val="20"/>
                <w:lang w:val="en"/>
              </w:rPr>
              <w:t xml:space="preserve"> difficulties</w:t>
            </w:r>
            <w:r w:rsidR="006B45AA" w:rsidRPr="006B45AA">
              <w:rPr>
                <w:szCs w:val="20"/>
                <w:lang w:val="en"/>
              </w:rPr>
              <w:t>.</w:t>
            </w:r>
          </w:p>
          <w:p w14:paraId="2DA4523E" w14:textId="495EAC9B" w:rsidR="00D87C22" w:rsidRPr="00E769B9" w:rsidRDefault="00D87C22"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en-US"/>
              </w:rPr>
            </w:pPr>
            <w:r w:rsidRPr="00061381">
              <w:rPr>
                <w:sz w:val="22"/>
                <w:szCs w:val="20"/>
                <w:lang w:val="en"/>
              </w:rPr>
              <w:t xml:space="preserve">The state provides </w:t>
            </w:r>
            <w:r w:rsidR="0026062D" w:rsidRPr="00061381">
              <w:rPr>
                <w:sz w:val="22"/>
                <w:szCs w:val="20"/>
                <w:lang w:val="en"/>
              </w:rPr>
              <w:t xml:space="preserve">HCV and HBV </w:t>
            </w:r>
            <w:r w:rsidRPr="00061381">
              <w:rPr>
                <w:sz w:val="22"/>
                <w:szCs w:val="20"/>
                <w:lang w:val="en"/>
              </w:rPr>
              <w:t>treatment for KP</w:t>
            </w:r>
            <w:r w:rsidR="0026062D">
              <w:rPr>
                <w:sz w:val="22"/>
                <w:szCs w:val="20"/>
                <w:lang w:val="en"/>
              </w:rPr>
              <w:t>s</w:t>
            </w:r>
            <w:r w:rsidRPr="00061381">
              <w:rPr>
                <w:sz w:val="22"/>
                <w:szCs w:val="20"/>
                <w:lang w:val="en"/>
              </w:rPr>
              <w:t xml:space="preserve"> and PLHIV, and </w:t>
            </w:r>
            <w:r w:rsidR="0026062D" w:rsidRPr="00061381">
              <w:rPr>
                <w:sz w:val="22"/>
                <w:szCs w:val="20"/>
                <w:lang w:val="en"/>
              </w:rPr>
              <w:t xml:space="preserve">HBV </w:t>
            </w:r>
            <w:r w:rsidRPr="00061381">
              <w:rPr>
                <w:sz w:val="22"/>
                <w:szCs w:val="20"/>
                <w:lang w:val="en"/>
              </w:rPr>
              <w:t>vaccinat</w:t>
            </w:r>
            <w:r w:rsidR="0026062D">
              <w:rPr>
                <w:sz w:val="22"/>
                <w:szCs w:val="20"/>
                <w:lang w:val="en"/>
              </w:rPr>
              <w:t>ion</w:t>
            </w:r>
            <w:r w:rsidRPr="00061381">
              <w:rPr>
                <w:sz w:val="22"/>
                <w:szCs w:val="20"/>
                <w:lang w:val="en"/>
              </w:rPr>
              <w:t xml:space="preserve">. </w:t>
            </w:r>
            <w:r w:rsidR="002C15DB" w:rsidRPr="002C15DB">
              <w:rPr>
                <w:sz w:val="22"/>
                <w:szCs w:val="20"/>
                <w:lang w:val="en"/>
              </w:rPr>
              <w:t xml:space="preserve">At the same time, some types of diagnostics, including </w:t>
            </w:r>
            <w:proofErr w:type="spellStart"/>
            <w:r w:rsidR="002C15DB" w:rsidRPr="002C15DB">
              <w:rPr>
                <w:sz w:val="22"/>
                <w:szCs w:val="20"/>
                <w:lang w:val="en"/>
              </w:rPr>
              <w:t>fibroscan</w:t>
            </w:r>
            <w:proofErr w:type="spellEnd"/>
            <w:r w:rsidR="002C15DB" w:rsidRPr="002C15DB">
              <w:rPr>
                <w:sz w:val="22"/>
                <w:szCs w:val="20"/>
                <w:lang w:val="en"/>
              </w:rPr>
              <w:t xml:space="preserve">, ultrasound, etc., </w:t>
            </w:r>
            <w:r w:rsidR="002C15DB">
              <w:rPr>
                <w:sz w:val="22"/>
                <w:szCs w:val="20"/>
                <w:lang w:val="en"/>
              </w:rPr>
              <w:t>envisaged</w:t>
            </w:r>
            <w:r w:rsidR="002C15DB" w:rsidRPr="002C15DB">
              <w:rPr>
                <w:sz w:val="22"/>
                <w:szCs w:val="20"/>
                <w:lang w:val="en"/>
              </w:rPr>
              <w:t xml:space="preserve"> by the national clinical protocol for the treatment of </w:t>
            </w:r>
            <w:proofErr w:type="spellStart"/>
            <w:r w:rsidR="002C15DB">
              <w:rPr>
                <w:sz w:val="22"/>
                <w:szCs w:val="20"/>
                <w:lang w:val="en"/>
              </w:rPr>
              <w:t>hepatatis</w:t>
            </w:r>
            <w:proofErr w:type="spellEnd"/>
            <w:r w:rsidR="002C15DB" w:rsidRPr="002C15DB">
              <w:rPr>
                <w:sz w:val="22"/>
                <w:szCs w:val="20"/>
                <w:lang w:val="en"/>
              </w:rPr>
              <w:t xml:space="preserve"> and HIV, are missing, since these types of diagnostics are not included in the </w:t>
            </w:r>
            <w:r w:rsidR="00285053">
              <w:rPr>
                <w:sz w:val="22"/>
                <w:szCs w:val="20"/>
                <w:lang w:val="en"/>
              </w:rPr>
              <w:t>Program on State-guaranteed benefit package</w:t>
            </w:r>
            <w:r w:rsidR="002C15DB" w:rsidRPr="002C15DB">
              <w:rPr>
                <w:sz w:val="22"/>
                <w:szCs w:val="20"/>
                <w:lang w:val="en"/>
              </w:rPr>
              <w:t xml:space="preserve"> for the </w:t>
            </w:r>
            <w:r w:rsidR="002C15DB">
              <w:rPr>
                <w:sz w:val="22"/>
                <w:szCs w:val="20"/>
                <w:lang w:val="en"/>
              </w:rPr>
              <w:t>KPs</w:t>
            </w:r>
            <w:r w:rsidR="002C15DB" w:rsidRPr="002C15DB">
              <w:rPr>
                <w:sz w:val="22"/>
                <w:szCs w:val="20"/>
                <w:lang w:val="en"/>
              </w:rPr>
              <w:t xml:space="preserve"> and PLWH</w:t>
            </w:r>
            <w:r w:rsidRPr="00061381">
              <w:rPr>
                <w:sz w:val="22"/>
                <w:szCs w:val="20"/>
                <w:lang w:val="en"/>
              </w:rPr>
              <w:t>.</w:t>
            </w:r>
          </w:p>
          <w:p w14:paraId="13F3D317" w14:textId="2D5868FC" w:rsidR="00D87C22" w:rsidRPr="00E769B9" w:rsidRDefault="00D87C22"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en-US"/>
              </w:rPr>
            </w:pPr>
            <w:r w:rsidRPr="008955D7">
              <w:rPr>
                <w:sz w:val="22"/>
                <w:szCs w:val="20"/>
                <w:lang w:val="en"/>
              </w:rPr>
              <w:t xml:space="preserve">There is a shortage of personnel at the level of PHC providing services for PLHIV. In some PHC institutions, PLHIV services are provided by doctors who do not have the necessary qualifications and specialization in the field of HIV infection. The absence or poor-quality counseling is one of the reasons </w:t>
            </w:r>
            <w:r w:rsidR="003F5A0B">
              <w:rPr>
                <w:sz w:val="22"/>
                <w:szCs w:val="20"/>
                <w:lang w:val="en"/>
              </w:rPr>
              <w:t xml:space="preserve">to stop </w:t>
            </w:r>
            <w:r w:rsidRPr="008955D7">
              <w:rPr>
                <w:sz w:val="22"/>
                <w:szCs w:val="20"/>
                <w:lang w:val="en"/>
              </w:rPr>
              <w:t xml:space="preserve">ART by PLHIV, low adherence and loss </w:t>
            </w:r>
            <w:r w:rsidR="003F5A0B">
              <w:rPr>
                <w:sz w:val="22"/>
                <w:szCs w:val="20"/>
                <w:lang w:val="en"/>
              </w:rPr>
              <w:t>for follow-up</w:t>
            </w:r>
            <w:r w:rsidRPr="008955D7">
              <w:rPr>
                <w:sz w:val="22"/>
                <w:szCs w:val="20"/>
                <w:lang w:val="en"/>
              </w:rPr>
              <w:t>, care and support.</w:t>
            </w:r>
          </w:p>
          <w:p w14:paraId="7399CCB0" w14:textId="179E769F" w:rsidR="00D87C22" w:rsidRPr="00E769B9" w:rsidRDefault="000A1509" w:rsidP="0026062D">
            <w:pPr>
              <w:widowControl w:val="0"/>
              <w:jc w:val="both"/>
              <w:cnfStyle w:val="000000000000" w:firstRow="0" w:lastRow="0" w:firstColumn="0" w:lastColumn="0" w:oddVBand="0" w:evenVBand="0" w:oddHBand="0" w:evenHBand="0" w:firstRowFirstColumn="0" w:firstRowLastColumn="0" w:lastRowFirstColumn="0" w:lastRowLastColumn="0"/>
              <w:rPr>
                <w:szCs w:val="20"/>
              </w:rPr>
            </w:pPr>
            <w:r>
              <w:rPr>
                <w:szCs w:val="20"/>
                <w:lang w:val="en"/>
              </w:rPr>
              <w:t>T</w:t>
            </w:r>
            <w:r w:rsidRPr="008955D7">
              <w:rPr>
                <w:szCs w:val="20"/>
                <w:lang w:val="en"/>
              </w:rPr>
              <w:t xml:space="preserve">o create a sustainable system for </w:t>
            </w:r>
            <w:r>
              <w:rPr>
                <w:szCs w:val="20"/>
                <w:lang w:val="en"/>
              </w:rPr>
              <w:t xml:space="preserve">supply and stock </w:t>
            </w:r>
            <w:r w:rsidRPr="008955D7">
              <w:rPr>
                <w:szCs w:val="20"/>
                <w:lang w:val="en"/>
              </w:rPr>
              <w:t>mana</w:t>
            </w:r>
            <w:r>
              <w:rPr>
                <w:szCs w:val="20"/>
                <w:lang w:val="en"/>
              </w:rPr>
              <w:t>gement</w:t>
            </w:r>
            <w:r w:rsidRPr="008955D7">
              <w:rPr>
                <w:szCs w:val="20"/>
                <w:lang w:val="en"/>
              </w:rPr>
              <w:t xml:space="preserve"> </w:t>
            </w:r>
            <w:r>
              <w:rPr>
                <w:szCs w:val="20"/>
                <w:lang w:val="en"/>
              </w:rPr>
              <w:t xml:space="preserve">of </w:t>
            </w:r>
            <w:r w:rsidRPr="008955D7">
              <w:rPr>
                <w:szCs w:val="20"/>
                <w:lang w:val="en"/>
              </w:rPr>
              <w:t xml:space="preserve">drugs and </w:t>
            </w:r>
            <w:r>
              <w:rPr>
                <w:szCs w:val="20"/>
                <w:lang w:val="en"/>
              </w:rPr>
              <w:t>health products,</w:t>
            </w:r>
            <w:r w:rsidRPr="008955D7">
              <w:rPr>
                <w:szCs w:val="20"/>
                <w:lang w:val="en"/>
              </w:rPr>
              <w:t xml:space="preserve"> </w:t>
            </w:r>
            <w:r w:rsidR="00733519">
              <w:rPr>
                <w:szCs w:val="20"/>
                <w:lang w:val="en"/>
              </w:rPr>
              <w:t xml:space="preserve">proper </w:t>
            </w:r>
            <w:r w:rsidR="00D87C22" w:rsidRPr="008955D7">
              <w:rPr>
                <w:szCs w:val="20"/>
                <w:lang w:val="en"/>
              </w:rPr>
              <w:t>supply chain</w:t>
            </w:r>
            <w:r>
              <w:rPr>
                <w:szCs w:val="20"/>
                <w:lang w:val="en"/>
              </w:rPr>
              <w:t xml:space="preserve"> must be developed</w:t>
            </w:r>
            <w:r w:rsidR="00D87C22" w:rsidRPr="008955D7">
              <w:rPr>
                <w:szCs w:val="20"/>
                <w:lang w:val="en"/>
              </w:rPr>
              <w:t xml:space="preserve">. The </w:t>
            </w:r>
            <w:r w:rsidR="00A158E0">
              <w:rPr>
                <w:szCs w:val="20"/>
                <w:lang w:val="en"/>
              </w:rPr>
              <w:t>quality</w:t>
            </w:r>
            <w:r w:rsidR="00D87C22" w:rsidRPr="008955D7">
              <w:rPr>
                <w:szCs w:val="20"/>
                <w:lang w:val="en"/>
              </w:rPr>
              <w:t xml:space="preserve"> warehouses and their quantity are important </w:t>
            </w:r>
            <w:r w:rsidR="00A158E0">
              <w:rPr>
                <w:szCs w:val="20"/>
                <w:lang w:val="en"/>
              </w:rPr>
              <w:t>components</w:t>
            </w:r>
            <w:r w:rsidR="00D87C22" w:rsidRPr="008955D7">
              <w:rPr>
                <w:szCs w:val="20"/>
                <w:lang w:val="en"/>
              </w:rPr>
              <w:t xml:space="preserve"> </w:t>
            </w:r>
            <w:r w:rsidR="00A158E0">
              <w:rPr>
                <w:szCs w:val="20"/>
                <w:lang w:val="en"/>
              </w:rPr>
              <w:t>of proper</w:t>
            </w:r>
            <w:r w:rsidR="00D87C22" w:rsidRPr="008955D7">
              <w:rPr>
                <w:szCs w:val="20"/>
                <w:lang w:val="en"/>
              </w:rPr>
              <w:t xml:space="preserve"> stock </w:t>
            </w:r>
            <w:r w:rsidR="00A158E0">
              <w:rPr>
                <w:szCs w:val="20"/>
                <w:lang w:val="en"/>
              </w:rPr>
              <w:t xml:space="preserve">management </w:t>
            </w:r>
            <w:r w:rsidR="00D87C22" w:rsidRPr="008955D7">
              <w:rPr>
                <w:szCs w:val="20"/>
                <w:lang w:val="en"/>
              </w:rPr>
              <w:t xml:space="preserve">of drugs and </w:t>
            </w:r>
            <w:r w:rsidR="00A158E0">
              <w:rPr>
                <w:szCs w:val="20"/>
                <w:lang w:val="en"/>
              </w:rPr>
              <w:t>health products</w:t>
            </w:r>
            <w:r w:rsidR="00D87C22" w:rsidRPr="008955D7">
              <w:rPr>
                <w:szCs w:val="20"/>
                <w:lang w:val="en"/>
              </w:rPr>
              <w:t xml:space="preserve"> and their effective distribution. These factors affect the safety of </w:t>
            </w:r>
            <w:r w:rsidR="00A158E0">
              <w:rPr>
                <w:szCs w:val="20"/>
                <w:lang w:val="en"/>
              </w:rPr>
              <w:t>products</w:t>
            </w:r>
            <w:r w:rsidR="00D87C22" w:rsidRPr="008955D7">
              <w:rPr>
                <w:szCs w:val="20"/>
                <w:lang w:val="en"/>
              </w:rPr>
              <w:t xml:space="preserve">, the frequency of </w:t>
            </w:r>
            <w:r w:rsidR="00A158E0">
              <w:rPr>
                <w:szCs w:val="20"/>
                <w:lang w:val="en"/>
              </w:rPr>
              <w:t>procurement</w:t>
            </w:r>
            <w:r w:rsidR="00D87C22" w:rsidRPr="008955D7">
              <w:rPr>
                <w:szCs w:val="20"/>
                <w:lang w:val="en"/>
              </w:rPr>
              <w:t xml:space="preserve">, </w:t>
            </w:r>
            <w:r w:rsidR="00D500E8" w:rsidRPr="008955D7">
              <w:rPr>
                <w:szCs w:val="20"/>
                <w:lang w:val="en"/>
              </w:rPr>
              <w:t xml:space="preserve">delivery schedule </w:t>
            </w:r>
            <w:r w:rsidR="00D87C22" w:rsidRPr="008955D7">
              <w:rPr>
                <w:szCs w:val="20"/>
                <w:lang w:val="en"/>
              </w:rPr>
              <w:t xml:space="preserve">optimization, savings in transportation costs </w:t>
            </w:r>
            <w:r w:rsidR="006203B9">
              <w:rPr>
                <w:szCs w:val="20"/>
                <w:lang w:val="en"/>
              </w:rPr>
              <w:t>etc</w:t>
            </w:r>
            <w:r w:rsidR="00D87C22" w:rsidRPr="008955D7">
              <w:rPr>
                <w:szCs w:val="20"/>
                <w:lang w:val="en"/>
              </w:rPr>
              <w:t xml:space="preserve">. </w:t>
            </w:r>
            <w:r w:rsidR="001474D1">
              <w:rPr>
                <w:szCs w:val="20"/>
                <w:lang w:val="en"/>
              </w:rPr>
              <w:t>I</w:t>
            </w:r>
            <w:r w:rsidR="00D87C22" w:rsidRPr="008955D7">
              <w:rPr>
                <w:szCs w:val="20"/>
                <w:lang w:val="en"/>
              </w:rPr>
              <w:t>ncreas</w:t>
            </w:r>
            <w:r w:rsidR="001474D1">
              <w:rPr>
                <w:szCs w:val="20"/>
                <w:lang w:val="en"/>
              </w:rPr>
              <w:t>ing</w:t>
            </w:r>
            <w:r w:rsidR="00D87C22" w:rsidRPr="008955D7">
              <w:rPr>
                <w:szCs w:val="20"/>
                <w:lang w:val="en"/>
              </w:rPr>
              <w:t xml:space="preserve"> number of patients, </w:t>
            </w:r>
            <w:r w:rsidR="006203B9">
              <w:rPr>
                <w:szCs w:val="20"/>
                <w:lang w:val="en"/>
              </w:rPr>
              <w:t>and subsequently, drugs and health products</w:t>
            </w:r>
            <w:r w:rsidR="00D87C22" w:rsidRPr="008955D7">
              <w:rPr>
                <w:szCs w:val="20"/>
                <w:lang w:val="en"/>
              </w:rPr>
              <w:t xml:space="preserve">, </w:t>
            </w:r>
            <w:r w:rsidR="001474D1">
              <w:rPr>
                <w:szCs w:val="20"/>
                <w:lang w:val="en"/>
              </w:rPr>
              <w:t xml:space="preserve">creates tension as </w:t>
            </w:r>
            <w:r w:rsidR="00D87C22" w:rsidRPr="008955D7">
              <w:rPr>
                <w:szCs w:val="20"/>
                <w:lang w:val="en"/>
              </w:rPr>
              <w:t xml:space="preserve">regional </w:t>
            </w:r>
            <w:r w:rsidR="001474D1">
              <w:rPr>
                <w:szCs w:val="20"/>
                <w:lang w:val="en"/>
              </w:rPr>
              <w:t xml:space="preserve">AIDS </w:t>
            </w:r>
            <w:r w:rsidR="00D87C22" w:rsidRPr="008955D7">
              <w:rPr>
                <w:szCs w:val="20"/>
                <w:lang w:val="en"/>
              </w:rPr>
              <w:t xml:space="preserve">centers do not have enough premises for proper </w:t>
            </w:r>
            <w:r w:rsidR="001474D1">
              <w:rPr>
                <w:szCs w:val="20"/>
                <w:lang w:val="en"/>
              </w:rPr>
              <w:t xml:space="preserve">stock </w:t>
            </w:r>
            <w:r w:rsidR="00D87C22" w:rsidRPr="008955D7">
              <w:rPr>
                <w:szCs w:val="20"/>
                <w:lang w:val="en"/>
              </w:rPr>
              <w:t>storage.</w:t>
            </w:r>
            <w:r w:rsidR="007A52F3">
              <w:rPr>
                <w:szCs w:val="20"/>
                <w:lang w:val="en"/>
              </w:rPr>
              <w:t xml:space="preserve"> Thus, </w:t>
            </w:r>
            <w:r w:rsidR="00D87C22" w:rsidRPr="008955D7">
              <w:rPr>
                <w:szCs w:val="20"/>
                <w:lang w:val="en"/>
              </w:rPr>
              <w:t>ARV drugs purchased at the expense of the GF are stored separately in a warehouse rented by the UNDP</w:t>
            </w:r>
            <w:r w:rsidR="007A52F3">
              <w:rPr>
                <w:szCs w:val="20"/>
                <w:lang w:val="en"/>
              </w:rPr>
              <w:t>, which is non-sustainable option</w:t>
            </w:r>
            <w:r w:rsidR="00FC441D">
              <w:rPr>
                <w:szCs w:val="20"/>
                <w:lang w:val="en"/>
              </w:rPr>
              <w:t xml:space="preserve"> and needs further investigation</w:t>
            </w:r>
            <w:r w:rsidR="00D87C22" w:rsidRPr="008955D7">
              <w:rPr>
                <w:szCs w:val="20"/>
                <w:lang w:val="en"/>
              </w:rPr>
              <w:t xml:space="preserve">. </w:t>
            </w:r>
            <w:r w:rsidR="00FC441D">
              <w:rPr>
                <w:szCs w:val="20"/>
                <w:lang w:val="en"/>
              </w:rPr>
              <w:t>Overall</w:t>
            </w:r>
            <w:r w:rsidR="00D87C22" w:rsidRPr="008955D7">
              <w:rPr>
                <w:szCs w:val="20"/>
                <w:lang w:val="en"/>
              </w:rPr>
              <w:t xml:space="preserve">, the country does not have a centralized system for transporting </w:t>
            </w:r>
            <w:r w:rsidR="003F7066">
              <w:rPr>
                <w:szCs w:val="20"/>
                <w:lang w:val="en"/>
              </w:rPr>
              <w:t>drugs and health products</w:t>
            </w:r>
            <w:r w:rsidR="00D87C22" w:rsidRPr="008955D7">
              <w:rPr>
                <w:szCs w:val="20"/>
                <w:lang w:val="en"/>
              </w:rPr>
              <w:t>.</w:t>
            </w:r>
          </w:p>
          <w:p w14:paraId="34AD72BA" w14:textId="28F5F460" w:rsidR="00662E6E" w:rsidRPr="00D87C22" w:rsidRDefault="00225523" w:rsidP="0026062D">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Pr>
                <w:sz w:val="22"/>
                <w:szCs w:val="20"/>
                <w:lang w:val="en"/>
              </w:rPr>
              <w:t xml:space="preserve">Under </w:t>
            </w:r>
            <w:r w:rsidR="00D87C22" w:rsidRPr="008955D7">
              <w:rPr>
                <w:sz w:val="22"/>
                <w:szCs w:val="20"/>
                <w:lang w:val="en"/>
              </w:rPr>
              <w:t>procurement</w:t>
            </w:r>
            <w:r>
              <w:rPr>
                <w:sz w:val="22"/>
                <w:szCs w:val="20"/>
                <w:lang w:val="en"/>
              </w:rPr>
              <w:t xml:space="preserve"> with public funds</w:t>
            </w:r>
            <w:r w:rsidR="00D87C22" w:rsidRPr="008955D7">
              <w:rPr>
                <w:sz w:val="22"/>
                <w:szCs w:val="20"/>
                <w:lang w:val="en"/>
              </w:rPr>
              <w:t xml:space="preserve">, </w:t>
            </w:r>
            <w:r>
              <w:rPr>
                <w:sz w:val="22"/>
                <w:szCs w:val="20"/>
                <w:lang w:val="en"/>
              </w:rPr>
              <w:t>drugs</w:t>
            </w:r>
            <w:r w:rsidR="00D87C22" w:rsidRPr="008955D7">
              <w:rPr>
                <w:sz w:val="22"/>
                <w:szCs w:val="20"/>
                <w:lang w:val="en"/>
              </w:rPr>
              <w:t xml:space="preserve"> and </w:t>
            </w:r>
            <w:r>
              <w:rPr>
                <w:sz w:val="22"/>
                <w:szCs w:val="20"/>
                <w:lang w:val="en"/>
              </w:rPr>
              <w:t>health products</w:t>
            </w:r>
            <w:r w:rsidR="00D87C22" w:rsidRPr="008955D7">
              <w:rPr>
                <w:sz w:val="22"/>
                <w:szCs w:val="20"/>
                <w:lang w:val="en"/>
              </w:rPr>
              <w:t xml:space="preserve"> are delivered to the </w:t>
            </w:r>
            <w:r>
              <w:rPr>
                <w:sz w:val="22"/>
                <w:szCs w:val="20"/>
                <w:lang w:val="en"/>
              </w:rPr>
              <w:t xml:space="preserve">central level </w:t>
            </w:r>
            <w:r w:rsidR="00D87C22" w:rsidRPr="008955D7">
              <w:rPr>
                <w:sz w:val="22"/>
                <w:szCs w:val="20"/>
                <w:lang w:val="en"/>
              </w:rPr>
              <w:t>warehouse, then, according to the distribution plan, regional health</w:t>
            </w:r>
            <w:r>
              <w:rPr>
                <w:sz w:val="22"/>
                <w:szCs w:val="20"/>
                <w:lang w:val="en"/>
              </w:rPr>
              <w:t>care</w:t>
            </w:r>
            <w:r w:rsidR="00D87C22" w:rsidRPr="008955D7">
              <w:rPr>
                <w:sz w:val="22"/>
                <w:szCs w:val="20"/>
                <w:lang w:val="en"/>
              </w:rPr>
              <w:t xml:space="preserve"> </w:t>
            </w:r>
            <w:r>
              <w:rPr>
                <w:sz w:val="22"/>
                <w:szCs w:val="20"/>
                <w:lang w:val="en"/>
              </w:rPr>
              <w:t>facilities</w:t>
            </w:r>
            <w:r w:rsidR="00D87C22" w:rsidRPr="008955D7">
              <w:rPr>
                <w:sz w:val="22"/>
                <w:szCs w:val="20"/>
                <w:lang w:val="en"/>
              </w:rPr>
              <w:t xml:space="preserve"> deliver </w:t>
            </w:r>
            <w:r>
              <w:rPr>
                <w:sz w:val="22"/>
                <w:szCs w:val="20"/>
                <w:lang w:val="en"/>
              </w:rPr>
              <w:t>drugs and health products</w:t>
            </w:r>
            <w:r w:rsidR="00D87C22" w:rsidRPr="008955D7">
              <w:rPr>
                <w:sz w:val="22"/>
                <w:szCs w:val="20"/>
                <w:lang w:val="en"/>
              </w:rPr>
              <w:t xml:space="preserve"> to the regions on their own, and </w:t>
            </w:r>
            <w:r w:rsidR="00257F44">
              <w:rPr>
                <w:sz w:val="22"/>
                <w:szCs w:val="20"/>
                <w:lang w:val="en"/>
              </w:rPr>
              <w:t xml:space="preserve">transportation conditions not always </w:t>
            </w:r>
            <w:r w:rsidR="00D87C22" w:rsidRPr="008955D7">
              <w:rPr>
                <w:sz w:val="22"/>
                <w:szCs w:val="20"/>
                <w:lang w:val="en"/>
              </w:rPr>
              <w:t xml:space="preserve">comply with </w:t>
            </w:r>
            <w:r w:rsidR="00257F44">
              <w:rPr>
                <w:sz w:val="22"/>
                <w:szCs w:val="20"/>
                <w:lang w:val="en"/>
              </w:rPr>
              <w:t>cold chain</w:t>
            </w:r>
            <w:r w:rsidR="00D87C22" w:rsidRPr="008955D7">
              <w:rPr>
                <w:sz w:val="22"/>
                <w:szCs w:val="20"/>
                <w:lang w:val="en"/>
              </w:rPr>
              <w:t xml:space="preserve"> requirements. In some cases, </w:t>
            </w:r>
            <w:r w:rsidR="00AC7AD0">
              <w:rPr>
                <w:sz w:val="22"/>
                <w:szCs w:val="20"/>
                <w:lang w:val="en"/>
              </w:rPr>
              <w:t>RCCVHHIV</w:t>
            </w:r>
            <w:r w:rsidR="00D87C22" w:rsidRPr="008955D7">
              <w:rPr>
                <w:sz w:val="22"/>
                <w:szCs w:val="20"/>
                <w:lang w:val="en"/>
              </w:rPr>
              <w:t xml:space="preserve"> turn</w:t>
            </w:r>
            <w:r w:rsidR="00AB320B">
              <w:rPr>
                <w:sz w:val="22"/>
                <w:szCs w:val="20"/>
                <w:lang w:val="en"/>
              </w:rPr>
              <w:t>s</w:t>
            </w:r>
            <w:r w:rsidR="00D87C22" w:rsidRPr="008955D7">
              <w:rPr>
                <w:sz w:val="22"/>
                <w:szCs w:val="20"/>
                <w:lang w:val="en"/>
              </w:rPr>
              <w:t xml:space="preserve"> to donor</w:t>
            </w:r>
            <w:r w:rsidR="00AB320B">
              <w:rPr>
                <w:sz w:val="22"/>
                <w:szCs w:val="20"/>
                <w:lang w:val="en"/>
              </w:rPr>
              <w:t xml:space="preserve">s </w:t>
            </w:r>
            <w:r w:rsidR="00D87C22" w:rsidRPr="008955D7">
              <w:rPr>
                <w:sz w:val="22"/>
                <w:szCs w:val="20"/>
                <w:lang w:val="en"/>
              </w:rPr>
              <w:t xml:space="preserve">for the delivery of </w:t>
            </w:r>
            <w:r w:rsidR="00AB320B">
              <w:rPr>
                <w:sz w:val="22"/>
                <w:szCs w:val="20"/>
                <w:lang w:val="en"/>
              </w:rPr>
              <w:t>drugs and health products</w:t>
            </w:r>
            <w:r w:rsidR="00D87C22" w:rsidRPr="008955D7">
              <w:rPr>
                <w:sz w:val="22"/>
                <w:szCs w:val="20"/>
                <w:lang w:val="en"/>
              </w:rPr>
              <w:t>.</w:t>
            </w:r>
          </w:p>
        </w:tc>
      </w:tr>
      <w:tr w:rsidR="00662E6E" w14:paraId="403329A1"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37F603" w14:textId="77777777" w:rsidR="00662E6E" w:rsidRDefault="00662E6E" w:rsidP="0026062D">
            <w:pPr>
              <w:pStyle w:val="BodyText"/>
              <w:widowControl w:val="0"/>
              <w:spacing w:line="240" w:lineRule="auto"/>
            </w:pPr>
            <w:r>
              <w:lastRenderedPageBreak/>
              <w:t>Amount requested</w:t>
            </w:r>
          </w:p>
        </w:tc>
        <w:tc>
          <w:tcPr>
            <w:tcW w:w="12616" w:type="dxa"/>
          </w:tcPr>
          <w:p w14:paraId="4FE5DBEE" w14:textId="2C61D82C" w:rsidR="00662E6E" w:rsidRPr="001B3B06" w:rsidRDefault="00B20DE2"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$4,143,974</w:t>
            </w:r>
          </w:p>
        </w:tc>
      </w:tr>
      <w:tr w:rsidR="00662E6E" w14:paraId="598D2087"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05D0DC1C" w14:textId="77777777" w:rsidR="00662E6E" w:rsidRDefault="00662E6E" w:rsidP="0026062D">
            <w:pPr>
              <w:pStyle w:val="BodyText"/>
              <w:widowControl w:val="0"/>
              <w:spacing w:line="240" w:lineRule="auto"/>
            </w:pPr>
            <w:r>
              <w:t>Expected outcome</w:t>
            </w:r>
          </w:p>
        </w:tc>
        <w:tc>
          <w:tcPr>
            <w:tcW w:w="12616" w:type="dxa"/>
          </w:tcPr>
          <w:p w14:paraId="2263AFB9" w14:textId="7F8AF62D" w:rsidR="00D87C22" w:rsidRPr="00E769B9" w:rsidRDefault="00D87C22"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At least 95% of the estimated number of people living with HIV (adults and children) receive ART by 2026</w:t>
            </w:r>
          </w:p>
          <w:p w14:paraId="6559236C" w14:textId="395EB188" w:rsidR="00D87C22" w:rsidRPr="00E769B9" w:rsidRDefault="00D87C22"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At least 95% of new HIV cases are on ART by 2026</w:t>
            </w:r>
          </w:p>
          <w:p w14:paraId="27B0D08F" w14:textId="77777777" w:rsidR="00D87C22" w:rsidRPr="00E769B9" w:rsidRDefault="00D87C22"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en-US"/>
              </w:rPr>
            </w:pPr>
            <w:r>
              <w:rPr>
                <w:sz w:val="22"/>
                <w:szCs w:val="20"/>
                <w:lang w:val="en"/>
              </w:rPr>
              <w:t>At least 95% of PLHIV on ART have achieved viral suppression by 2026</w:t>
            </w:r>
          </w:p>
          <w:p w14:paraId="3898D0C0" w14:textId="14BEEB11" w:rsidR="00662E6E" w:rsidRPr="001B3B06" w:rsidRDefault="00D87C22"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Pr>
                <w:sz w:val="22"/>
                <w:szCs w:val="20"/>
                <w:lang w:val="en"/>
              </w:rPr>
              <w:t>At least 85% of PLHIV and on ART receive drugs for a long period by 2026</w:t>
            </w:r>
          </w:p>
        </w:tc>
      </w:tr>
    </w:tbl>
    <w:p w14:paraId="70E1C024" w14:textId="13EA0EBE"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28745746"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242EBC" w14:textId="636AAC8A" w:rsidR="00662E6E" w:rsidRDefault="00662E6E" w:rsidP="0026062D">
            <w:pPr>
              <w:pStyle w:val="BodyText"/>
              <w:widowControl w:val="0"/>
              <w:spacing w:line="240" w:lineRule="auto"/>
            </w:pPr>
            <w:r>
              <w:lastRenderedPageBreak/>
              <w:t>Module #11</w:t>
            </w:r>
          </w:p>
        </w:tc>
        <w:tc>
          <w:tcPr>
            <w:tcW w:w="12616" w:type="dxa"/>
          </w:tcPr>
          <w:p w14:paraId="2C21D1A4" w14:textId="02CDDAA2" w:rsidR="00662E6E" w:rsidRPr="00D34100" w:rsidRDefault="001E591C" w:rsidP="0026062D">
            <w:pPr>
              <w:pStyle w:val="Default"/>
              <w:widowControl w:val="0"/>
              <w:cnfStyle w:val="100000000000" w:firstRow="1" w:lastRow="0" w:firstColumn="0" w:lastColumn="0" w:oddVBand="0" w:evenVBand="0" w:oddHBand="0" w:evenHBand="0" w:firstRowFirstColumn="0" w:firstRowLastColumn="0" w:lastRowFirstColumn="0" w:lastRowLastColumn="0"/>
              <w:rPr>
                <w:sz w:val="22"/>
                <w:szCs w:val="22"/>
              </w:rPr>
            </w:pPr>
            <w:r w:rsidRPr="00D34100">
              <w:rPr>
                <w:sz w:val="22"/>
                <w:szCs w:val="22"/>
                <w:lang w:val="en"/>
              </w:rPr>
              <w:t>TB/HIV</w:t>
            </w:r>
          </w:p>
        </w:tc>
      </w:tr>
      <w:tr w:rsidR="00662E6E" w14:paraId="06C26F2D"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44D1FA" w14:textId="77777777" w:rsidR="00662E6E" w:rsidRDefault="00662E6E" w:rsidP="0026062D">
            <w:pPr>
              <w:pStyle w:val="BodyText"/>
              <w:widowControl w:val="0"/>
              <w:spacing w:line="240" w:lineRule="auto"/>
            </w:pPr>
            <w:r>
              <w:t>Intervention(s)</w:t>
            </w:r>
          </w:p>
        </w:tc>
        <w:tc>
          <w:tcPr>
            <w:tcW w:w="12616" w:type="dxa"/>
          </w:tcPr>
          <w:p w14:paraId="18A09FC1" w14:textId="0FB14B6B" w:rsidR="00F754D9" w:rsidRPr="00D34100" w:rsidRDefault="00F754D9" w:rsidP="00F754D9">
            <w:pPr>
              <w:widowControl w:val="0"/>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b/>
                <w:bCs/>
                <w:lang w:val="en-GB"/>
              </w:rPr>
            </w:pPr>
            <w:r w:rsidRPr="00D34100">
              <w:rPr>
                <w:b/>
                <w:bCs/>
                <w:lang w:val="en-GB"/>
              </w:rPr>
              <w:t xml:space="preserve">TB/HIV </w:t>
            </w:r>
            <w:r w:rsidR="0007643D">
              <w:rPr>
                <w:b/>
                <w:bCs/>
                <w:lang w:val="en-GB"/>
              </w:rPr>
              <w:t>–</w:t>
            </w:r>
            <w:r w:rsidRPr="00D34100">
              <w:rPr>
                <w:b/>
                <w:bCs/>
                <w:lang w:val="en-GB"/>
              </w:rPr>
              <w:t xml:space="preserve"> Screening, testing and diagnosis</w:t>
            </w:r>
          </w:p>
          <w:p w14:paraId="73D01D72" w14:textId="27FB6111" w:rsidR="00D34100" w:rsidRPr="00D34100" w:rsidRDefault="00D34100" w:rsidP="00D34100">
            <w:pPr>
              <w:jc w:val="both"/>
              <w:cnfStyle w:val="000000100000" w:firstRow="0" w:lastRow="0" w:firstColumn="0" w:lastColumn="0" w:oddVBand="0" w:evenVBand="0" w:oddHBand="1" w:evenHBand="0" w:firstRowFirstColumn="0" w:firstRowLastColumn="0" w:lastRowFirstColumn="0" w:lastRowLastColumn="0"/>
            </w:pPr>
            <w:r w:rsidRPr="00D34100">
              <w:rPr>
                <w:lang w:val="en"/>
              </w:rPr>
              <w:t xml:space="preserve">Taking into account the high burden of </w:t>
            </w:r>
            <w:r w:rsidR="0058743D">
              <w:rPr>
                <w:lang w:val="en"/>
              </w:rPr>
              <w:t>TB</w:t>
            </w:r>
            <w:r w:rsidRPr="00D34100">
              <w:rPr>
                <w:lang w:val="en"/>
              </w:rPr>
              <w:t xml:space="preserve"> in the country, the main efforts will be aimed at </w:t>
            </w:r>
            <w:r w:rsidRPr="00D34100">
              <w:rPr>
                <w:b/>
                <w:bCs/>
                <w:lang w:val="en"/>
              </w:rPr>
              <w:t xml:space="preserve">detecting </w:t>
            </w:r>
            <w:r w:rsidR="0058743D">
              <w:rPr>
                <w:b/>
                <w:bCs/>
                <w:lang w:val="en"/>
              </w:rPr>
              <w:t>TB</w:t>
            </w:r>
            <w:r w:rsidRPr="00D34100">
              <w:rPr>
                <w:b/>
                <w:bCs/>
                <w:lang w:val="en"/>
              </w:rPr>
              <w:t xml:space="preserve"> among PLHIV, increasing the coverage of preventive treatment of </w:t>
            </w:r>
            <w:r w:rsidR="0058743D">
              <w:rPr>
                <w:b/>
                <w:bCs/>
                <w:lang w:val="en"/>
              </w:rPr>
              <w:t>LTBI</w:t>
            </w:r>
            <w:r w:rsidRPr="00D34100">
              <w:rPr>
                <w:lang w:val="en"/>
              </w:rPr>
              <w:t xml:space="preserve">. </w:t>
            </w:r>
            <w:r w:rsidR="0058743D">
              <w:rPr>
                <w:lang w:val="en"/>
              </w:rPr>
              <w:t>TB</w:t>
            </w:r>
            <w:r w:rsidRPr="00D34100">
              <w:rPr>
                <w:lang w:val="en"/>
              </w:rPr>
              <w:t xml:space="preserve"> mortality remains the first cause of death among PLHIV. In 2022, it accounted for 20% of all deaths among PLHIV. Treatment coverage by ART and TB drugs of newly identified PLHIV with HIV/TB co-infection is more than 95%. Integration of HIV &amp; TB services allows HIV detection after TB diagnosis.</w:t>
            </w:r>
            <w:r w:rsidRPr="00D34100">
              <w:rPr>
                <w:b/>
                <w:bCs/>
                <w:lang w:val="en"/>
              </w:rPr>
              <w:t xml:space="preserve"> Rapid HIV testing will be introduced in parallel with the diagnosis of </w:t>
            </w:r>
            <w:r w:rsidR="0058743D">
              <w:rPr>
                <w:b/>
                <w:bCs/>
                <w:lang w:val="en"/>
              </w:rPr>
              <w:t>TB</w:t>
            </w:r>
            <w:r w:rsidRPr="00D34100">
              <w:t xml:space="preserve"> </w:t>
            </w:r>
            <w:r w:rsidRPr="0058743D">
              <w:rPr>
                <w:b/>
                <w:bCs/>
              </w:rPr>
              <w:t>f</w:t>
            </w:r>
            <w:r w:rsidRPr="0058743D">
              <w:rPr>
                <w:b/>
                <w:bCs/>
                <w:lang w:val="en"/>
              </w:rPr>
              <w:t>or</w:t>
            </w:r>
            <w:r w:rsidRPr="00D34100">
              <w:rPr>
                <w:b/>
                <w:bCs/>
                <w:lang w:val="en"/>
              </w:rPr>
              <w:t xml:space="preserve"> the early HIV diagnosis in patients with HIV and TB symptoms at the PHC level.</w:t>
            </w:r>
          </w:p>
          <w:p w14:paraId="12069FAB" w14:textId="25AE7619" w:rsidR="00D34100" w:rsidRPr="00D34100" w:rsidRDefault="00580C42" w:rsidP="00D34100">
            <w:pPr>
              <w:jc w:val="both"/>
              <w:cnfStyle w:val="000000100000" w:firstRow="0" w:lastRow="0" w:firstColumn="0" w:lastColumn="0" w:oddVBand="0" w:evenVBand="0" w:oddHBand="1" w:evenHBand="0" w:firstRowFirstColumn="0" w:firstRowLastColumn="0" w:lastRowFirstColumn="0" w:lastRowLastColumn="0"/>
            </w:pPr>
            <w:r>
              <w:rPr>
                <w:lang w:val="en"/>
              </w:rPr>
              <w:t>To</w:t>
            </w:r>
            <w:r w:rsidR="00D34100" w:rsidRPr="00580C42">
              <w:rPr>
                <w:lang w:val="en"/>
              </w:rPr>
              <w:t xml:space="preserve"> simplify and speed up the procedure for the diagnosis of active TB,</w:t>
            </w:r>
            <w:r w:rsidR="00D34100" w:rsidRPr="00D34100">
              <w:rPr>
                <w:b/>
                <w:bCs/>
                <w:lang w:val="en"/>
              </w:rPr>
              <w:t xml:space="preserve"> </w:t>
            </w:r>
            <w:r w:rsidR="00D34100" w:rsidRPr="00580C42">
              <w:rPr>
                <w:lang w:val="en"/>
              </w:rPr>
              <w:t xml:space="preserve">rapid tests and consumables for the </w:t>
            </w:r>
            <w:r w:rsidRPr="00580C42">
              <w:rPr>
                <w:lang w:val="en"/>
              </w:rPr>
              <w:t>detection</w:t>
            </w:r>
            <w:r w:rsidR="00D34100" w:rsidRPr="00580C42">
              <w:rPr>
                <w:lang w:val="en"/>
              </w:rPr>
              <w:t xml:space="preserve"> of mycobacterium antigen in urine (</w:t>
            </w:r>
            <w:r w:rsidR="00D34100" w:rsidRPr="00580C42">
              <w:rPr>
                <w:b/>
                <w:bCs/>
                <w:lang w:val="en"/>
              </w:rPr>
              <w:t>LF-LAM</w:t>
            </w:r>
            <w:r w:rsidR="00D34100" w:rsidRPr="00580C42">
              <w:rPr>
                <w:lang w:val="en"/>
              </w:rPr>
              <w:t xml:space="preserve">) among PLHIV with advanced stages of HIV or with a low count of CD4 lymphocytes will be purchased. </w:t>
            </w:r>
            <w:r w:rsidR="00D34100" w:rsidRPr="00D34100">
              <w:rPr>
                <w:lang w:val="en"/>
              </w:rPr>
              <w:t>Currently, the country already has a positive experience of using such tests, including the availability of regulatory documents and trained personnel.</w:t>
            </w:r>
          </w:p>
          <w:p w14:paraId="23282356" w14:textId="4228D2BE" w:rsidR="00D34100" w:rsidRPr="00D34100" w:rsidRDefault="00D34100" w:rsidP="00D34100">
            <w:pPr>
              <w:jc w:val="both"/>
              <w:cnfStyle w:val="000000100000" w:firstRow="0" w:lastRow="0" w:firstColumn="0" w:lastColumn="0" w:oddVBand="0" w:evenVBand="0" w:oddHBand="1" w:evenHBand="0" w:firstRowFirstColumn="0" w:firstRowLastColumn="0" w:lastRowFirstColumn="0" w:lastRowLastColumn="0"/>
              <w:rPr>
                <w:b/>
                <w:bCs/>
              </w:rPr>
            </w:pPr>
            <w:r w:rsidRPr="00580C42">
              <w:rPr>
                <w:lang w:val="en"/>
              </w:rPr>
              <w:t xml:space="preserve">To increase the proportion of PLHIV who have started and completed </w:t>
            </w:r>
            <w:r w:rsidR="00580C42" w:rsidRPr="00580C42">
              <w:rPr>
                <w:b/>
                <w:bCs/>
                <w:lang w:val="en"/>
              </w:rPr>
              <w:t>TPT</w:t>
            </w:r>
            <w:r w:rsidRPr="00580C42">
              <w:rPr>
                <w:lang w:val="en"/>
              </w:rPr>
              <w:t xml:space="preserve">, </w:t>
            </w:r>
            <w:r w:rsidR="00580C42" w:rsidRPr="00580C42">
              <w:rPr>
                <w:lang w:val="en"/>
              </w:rPr>
              <w:t>TB drugs</w:t>
            </w:r>
            <w:r w:rsidRPr="00580C42">
              <w:rPr>
                <w:lang w:val="en"/>
              </w:rPr>
              <w:t xml:space="preserve"> will be purchased to reduce and simplify the course of treatment (</w:t>
            </w:r>
            <w:r w:rsidRPr="00D34100">
              <w:rPr>
                <w:b/>
                <w:bCs/>
                <w:lang w:val="en"/>
              </w:rPr>
              <w:t>3HP</w:t>
            </w:r>
            <w:r w:rsidRPr="00580C42">
              <w:rPr>
                <w:lang w:val="en"/>
              </w:rPr>
              <w:t>)</w:t>
            </w:r>
            <w:r w:rsidRPr="00D34100">
              <w:rPr>
                <w:b/>
                <w:bCs/>
                <w:lang w:val="en"/>
              </w:rPr>
              <w:t>.</w:t>
            </w:r>
          </w:p>
          <w:p w14:paraId="55E06744" w14:textId="1B8243EF" w:rsidR="00D34100" w:rsidRPr="00D34100" w:rsidRDefault="00D34100" w:rsidP="00D34100">
            <w:pPr>
              <w:jc w:val="both"/>
              <w:cnfStyle w:val="000000100000" w:firstRow="0" w:lastRow="0" w:firstColumn="0" w:lastColumn="0" w:oddVBand="0" w:evenVBand="0" w:oddHBand="1" w:evenHBand="0" w:firstRowFirstColumn="0" w:firstRowLastColumn="0" w:lastRowFirstColumn="0" w:lastRowLastColumn="0"/>
              <w:rPr>
                <w:b/>
                <w:bCs/>
              </w:rPr>
            </w:pPr>
            <w:r w:rsidRPr="00D34100">
              <w:rPr>
                <w:b/>
                <w:bCs/>
                <w:lang w:val="en"/>
              </w:rPr>
              <w:t xml:space="preserve">Employees of NGOs and healthcare </w:t>
            </w:r>
            <w:r w:rsidR="000F5565">
              <w:rPr>
                <w:b/>
                <w:bCs/>
                <w:lang w:val="en"/>
              </w:rPr>
              <w:t>facilities</w:t>
            </w:r>
            <w:r w:rsidRPr="00D34100">
              <w:rPr>
                <w:b/>
                <w:bCs/>
                <w:lang w:val="en"/>
              </w:rPr>
              <w:t xml:space="preserve"> will be trained on</w:t>
            </w:r>
            <w:r w:rsidR="000F5565">
              <w:rPr>
                <w:b/>
                <w:bCs/>
                <w:lang w:val="en"/>
              </w:rPr>
              <w:t xml:space="preserve"> </w:t>
            </w:r>
            <w:r w:rsidRPr="000F5565">
              <w:rPr>
                <w:lang w:val="en"/>
              </w:rPr>
              <w:t>the standards of providing</w:t>
            </w:r>
            <w:r w:rsidRPr="00D34100">
              <w:rPr>
                <w:b/>
                <w:bCs/>
                <w:lang w:val="en"/>
              </w:rPr>
              <w:t xml:space="preserve"> treatment, care and support </w:t>
            </w:r>
            <w:r w:rsidRPr="000F5565">
              <w:rPr>
                <w:lang w:val="en"/>
              </w:rPr>
              <w:t xml:space="preserve">services </w:t>
            </w:r>
            <w:r w:rsidRPr="00D34100">
              <w:rPr>
                <w:b/>
                <w:bCs/>
                <w:lang w:val="en"/>
              </w:rPr>
              <w:t xml:space="preserve">for people with </w:t>
            </w:r>
            <w:r w:rsidRPr="000F5565">
              <w:rPr>
                <w:lang w:val="en"/>
              </w:rPr>
              <w:t>HIV and TB</w:t>
            </w:r>
            <w:r w:rsidRPr="00D34100">
              <w:rPr>
                <w:b/>
                <w:bCs/>
                <w:lang w:val="en"/>
              </w:rPr>
              <w:t xml:space="preserve"> co-infection</w:t>
            </w:r>
            <w:r w:rsidRPr="000F5565">
              <w:rPr>
                <w:lang w:val="en"/>
              </w:rPr>
              <w:t xml:space="preserve">, in </w:t>
            </w:r>
            <w:r w:rsidR="000F5565" w:rsidRPr="000F5565">
              <w:rPr>
                <w:lang w:val="en"/>
              </w:rPr>
              <w:t>line</w:t>
            </w:r>
            <w:r w:rsidRPr="000F5565">
              <w:rPr>
                <w:lang w:val="en"/>
              </w:rPr>
              <w:t xml:space="preserve"> with updated clinical guidelines</w:t>
            </w:r>
            <w:r w:rsidRPr="00D34100">
              <w:rPr>
                <w:b/>
                <w:bCs/>
                <w:lang w:val="en"/>
              </w:rPr>
              <w:t>.</w:t>
            </w:r>
          </w:p>
          <w:p w14:paraId="1CE6916B" w14:textId="630AC29A" w:rsidR="00D34100" w:rsidRPr="00D34100" w:rsidRDefault="00D34100" w:rsidP="00D34100">
            <w:pPr>
              <w:jc w:val="both"/>
              <w:cnfStyle w:val="000000100000" w:firstRow="0" w:lastRow="0" w:firstColumn="0" w:lastColumn="0" w:oddVBand="0" w:evenVBand="0" w:oddHBand="1" w:evenHBand="0" w:firstRowFirstColumn="0" w:firstRowLastColumn="0" w:lastRowFirstColumn="0" w:lastRowLastColumn="0"/>
            </w:pPr>
            <w:r w:rsidRPr="00D34100">
              <w:rPr>
                <w:lang w:val="en"/>
              </w:rPr>
              <w:t xml:space="preserve">Cooperation between government agencies and civil society will be strengthened to achieve the goals of eliminating HIV and TB. HIV and TB services have MIS systems that will be integrated into a </w:t>
            </w:r>
            <w:r w:rsidR="00B86EC9">
              <w:rPr>
                <w:lang w:val="en"/>
              </w:rPr>
              <w:t>public</w:t>
            </w:r>
            <w:r w:rsidRPr="00D34100">
              <w:rPr>
                <w:lang w:val="en"/>
              </w:rPr>
              <w:t xml:space="preserve"> e-health system for the rapid exchange of information.</w:t>
            </w:r>
          </w:p>
          <w:p w14:paraId="75382A7A" w14:textId="09BC401A" w:rsidR="00662E6E" w:rsidRPr="00D34100" w:rsidRDefault="00B86EC9" w:rsidP="00D34100">
            <w:pPr>
              <w:pStyle w:val="Default"/>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lang w:val="en"/>
              </w:rPr>
              <w:t>O</w:t>
            </w:r>
            <w:r w:rsidRPr="00B86EC9">
              <w:rPr>
                <w:sz w:val="22"/>
                <w:szCs w:val="22"/>
                <w:lang w:val="en"/>
              </w:rPr>
              <w:t>rganizational improvements in the interaction between TB and HIV services</w:t>
            </w:r>
            <w:r>
              <w:rPr>
                <w:sz w:val="22"/>
                <w:szCs w:val="22"/>
                <w:lang w:val="en"/>
              </w:rPr>
              <w:t xml:space="preserve"> will be advocated</w:t>
            </w:r>
            <w:r w:rsidRPr="00B86EC9">
              <w:rPr>
                <w:sz w:val="22"/>
                <w:szCs w:val="22"/>
                <w:lang w:val="en"/>
              </w:rPr>
              <w:t>. Specialist consultations at the National TB Center will include specialists from HIV services, formats for TB case history management will be reviewed to include HIV-related appointments. To this end, a comprehensive analysis of interaction between services will be carried out and practical recommendations for strengthening interaction will be developed.</w:t>
            </w:r>
          </w:p>
        </w:tc>
      </w:tr>
      <w:tr w:rsidR="00662E6E" w14:paraId="11631A24"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6C2FD7B4" w14:textId="77777777" w:rsidR="00662E6E" w:rsidRDefault="00662E6E" w:rsidP="0026062D">
            <w:pPr>
              <w:pStyle w:val="BodyText"/>
              <w:widowControl w:val="0"/>
              <w:spacing w:line="240" w:lineRule="auto"/>
            </w:pPr>
            <w:r>
              <w:t>Population, geographies and/or barriers addressed</w:t>
            </w:r>
          </w:p>
        </w:tc>
        <w:tc>
          <w:tcPr>
            <w:tcW w:w="12616" w:type="dxa"/>
          </w:tcPr>
          <w:p w14:paraId="23ECE3CE" w14:textId="68636575" w:rsidR="007D602E" w:rsidRPr="007D602E" w:rsidRDefault="007D602E" w:rsidP="007D602E">
            <w:pPr>
              <w:jc w:val="both"/>
              <w:cnfStyle w:val="000000000000" w:firstRow="0" w:lastRow="0" w:firstColumn="0" w:lastColumn="0" w:oddVBand="0" w:evenVBand="0" w:oddHBand="0" w:evenHBand="0" w:firstRowFirstColumn="0" w:firstRowLastColumn="0" w:lastRowFirstColumn="0" w:lastRowLastColumn="0"/>
              <w:rPr>
                <w:lang w:val="en"/>
              </w:rPr>
            </w:pPr>
            <w:r w:rsidRPr="007D602E">
              <w:rPr>
                <w:lang w:val="en"/>
              </w:rPr>
              <w:t xml:space="preserve">HIV/TB co-infected </w:t>
            </w:r>
            <w:r>
              <w:rPr>
                <w:lang w:val="en"/>
              </w:rPr>
              <w:t>people</w:t>
            </w:r>
            <w:r w:rsidRPr="007D602E">
              <w:rPr>
                <w:lang w:val="en"/>
              </w:rPr>
              <w:t>, HIV-infected people, people with TB.</w:t>
            </w:r>
          </w:p>
          <w:p w14:paraId="51EC112E" w14:textId="3A286283" w:rsidR="007D602E" w:rsidRPr="007D602E" w:rsidRDefault="007D602E" w:rsidP="007D602E">
            <w:pPr>
              <w:jc w:val="both"/>
              <w:cnfStyle w:val="000000000000" w:firstRow="0" w:lastRow="0" w:firstColumn="0" w:lastColumn="0" w:oddVBand="0" w:evenVBand="0" w:oddHBand="0" w:evenHBand="0" w:firstRowFirstColumn="0" w:firstRowLastColumn="0" w:lastRowFirstColumn="0" w:lastRowLastColumn="0"/>
              <w:rPr>
                <w:lang w:val="en"/>
              </w:rPr>
            </w:pPr>
            <w:r w:rsidRPr="007D602E">
              <w:rPr>
                <w:lang w:val="en"/>
              </w:rPr>
              <w:t xml:space="preserve">Despite the undoubted success in detecting and treating HIV and TB co-infection, the latter is the main cause of death in HIV infection, accounting for 20% of HIV-related deaths in 2022. There are cases where HIV screening is not carried out at first contact in </w:t>
            </w:r>
            <w:r>
              <w:rPr>
                <w:lang w:val="en"/>
              </w:rPr>
              <w:t>PHC</w:t>
            </w:r>
            <w:r w:rsidRPr="007D602E">
              <w:rPr>
                <w:lang w:val="en"/>
              </w:rPr>
              <w:t xml:space="preserve"> </w:t>
            </w:r>
            <w:r>
              <w:rPr>
                <w:lang w:val="en"/>
              </w:rPr>
              <w:t>facilities</w:t>
            </w:r>
            <w:r w:rsidRPr="007D602E">
              <w:rPr>
                <w:lang w:val="en"/>
              </w:rPr>
              <w:t xml:space="preserve">, which may indicate low alertness or insufficient capacity of </w:t>
            </w:r>
            <w:r w:rsidR="00FE2FCF">
              <w:rPr>
                <w:lang w:val="en"/>
              </w:rPr>
              <w:t>PHC</w:t>
            </w:r>
            <w:r w:rsidRPr="007D602E">
              <w:rPr>
                <w:lang w:val="en"/>
              </w:rPr>
              <w:t xml:space="preserve"> specialists.</w:t>
            </w:r>
          </w:p>
          <w:p w14:paraId="685BE627" w14:textId="37002D8F" w:rsidR="007D602E" w:rsidRPr="00D72514" w:rsidRDefault="007D602E" w:rsidP="007D602E">
            <w:pPr>
              <w:jc w:val="both"/>
              <w:cnfStyle w:val="000000000000" w:firstRow="0" w:lastRow="0" w:firstColumn="0" w:lastColumn="0" w:oddVBand="0" w:evenVBand="0" w:oddHBand="0" w:evenHBand="0" w:firstRowFirstColumn="0" w:firstRowLastColumn="0" w:lastRowFirstColumn="0" w:lastRowLastColumn="0"/>
            </w:pPr>
            <w:r w:rsidRPr="007D602E">
              <w:rPr>
                <w:lang w:val="en"/>
              </w:rPr>
              <w:t xml:space="preserve">Isoniazid prophylaxis coverage among newly diagnosed PLHIV has dropped to 45%. This is related to the change in criteria needing </w:t>
            </w:r>
            <w:r w:rsidR="00FE2FCF">
              <w:rPr>
                <w:lang w:val="en"/>
              </w:rPr>
              <w:t>TPT</w:t>
            </w:r>
            <w:r w:rsidRPr="007D602E">
              <w:rPr>
                <w:lang w:val="en"/>
              </w:rPr>
              <w:t xml:space="preserve"> according to the updated </w:t>
            </w:r>
            <w:r w:rsidR="00FE2FCF">
              <w:rPr>
                <w:lang w:val="en"/>
              </w:rPr>
              <w:t>clinical protocol</w:t>
            </w:r>
            <w:r w:rsidRPr="007D602E">
              <w:rPr>
                <w:lang w:val="en"/>
              </w:rPr>
              <w:t>, as stable patients are being treated for latent TB once in their lifetime and also, with the removal of indicators tracking this indicator.</w:t>
            </w:r>
          </w:p>
          <w:p w14:paraId="027303BD" w14:textId="28995B35" w:rsidR="00662E6E" w:rsidRPr="00F67737" w:rsidRDefault="007D602E" w:rsidP="007D602E">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sidRPr="00F67737">
              <w:rPr>
                <w:sz w:val="22"/>
                <w:lang w:val="en"/>
              </w:rPr>
              <w:t xml:space="preserve">Using a six-month course of daily isoniazid does not ensure high adherence to treatment, and shorter WHO-recommended </w:t>
            </w:r>
            <w:r w:rsidRPr="00F67737">
              <w:rPr>
                <w:sz w:val="22"/>
                <w:lang w:val="en"/>
              </w:rPr>
              <w:lastRenderedPageBreak/>
              <w:t>prophylaxis regimens should be used.</w:t>
            </w:r>
          </w:p>
        </w:tc>
      </w:tr>
      <w:tr w:rsidR="00662E6E" w14:paraId="433F1578"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EE9E90" w14:textId="77777777" w:rsidR="00662E6E" w:rsidRDefault="00662E6E" w:rsidP="0026062D">
            <w:pPr>
              <w:pStyle w:val="BodyText"/>
              <w:widowControl w:val="0"/>
              <w:spacing w:line="240" w:lineRule="auto"/>
            </w:pPr>
            <w:r>
              <w:lastRenderedPageBreak/>
              <w:t>Amount requested</w:t>
            </w:r>
          </w:p>
        </w:tc>
        <w:tc>
          <w:tcPr>
            <w:tcW w:w="12616" w:type="dxa"/>
          </w:tcPr>
          <w:p w14:paraId="5A45CFBB" w14:textId="32C73CA5" w:rsidR="00662E6E" w:rsidRPr="00D34100" w:rsidRDefault="00F67737"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$50,937</w:t>
            </w:r>
          </w:p>
        </w:tc>
      </w:tr>
      <w:tr w:rsidR="00662E6E" w14:paraId="250090C5"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662782F2" w14:textId="77777777" w:rsidR="00662E6E" w:rsidRDefault="00662E6E" w:rsidP="0026062D">
            <w:pPr>
              <w:pStyle w:val="BodyText"/>
              <w:widowControl w:val="0"/>
              <w:spacing w:line="240" w:lineRule="auto"/>
            </w:pPr>
            <w:r>
              <w:t>Expected outcome</w:t>
            </w:r>
          </w:p>
        </w:tc>
        <w:tc>
          <w:tcPr>
            <w:tcW w:w="12616" w:type="dxa"/>
          </w:tcPr>
          <w:p w14:paraId="283937D1" w14:textId="73DA6105" w:rsidR="00C31791" w:rsidRDefault="00C31791" w:rsidP="00C31791">
            <w:pPr>
              <w:jc w:val="both"/>
              <w:cnfStyle w:val="000000000000" w:firstRow="0" w:lastRow="0" w:firstColumn="0" w:lastColumn="0" w:oddVBand="0" w:evenVBand="0" w:oddHBand="0" w:evenHBand="0" w:firstRowFirstColumn="0" w:firstRowLastColumn="0" w:lastRowFirstColumn="0" w:lastRowLastColumn="0"/>
              <w:rPr>
                <w:lang w:val="en"/>
              </w:rPr>
            </w:pPr>
            <w:r w:rsidRPr="00C31791">
              <w:rPr>
                <w:lang w:val="en"/>
              </w:rPr>
              <w:t>100% of TB patients will be tested for HIV</w:t>
            </w:r>
          </w:p>
          <w:p w14:paraId="1BC8F887" w14:textId="149A2BB6" w:rsidR="00C31791" w:rsidRPr="00C31791" w:rsidRDefault="00C31791" w:rsidP="00C31791">
            <w:pPr>
              <w:jc w:val="both"/>
              <w:cnfStyle w:val="000000000000" w:firstRow="0" w:lastRow="0" w:firstColumn="0" w:lastColumn="0" w:oddVBand="0" w:evenVBand="0" w:oddHBand="0" w:evenHBand="0" w:firstRowFirstColumn="0" w:firstRowLastColumn="0" w:lastRowFirstColumn="0" w:lastRowLastColumn="0"/>
            </w:pPr>
            <w:r>
              <w:t xml:space="preserve">At least, 99% of </w:t>
            </w:r>
            <w:r w:rsidRPr="00C31791">
              <w:t>HIV-positive new and relapse TB patients on ART during TB treatment</w:t>
            </w:r>
          </w:p>
          <w:p w14:paraId="14D75C67" w14:textId="361F06D9" w:rsidR="00662E6E" w:rsidRPr="00D34100" w:rsidRDefault="00C31791" w:rsidP="00C31791">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sidRPr="00C31791">
              <w:rPr>
                <w:sz w:val="22"/>
                <w:lang w:val="en"/>
              </w:rPr>
              <w:t>90% of PLHIV with diagnosed latent TB will receive preventive treatment for TB</w:t>
            </w:r>
          </w:p>
        </w:tc>
      </w:tr>
    </w:tbl>
    <w:p w14:paraId="154453CF" w14:textId="01D7D1D5"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23B3EE30"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075A6A" w14:textId="3F779DD6" w:rsidR="00662E6E" w:rsidRDefault="00662E6E" w:rsidP="0026062D">
            <w:pPr>
              <w:pStyle w:val="BodyText"/>
              <w:widowControl w:val="0"/>
              <w:spacing w:line="240" w:lineRule="auto"/>
            </w:pPr>
            <w:r>
              <w:t>Module #12</w:t>
            </w:r>
          </w:p>
        </w:tc>
        <w:tc>
          <w:tcPr>
            <w:tcW w:w="12616" w:type="dxa"/>
          </w:tcPr>
          <w:p w14:paraId="62243FE4" w14:textId="2AB7E27D" w:rsidR="00662E6E" w:rsidRPr="00516071" w:rsidRDefault="001C3A44" w:rsidP="001C3A44">
            <w:pPr>
              <w:pStyle w:val="Default"/>
              <w:cnfStyle w:val="100000000000" w:firstRow="1" w:lastRow="0" w:firstColumn="0" w:lastColumn="0" w:oddVBand="0" w:evenVBand="0" w:oddHBand="0" w:evenHBand="0" w:firstRowFirstColumn="0" w:firstRowLastColumn="0" w:lastRowFirstColumn="0" w:lastRowLastColumn="0"/>
              <w:rPr>
                <w:sz w:val="22"/>
                <w:szCs w:val="22"/>
              </w:rPr>
            </w:pPr>
            <w:r w:rsidRPr="00516071">
              <w:rPr>
                <w:sz w:val="22"/>
                <w:szCs w:val="22"/>
              </w:rPr>
              <w:t>Reducing Human Rights-related Barriers to HIV/TB Services</w:t>
            </w:r>
          </w:p>
        </w:tc>
      </w:tr>
      <w:tr w:rsidR="00662E6E" w14:paraId="2A8E9B95"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C5718B" w14:textId="77777777" w:rsidR="00662E6E" w:rsidRDefault="00662E6E" w:rsidP="0026062D">
            <w:pPr>
              <w:pStyle w:val="BodyText"/>
              <w:widowControl w:val="0"/>
              <w:spacing w:line="240" w:lineRule="auto"/>
            </w:pPr>
            <w:r>
              <w:t>Intervention(s)</w:t>
            </w:r>
          </w:p>
        </w:tc>
        <w:tc>
          <w:tcPr>
            <w:tcW w:w="12616" w:type="dxa"/>
          </w:tcPr>
          <w:p w14:paraId="1EE10C0C" w14:textId="09D47CC1" w:rsidR="001C3A44" w:rsidRPr="00516071" w:rsidRDefault="001C3A44" w:rsidP="001C3A44">
            <w:pPr>
              <w:jc w:val="both"/>
              <w:cnfStyle w:val="000000100000" w:firstRow="0" w:lastRow="0" w:firstColumn="0" w:lastColumn="0" w:oddVBand="0" w:evenVBand="0" w:oddHBand="1" w:evenHBand="0" w:firstRowFirstColumn="0" w:firstRowLastColumn="0" w:lastRowFirstColumn="0" w:lastRowLastColumn="0"/>
            </w:pPr>
            <w:r w:rsidRPr="00516071">
              <w:rPr>
                <w:lang w:val="en"/>
              </w:rPr>
              <w:t xml:space="preserve">Despite significant efforts to strengthen human rights and community systems in the Kyrgyz Republic with a significant contribution from the GF grant, stigma and discrimination associated with HIV, TB and KP remain high. Other barriers in the field of human rights remain, and in some aspects, there has even been a further deterioration over the past few years, for example, legal barriers in preventive programs </w:t>
            </w:r>
            <w:r w:rsidR="00516071">
              <w:rPr>
                <w:lang w:val="en"/>
              </w:rPr>
              <w:t>for SW</w:t>
            </w:r>
            <w:r w:rsidRPr="00516071">
              <w:rPr>
                <w:lang w:val="en"/>
              </w:rPr>
              <w:t>. Although some progress has been made (the approval of a national plan for a comprehensive response to human rights barriers in the provision of HIV and TB services), in general, the legal environment is not completely favorable, as there is a widespread criminalization of drug possession for personal use, regular harassment of SWs and the LGBT community by the police. The ongoing assessment of progress under the Breaking Down Barriers (BDB) program provided important findings on medium-term progress, as well as recommendations for improving the scale and effectiveness of HIV-related human rights programs. BDB report and the analysis is used as a basis of this module.</w:t>
            </w:r>
            <w:r w:rsidRPr="00516071">
              <w:rPr>
                <w:rStyle w:val="FootnoteReference"/>
                <w:lang w:val="en"/>
              </w:rPr>
              <w:footnoteReference w:id="32"/>
            </w:r>
            <w:r w:rsidRPr="00516071">
              <w:rPr>
                <w:lang w:val="en"/>
              </w:rPr>
              <w:t xml:space="preserve"> </w:t>
            </w:r>
          </w:p>
          <w:p w14:paraId="3A97E128" w14:textId="181DBB84" w:rsidR="001C3A44" w:rsidRPr="0049321C" w:rsidRDefault="0049321C" w:rsidP="001C3A44">
            <w:pPr>
              <w:jc w:val="both"/>
              <w:cnfStyle w:val="000000100000" w:firstRow="0" w:lastRow="0" w:firstColumn="0" w:lastColumn="0" w:oddVBand="0" w:evenVBand="0" w:oddHBand="1" w:evenHBand="0" w:firstRowFirstColumn="0" w:firstRowLastColumn="0" w:lastRowFirstColumn="0" w:lastRowLastColumn="0"/>
              <w:rPr>
                <w:b/>
                <w:lang w:val="en-GB"/>
              </w:rPr>
            </w:pPr>
            <w:r w:rsidRPr="0049321C">
              <w:rPr>
                <w:b/>
                <w:lang w:val="en-GB"/>
              </w:rPr>
              <w:t>Eliminating stigma and discrimination in all settings</w:t>
            </w:r>
          </w:p>
          <w:p w14:paraId="6FA5893B" w14:textId="5891A430" w:rsidR="001C3A44" w:rsidRDefault="001C3A44" w:rsidP="001C3A4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516071">
              <w:rPr>
                <w:rFonts w:ascii="Arial" w:eastAsia="Arial" w:hAnsi="Arial" w:cs="Arial"/>
                <w:lang w:val="en"/>
              </w:rPr>
              <w:t>Activities within the framework of the country's accession to the Global Partnership to Eliminate Stigma and Discrimination on HIV and TB will be developed and implemented in addition to the Intersectoral plan of the Kyrgyz Republic to overcome legal barriers</w:t>
            </w:r>
            <w:r w:rsidRPr="00516071">
              <w:rPr>
                <w:rStyle w:val="FootnoteReference"/>
                <w:rFonts w:ascii="Arial" w:eastAsia="Arial" w:hAnsi="Arial" w:cs="Arial"/>
                <w:lang w:val="ru-RU"/>
              </w:rPr>
              <w:footnoteReference w:id="33"/>
            </w:r>
            <w:r w:rsidRPr="00516071">
              <w:rPr>
                <w:rFonts w:ascii="Arial" w:eastAsia="Arial" w:hAnsi="Arial" w:cs="Arial"/>
                <w:lang w:val="en"/>
              </w:rPr>
              <w:t>. An intersectoral working group consisting of representatives of key departments (</w:t>
            </w:r>
            <w:r w:rsidR="00516071">
              <w:rPr>
                <w:rFonts w:ascii="Arial" w:eastAsia="Arial" w:hAnsi="Arial" w:cs="Arial"/>
                <w:lang w:val="en"/>
              </w:rPr>
              <w:t>MoH</w:t>
            </w:r>
            <w:r w:rsidRPr="00516071">
              <w:rPr>
                <w:rFonts w:ascii="Arial" w:eastAsia="Arial" w:hAnsi="Arial" w:cs="Arial"/>
                <w:lang w:val="en"/>
              </w:rPr>
              <w:t xml:space="preserve">, </w:t>
            </w:r>
            <w:proofErr w:type="spellStart"/>
            <w:r w:rsidR="00516071">
              <w:rPr>
                <w:rFonts w:ascii="Arial" w:eastAsia="Arial" w:hAnsi="Arial" w:cs="Arial"/>
                <w:lang w:val="en"/>
              </w:rPr>
              <w:t>MoJ</w:t>
            </w:r>
            <w:proofErr w:type="spellEnd"/>
            <w:r w:rsidRPr="00516071">
              <w:rPr>
                <w:rFonts w:ascii="Arial" w:eastAsia="Arial" w:hAnsi="Arial" w:cs="Arial"/>
                <w:lang w:val="en"/>
              </w:rPr>
              <w:t xml:space="preserve">, </w:t>
            </w:r>
            <w:proofErr w:type="spellStart"/>
            <w:r w:rsidR="00516071">
              <w:rPr>
                <w:rFonts w:ascii="Arial" w:eastAsia="Arial" w:hAnsi="Arial" w:cs="Arial"/>
                <w:lang w:val="en"/>
              </w:rPr>
              <w:t>MoIA</w:t>
            </w:r>
            <w:proofErr w:type="spellEnd"/>
            <w:r w:rsidRPr="00516071">
              <w:rPr>
                <w:rFonts w:ascii="Arial" w:eastAsia="Arial" w:hAnsi="Arial" w:cs="Arial"/>
                <w:lang w:val="en"/>
              </w:rPr>
              <w:t>) with the participation of civil society and communities will ensure monitoring of the implementation of the plan, informing decision makers and achieving the goals</w:t>
            </w:r>
            <w:r w:rsidRPr="00516071">
              <w:rPr>
                <w:rStyle w:val="FootnoteReference"/>
                <w:rFonts w:ascii="Arial" w:eastAsia="Arial" w:hAnsi="Arial" w:cs="Arial"/>
                <w:lang w:val="ru-RU"/>
              </w:rPr>
              <w:footnoteReference w:id="34"/>
            </w:r>
            <w:r w:rsidRPr="00516071">
              <w:rPr>
                <w:rFonts w:ascii="Arial" w:eastAsia="Arial" w:hAnsi="Arial" w:cs="Arial"/>
                <w:lang w:val="en"/>
              </w:rPr>
              <w:t xml:space="preserve">. The function of this group will also include monitoring the implementation of recommendations of international UN mechanisms (UN Committees, UPR, CEDAW). Communities of </w:t>
            </w:r>
            <w:r w:rsidR="00CA4F11">
              <w:rPr>
                <w:rFonts w:ascii="Arial" w:eastAsia="Arial" w:hAnsi="Arial" w:cs="Arial"/>
                <w:lang w:val="en"/>
              </w:rPr>
              <w:t>KPs</w:t>
            </w:r>
            <w:r w:rsidRPr="00516071">
              <w:rPr>
                <w:rFonts w:ascii="Arial" w:eastAsia="Arial" w:hAnsi="Arial" w:cs="Arial"/>
                <w:lang w:val="en"/>
              </w:rPr>
              <w:t xml:space="preserve"> will actively participate in the activities of this intersectoral working group both on the ground and at the national level.</w:t>
            </w:r>
          </w:p>
          <w:p w14:paraId="760A8016" w14:textId="4D66CFE3" w:rsidR="00F60258" w:rsidRDefault="00F60258" w:rsidP="00F6025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D74BE9">
              <w:rPr>
                <w:rFonts w:ascii="Arial" w:eastAsia="Arial" w:hAnsi="Arial" w:cs="Arial"/>
                <w:lang w:val="en"/>
              </w:rPr>
              <w:t xml:space="preserve">Mechanisms for annual monitoring of stigma/discrimination assessment and rapid assessment of rights violations at the level of institutions providing HIV and TB services, both among clients and service providers, will be developed and implemented. </w:t>
            </w:r>
            <w:r w:rsidRPr="00D74BE9">
              <w:rPr>
                <w:rFonts w:ascii="Arial" w:eastAsia="Arial" w:hAnsi="Arial" w:cs="Arial"/>
                <w:lang w:val="en"/>
              </w:rPr>
              <w:lastRenderedPageBreak/>
              <w:t xml:space="preserve">Monitoring will be carried out annually covering at least 2 regions. The rapid assessment will be carried out systematically during community monitoring visits and/or on-site training programs. 2 national Stigma Index studies will be conducted among PLHIV and </w:t>
            </w:r>
            <w:r w:rsidR="007A5BD3">
              <w:rPr>
                <w:rFonts w:ascii="Arial" w:eastAsia="Arial" w:hAnsi="Arial" w:cs="Arial"/>
                <w:lang w:val="en"/>
              </w:rPr>
              <w:t>KPs</w:t>
            </w:r>
            <w:r w:rsidRPr="00D74BE9">
              <w:rPr>
                <w:rFonts w:ascii="Arial" w:eastAsia="Arial" w:hAnsi="Arial" w:cs="Arial"/>
                <w:lang w:val="en"/>
              </w:rPr>
              <w:t>, as well as among people living with TB, in 2025.</w:t>
            </w:r>
          </w:p>
          <w:p w14:paraId="0BE0BC63" w14:textId="7C80CDD8" w:rsidR="00F60258" w:rsidRPr="00E769B9" w:rsidRDefault="00F60258" w:rsidP="00F6025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30380">
              <w:rPr>
                <w:rFonts w:ascii="Arial" w:eastAsia="Arial" w:hAnsi="Arial" w:cs="Arial"/>
              </w:rPr>
              <w:t xml:space="preserve">Public organizations will regularly (1-2 times a year) conduct rapid assessments among their clients and service providers. The use of a unified questionnaire will make it possible to measure changes in the attitude of </w:t>
            </w:r>
            <w:r w:rsidR="007A5BD3">
              <w:rPr>
                <w:rFonts w:ascii="Arial" w:eastAsia="Arial" w:hAnsi="Arial" w:cs="Arial"/>
              </w:rPr>
              <w:t>authorities</w:t>
            </w:r>
            <w:r w:rsidRPr="00730380">
              <w:rPr>
                <w:rFonts w:ascii="Arial" w:eastAsia="Arial" w:hAnsi="Arial" w:cs="Arial"/>
              </w:rPr>
              <w:t xml:space="preserve"> towards </w:t>
            </w:r>
            <w:r w:rsidR="007A5BD3">
              <w:rPr>
                <w:rFonts w:ascii="Arial" w:eastAsia="Arial" w:hAnsi="Arial" w:cs="Arial"/>
              </w:rPr>
              <w:t>KPs</w:t>
            </w:r>
            <w:r w:rsidRPr="00730380">
              <w:rPr>
                <w:rFonts w:ascii="Arial" w:eastAsia="Arial" w:hAnsi="Arial" w:cs="Arial"/>
              </w:rPr>
              <w:t>. Leaders of law enforcement, health care and other government agencies at the national and local levels will be informed about changes in stigma and discrimination levels in all three sectors and receive recommendations on how to address them. Integrating stigma and discrimination measurement tools into health care settings, as well as pre- and post-training assessments with health professionals and law enforcement officials, will track the Global AIDS Monitoring indicators over time, as well as provide important data for triangulation.</w:t>
            </w:r>
          </w:p>
          <w:p w14:paraId="47A7E720" w14:textId="08FBBADE" w:rsidR="00F60258" w:rsidRDefault="00F60258" w:rsidP="00F6025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779C3">
              <w:rPr>
                <w:rFonts w:ascii="Arial" w:eastAsia="Arial" w:hAnsi="Arial" w:cs="Arial"/>
                <w:lang w:val="en"/>
              </w:rPr>
              <w:t xml:space="preserve">The involvement of the Ombudsman institution and the Council for the Protection of the Rights of </w:t>
            </w:r>
            <w:r w:rsidR="00867DDB">
              <w:rPr>
                <w:rFonts w:ascii="Arial" w:eastAsia="Arial" w:hAnsi="Arial" w:cs="Arial"/>
                <w:lang w:val="en"/>
              </w:rPr>
              <w:t>KPs</w:t>
            </w:r>
            <w:r w:rsidRPr="006779C3">
              <w:rPr>
                <w:rFonts w:ascii="Arial" w:eastAsia="Arial" w:hAnsi="Arial" w:cs="Arial"/>
                <w:lang w:val="en"/>
              </w:rPr>
              <w:t xml:space="preserve"> with the participation of communities will ensure prompt response to violations of rights, as well as the inclusion of legal barriers in annual and special reports to the Parliament and the Government of the Kyrgyz Republic. A visiting meeting of the Council will be held to develop mechanisms and a plan for interaction with the community of </w:t>
            </w:r>
            <w:r w:rsidR="00867DDB">
              <w:rPr>
                <w:rFonts w:ascii="Arial" w:eastAsia="Arial" w:hAnsi="Arial" w:cs="Arial"/>
                <w:lang w:val="en"/>
              </w:rPr>
              <w:t>KPs</w:t>
            </w:r>
            <w:r w:rsidRPr="006779C3">
              <w:rPr>
                <w:rFonts w:ascii="Arial" w:eastAsia="Arial" w:hAnsi="Arial" w:cs="Arial"/>
                <w:lang w:val="en"/>
              </w:rPr>
              <w:t xml:space="preserve">. </w:t>
            </w:r>
            <w:r>
              <w:rPr>
                <w:rFonts w:ascii="Arial" w:eastAsia="Arial" w:hAnsi="Arial" w:cs="Arial"/>
                <w:lang w:val="en"/>
              </w:rPr>
              <w:t>Then</w:t>
            </w:r>
            <w:r w:rsidRPr="006779C3">
              <w:rPr>
                <w:rFonts w:ascii="Arial" w:eastAsia="Arial" w:hAnsi="Arial" w:cs="Arial"/>
                <w:lang w:val="en"/>
              </w:rPr>
              <w:t xml:space="preserve">, two meetings a year will be </w:t>
            </w:r>
            <w:r>
              <w:rPr>
                <w:rFonts w:ascii="Arial" w:eastAsia="Arial" w:hAnsi="Arial" w:cs="Arial"/>
                <w:lang w:val="en"/>
              </w:rPr>
              <w:t>organized</w:t>
            </w:r>
            <w:r w:rsidRPr="006779C3">
              <w:rPr>
                <w:rFonts w:ascii="Arial" w:eastAsia="Arial" w:hAnsi="Arial" w:cs="Arial"/>
                <w:lang w:val="en"/>
              </w:rPr>
              <w:t xml:space="preserve"> to discuss the results of joint activities.</w:t>
            </w:r>
          </w:p>
          <w:p w14:paraId="46C28EB8" w14:textId="766C34FB" w:rsidR="00F2093E" w:rsidRPr="00E769B9" w:rsidRDefault="00F2093E" w:rsidP="00F2093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D20A5">
              <w:rPr>
                <w:rFonts w:ascii="Arial" w:eastAsia="Arial" w:hAnsi="Arial" w:cs="Arial"/>
              </w:rPr>
              <w:t>The mechanisms provided by the Law of the Kyrgyz Republic "On Advertising" and the Law "On State Social Orders" will be used to conduct social advertising on issues of public interest to organize national campaigns to reduce HIV</w:t>
            </w:r>
            <w:r w:rsidR="00DE6BB9">
              <w:rPr>
                <w:rFonts w:ascii="Arial" w:eastAsia="Arial" w:hAnsi="Arial" w:cs="Arial"/>
              </w:rPr>
              <w:t>-</w:t>
            </w:r>
            <w:r w:rsidRPr="005D20A5">
              <w:rPr>
                <w:rFonts w:ascii="Arial" w:eastAsia="Arial" w:hAnsi="Arial" w:cs="Arial"/>
              </w:rPr>
              <w:t xml:space="preserve"> and TB</w:t>
            </w:r>
            <w:r w:rsidR="00DE6BB9">
              <w:rPr>
                <w:rFonts w:ascii="Arial" w:eastAsia="Arial" w:hAnsi="Arial" w:cs="Arial"/>
              </w:rPr>
              <w:t>-related stigma</w:t>
            </w:r>
            <w:r w:rsidRPr="005D20A5">
              <w:rPr>
                <w:rFonts w:ascii="Arial" w:eastAsia="Arial" w:hAnsi="Arial" w:cs="Arial"/>
              </w:rPr>
              <w:t xml:space="preserve"> among the </w:t>
            </w:r>
            <w:r w:rsidR="00457303">
              <w:rPr>
                <w:rFonts w:ascii="Arial" w:eastAsia="Arial" w:hAnsi="Arial" w:cs="Arial"/>
              </w:rPr>
              <w:t xml:space="preserve">general </w:t>
            </w:r>
            <w:r w:rsidRPr="005D20A5">
              <w:rPr>
                <w:rFonts w:ascii="Arial" w:eastAsia="Arial" w:hAnsi="Arial" w:cs="Arial"/>
              </w:rPr>
              <w:t>population. These campaigns will also help reduce the self-stigmatization of people living with HIV and TB. This will help expand access to diagnostics and prevent refusal/interruption of HIV and TB treatment.</w:t>
            </w:r>
            <w:r>
              <w:rPr>
                <w:rFonts w:ascii="Arial" w:eastAsia="Arial" w:hAnsi="Arial" w:cs="Arial"/>
              </w:rPr>
              <w:t xml:space="preserve"> </w:t>
            </w:r>
            <w:r w:rsidRPr="005D20A5">
              <w:rPr>
                <w:rFonts w:ascii="Arial" w:eastAsia="Arial" w:hAnsi="Arial" w:cs="Arial"/>
              </w:rPr>
              <w:t>This approach will also ensure the sustainability and effectiveness of information activities. To improve the quality of materials and involve a wide range of journalists, annual competitions for journalists of electronic and print media will be organized.</w:t>
            </w:r>
          </w:p>
          <w:p w14:paraId="30E9FF50" w14:textId="77777777" w:rsidR="00F2093E" w:rsidRPr="00E769B9" w:rsidRDefault="00F2093E" w:rsidP="00F2093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170696">
              <w:rPr>
                <w:rFonts w:ascii="Arial" w:eastAsia="Arial" w:hAnsi="Arial" w:cs="Arial"/>
                <w:lang w:val="en"/>
              </w:rPr>
              <w:t>Advocacy of national campaigns on HIV and TB, with components for the prevention of stigma and discrimination, gender-based violence, the development of information materials, including electronic ones, will be carried out by the networks. Contests will be organized for journalists aimed at developing tolerance in society to increase access to HIV and TB prevention, diagnosis and treatment.</w:t>
            </w:r>
          </w:p>
          <w:p w14:paraId="1BF46B11" w14:textId="74EB405A" w:rsidR="00F2093E" w:rsidRPr="00E769B9" w:rsidRDefault="00F2093E" w:rsidP="00F2093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D74BE9">
              <w:rPr>
                <w:rFonts w:ascii="Arial" w:eastAsia="Arial" w:hAnsi="Arial" w:cs="Arial"/>
                <w:lang w:val="en"/>
              </w:rPr>
              <w:t xml:space="preserve">Representatives of local </w:t>
            </w:r>
            <w:r>
              <w:rPr>
                <w:rFonts w:ascii="Arial" w:eastAsia="Arial" w:hAnsi="Arial" w:cs="Arial"/>
                <w:lang w:val="en"/>
              </w:rPr>
              <w:t>authorities</w:t>
            </w:r>
            <w:r w:rsidRPr="00D74BE9">
              <w:rPr>
                <w:rFonts w:ascii="Arial" w:eastAsia="Arial" w:hAnsi="Arial" w:cs="Arial"/>
                <w:lang w:val="en"/>
              </w:rPr>
              <w:t xml:space="preserve">, religious leaders and journalists will be trained to reduce stigma. Short modules will be developed for the work of local </w:t>
            </w:r>
            <w:r>
              <w:rPr>
                <w:rFonts w:ascii="Arial" w:eastAsia="Arial" w:hAnsi="Arial" w:cs="Arial"/>
                <w:lang w:val="en"/>
              </w:rPr>
              <w:t xml:space="preserve">authorities </w:t>
            </w:r>
            <w:r w:rsidRPr="00D74BE9">
              <w:rPr>
                <w:rFonts w:ascii="Arial" w:eastAsia="Arial" w:hAnsi="Arial" w:cs="Arial"/>
                <w:lang w:val="en"/>
              </w:rPr>
              <w:t xml:space="preserve">and religious leaders on the development of tolerance towards HIV and TB at the level of local communities. </w:t>
            </w:r>
            <w:r w:rsidRPr="005D20A5">
              <w:rPr>
                <w:rFonts w:ascii="Arial" w:eastAsia="Arial" w:hAnsi="Arial" w:cs="Arial"/>
                <w:lang w:val="en"/>
              </w:rPr>
              <w:t xml:space="preserve">The modules will be regularly supplemented and updated </w:t>
            </w:r>
            <w:r w:rsidR="005B1BD5">
              <w:rPr>
                <w:rFonts w:ascii="Arial" w:eastAsia="Arial" w:hAnsi="Arial" w:cs="Arial"/>
                <w:lang w:val="en"/>
              </w:rPr>
              <w:t>In line with</w:t>
            </w:r>
            <w:r>
              <w:rPr>
                <w:rFonts w:ascii="Arial" w:eastAsia="Arial" w:hAnsi="Arial" w:cs="Arial"/>
                <w:lang w:val="en"/>
              </w:rPr>
              <w:t xml:space="preserve"> the results of the </w:t>
            </w:r>
            <w:r w:rsidRPr="005D20A5">
              <w:rPr>
                <w:rFonts w:ascii="Arial" w:eastAsia="Arial" w:hAnsi="Arial" w:cs="Arial"/>
                <w:lang w:val="en"/>
              </w:rPr>
              <w:t>C</w:t>
            </w:r>
            <w:r>
              <w:rPr>
                <w:rFonts w:ascii="Arial" w:eastAsia="Arial" w:hAnsi="Arial" w:cs="Arial"/>
                <w:lang w:val="en"/>
              </w:rPr>
              <w:t>L</w:t>
            </w:r>
            <w:r w:rsidRPr="005D20A5">
              <w:rPr>
                <w:rFonts w:ascii="Arial" w:eastAsia="Arial" w:hAnsi="Arial" w:cs="Arial"/>
                <w:lang w:val="en"/>
              </w:rPr>
              <w:t>M.</w:t>
            </w:r>
            <w:r w:rsidRPr="00761686">
              <w:rPr>
                <w:rFonts w:ascii="Arial" w:eastAsia="Arial" w:hAnsi="Arial" w:cs="Arial"/>
              </w:rPr>
              <w:t xml:space="preserve"> </w:t>
            </w:r>
            <w:r w:rsidRPr="00D74BE9">
              <w:rPr>
                <w:rFonts w:ascii="Arial" w:eastAsia="Arial" w:hAnsi="Arial" w:cs="Arial"/>
                <w:lang w:val="en"/>
              </w:rPr>
              <w:t xml:space="preserve">Three seminars will be held by NGOs and </w:t>
            </w:r>
            <w:r w:rsidR="00F2396F">
              <w:rPr>
                <w:rFonts w:ascii="Arial" w:eastAsia="Arial" w:hAnsi="Arial" w:cs="Arial"/>
                <w:lang w:val="en"/>
              </w:rPr>
              <w:t>KPs</w:t>
            </w:r>
            <w:r w:rsidRPr="00D74BE9">
              <w:rPr>
                <w:rFonts w:ascii="Arial" w:eastAsia="Arial" w:hAnsi="Arial" w:cs="Arial"/>
                <w:lang w:val="en"/>
              </w:rPr>
              <w:t xml:space="preserve"> on HIV infection and TB, the specifics of working with PLHIV, overcoming stigma and discrimination. </w:t>
            </w:r>
          </w:p>
          <w:p w14:paraId="4581A3D2" w14:textId="2AB52043" w:rsidR="00F2396F" w:rsidRPr="00E769B9" w:rsidRDefault="00F2396F"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D74BE9">
              <w:rPr>
                <w:rFonts w:ascii="Arial" w:eastAsia="Arial" w:hAnsi="Arial" w:cs="Arial"/>
                <w:b/>
                <w:lang w:val="en"/>
              </w:rPr>
              <w:t xml:space="preserve">Improving laws, regulations and policies </w:t>
            </w:r>
            <w:r w:rsidR="00CA5C0C">
              <w:rPr>
                <w:rFonts w:ascii="Arial" w:eastAsia="Arial" w:hAnsi="Arial" w:cs="Arial"/>
                <w:b/>
                <w:lang w:val="en"/>
              </w:rPr>
              <w:t>relating to</w:t>
            </w:r>
            <w:r w:rsidRPr="00D74BE9">
              <w:rPr>
                <w:rFonts w:ascii="Arial" w:eastAsia="Arial" w:hAnsi="Arial" w:cs="Arial"/>
                <w:b/>
                <w:lang w:val="en"/>
              </w:rPr>
              <w:t xml:space="preserve"> HIV</w:t>
            </w:r>
            <w:r w:rsidR="00CA5C0C">
              <w:rPr>
                <w:rFonts w:ascii="Arial" w:eastAsia="Arial" w:hAnsi="Arial" w:cs="Arial"/>
                <w:b/>
                <w:lang w:val="en"/>
              </w:rPr>
              <w:t xml:space="preserve"> </w:t>
            </w:r>
            <w:r w:rsidRPr="00D74BE9">
              <w:rPr>
                <w:rFonts w:ascii="Arial" w:eastAsia="Arial" w:hAnsi="Arial" w:cs="Arial"/>
                <w:b/>
                <w:lang w:val="en"/>
              </w:rPr>
              <w:t>and HIV/TB</w:t>
            </w:r>
          </w:p>
          <w:p w14:paraId="19767D4B" w14:textId="45B78421" w:rsidR="00F2396F" w:rsidRPr="00E769B9" w:rsidRDefault="00F2396F"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D74BE9">
              <w:rPr>
                <w:rFonts w:ascii="Arial" w:eastAsia="Arial" w:hAnsi="Arial" w:cs="Arial"/>
                <w:lang w:val="en"/>
              </w:rPr>
              <w:lastRenderedPageBreak/>
              <w:t xml:space="preserve">Participation and monitoring of newly developed draft laws, as well as other normative legal acts related to HIV and TB will be ensured. This process includes the development of Programs of the Cabinet of Ministers of the Kyrgyz Republic, departmental regulations, orders and instructions. Participation in the public discussion of the </w:t>
            </w:r>
            <w:r w:rsidR="00187984">
              <w:rPr>
                <w:rFonts w:ascii="Arial" w:eastAsia="Arial" w:hAnsi="Arial" w:cs="Arial"/>
                <w:lang w:val="en"/>
              </w:rPr>
              <w:t>bylaws</w:t>
            </w:r>
            <w:r w:rsidRPr="00D74BE9">
              <w:rPr>
                <w:rFonts w:ascii="Arial" w:eastAsia="Arial" w:hAnsi="Arial" w:cs="Arial"/>
                <w:lang w:val="en"/>
              </w:rPr>
              <w:t xml:space="preserve"> will ensure their gender sensitivity; advocacy for the exclusion of discriminating PLHIV, people living with TB, and KP provisions. </w:t>
            </w:r>
            <w:r w:rsidRPr="00382116">
              <w:rPr>
                <w:rFonts w:ascii="Arial" w:eastAsia="Arial" w:hAnsi="Arial" w:cs="Arial"/>
                <w:lang w:val="en"/>
              </w:rPr>
              <w:t xml:space="preserve">Unified Monitoring Group under the Office of the Cabinet of Ministers of the Kyrgyz Republic </w:t>
            </w:r>
            <w:r>
              <w:rPr>
                <w:rFonts w:ascii="Arial" w:eastAsia="Arial" w:hAnsi="Arial" w:cs="Arial"/>
                <w:lang w:val="en"/>
              </w:rPr>
              <w:t xml:space="preserve">together with the technical working group and communities will </w:t>
            </w:r>
            <w:r>
              <w:rPr>
                <w:rFonts w:ascii="Arial" w:eastAsia="Arial" w:hAnsi="Arial" w:cs="Arial"/>
              </w:rPr>
              <w:t>promot</w:t>
            </w:r>
            <w:r w:rsidR="005A2161">
              <w:rPr>
                <w:rFonts w:ascii="Arial" w:eastAsia="Arial" w:hAnsi="Arial" w:cs="Arial"/>
              </w:rPr>
              <w:t>e</w:t>
            </w:r>
            <w:r w:rsidRPr="00D74BE9">
              <w:rPr>
                <w:rFonts w:ascii="Arial" w:eastAsia="Arial" w:hAnsi="Arial" w:cs="Arial"/>
                <w:lang w:val="en"/>
              </w:rPr>
              <w:t xml:space="preserve"> regulatory acts to ensure the rights</w:t>
            </w:r>
            <w:r>
              <w:rPr>
                <w:rFonts w:ascii="Arial" w:eastAsia="Arial" w:hAnsi="Arial" w:cs="Arial"/>
                <w:lang w:val="en"/>
              </w:rPr>
              <w:t xml:space="preserve"> / </w:t>
            </w:r>
            <w:r w:rsidRPr="00D74BE9">
              <w:rPr>
                <w:rFonts w:ascii="Arial" w:eastAsia="Arial" w:hAnsi="Arial" w:cs="Arial"/>
                <w:lang w:val="en"/>
              </w:rPr>
              <w:t xml:space="preserve">decriminalization of </w:t>
            </w:r>
            <w:r w:rsidR="005A2161">
              <w:rPr>
                <w:rFonts w:ascii="Arial" w:eastAsia="Arial" w:hAnsi="Arial" w:cs="Arial"/>
                <w:lang w:val="en"/>
              </w:rPr>
              <w:t>KPs</w:t>
            </w:r>
            <w:r>
              <w:rPr>
                <w:rFonts w:ascii="Arial" w:eastAsia="Arial" w:hAnsi="Arial" w:cs="Arial"/>
                <w:lang w:val="en"/>
              </w:rPr>
              <w:t xml:space="preserve">. There will be promoted </w:t>
            </w:r>
            <w:r w:rsidRPr="00761686">
              <w:rPr>
                <w:rFonts w:ascii="Arial" w:eastAsia="Arial" w:hAnsi="Arial" w:cs="Arial"/>
              </w:rPr>
              <w:t>bill</w:t>
            </w:r>
            <w:r>
              <w:rPr>
                <w:rFonts w:ascii="Arial" w:eastAsia="Arial" w:hAnsi="Arial" w:cs="Arial"/>
                <w:lang w:val="en"/>
              </w:rPr>
              <w:t xml:space="preserve"> on </w:t>
            </w:r>
            <w:r w:rsidRPr="00D74BE9">
              <w:rPr>
                <w:rFonts w:ascii="Arial" w:eastAsia="Arial" w:hAnsi="Arial" w:cs="Arial"/>
                <w:lang w:val="en"/>
              </w:rPr>
              <w:t xml:space="preserve">exclusion of norms of </w:t>
            </w:r>
            <w:r>
              <w:rPr>
                <w:rFonts w:ascii="Arial" w:eastAsia="Arial" w:hAnsi="Arial" w:cs="Arial"/>
                <w:lang w:val="en"/>
              </w:rPr>
              <w:t>m</w:t>
            </w:r>
            <w:r w:rsidRPr="00C62710">
              <w:rPr>
                <w:rFonts w:ascii="Arial" w:eastAsia="Arial" w:hAnsi="Arial" w:cs="Arial"/>
                <w:lang w:val="en"/>
              </w:rPr>
              <w:t>andatory registration in healthcare organizations</w:t>
            </w:r>
            <w:r w:rsidRPr="00C62710" w:rsidDel="00C62710">
              <w:rPr>
                <w:rFonts w:ascii="Arial" w:eastAsia="Arial" w:hAnsi="Arial" w:cs="Arial"/>
                <w:lang w:val="en"/>
              </w:rPr>
              <w:t xml:space="preserve"> </w:t>
            </w:r>
            <w:r>
              <w:rPr>
                <w:rFonts w:ascii="Arial" w:eastAsia="Arial" w:hAnsi="Arial" w:cs="Arial"/>
                <w:lang w:val="en"/>
              </w:rPr>
              <w:t>PWUD and OST clients;</w:t>
            </w:r>
            <w:r w:rsidRPr="00D74BE9">
              <w:rPr>
                <w:rFonts w:ascii="Arial" w:eastAsia="Arial" w:hAnsi="Arial" w:cs="Arial"/>
                <w:lang w:val="en"/>
              </w:rPr>
              <w:t xml:space="preserve"> abolition of compulsory treatment of drug addiction</w:t>
            </w:r>
            <w:r>
              <w:rPr>
                <w:rFonts w:ascii="Arial" w:eastAsia="Arial" w:hAnsi="Arial" w:cs="Arial"/>
                <w:lang w:val="en"/>
              </w:rPr>
              <w:t>;</w:t>
            </w:r>
            <w:r w:rsidRPr="00D74BE9">
              <w:rPr>
                <w:rFonts w:ascii="Arial" w:eastAsia="Arial" w:hAnsi="Arial" w:cs="Arial"/>
                <w:lang w:val="en"/>
              </w:rPr>
              <w:t xml:space="preserve"> </w:t>
            </w:r>
            <w:r>
              <w:t xml:space="preserve"> </w:t>
            </w:r>
            <w:r w:rsidRPr="000716E7">
              <w:rPr>
                <w:rFonts w:ascii="Arial" w:eastAsia="Arial" w:hAnsi="Arial" w:cs="Arial"/>
                <w:lang w:val="en"/>
              </w:rPr>
              <w:t>expanding the number of drug addiction treatment options</w:t>
            </w:r>
            <w:r w:rsidRPr="00D74BE9">
              <w:rPr>
                <w:rFonts w:ascii="Arial" w:eastAsia="Arial" w:hAnsi="Arial" w:cs="Arial"/>
                <w:lang w:val="en"/>
              </w:rPr>
              <w:t xml:space="preserve">; access to sex correction services, anti-discrimination law, etc. </w:t>
            </w:r>
          </w:p>
          <w:p w14:paraId="71B15D17" w14:textId="77777777" w:rsidR="00F2396F" w:rsidRPr="00E769B9" w:rsidRDefault="00F2396F"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D74BE9">
              <w:rPr>
                <w:rFonts w:ascii="Arial" w:eastAsia="Arial" w:hAnsi="Arial" w:cs="Arial"/>
                <w:lang w:val="en"/>
              </w:rPr>
              <w:t>An analysis of law enforcement practices will be carried out, taking into account the new criminal and administrative legislation and in the health care system due to illegal law enforcement practices.</w:t>
            </w:r>
          </w:p>
          <w:p w14:paraId="3C4D3A0F" w14:textId="2E6AD1C6" w:rsidR="00F2396F" w:rsidRPr="002A6B51" w:rsidRDefault="00F2396F"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en-GB"/>
              </w:rPr>
            </w:pPr>
            <w:r w:rsidRPr="00E03188">
              <w:rPr>
                <w:rFonts w:ascii="Arial" w:eastAsia="Arial" w:hAnsi="Arial" w:cs="Arial"/>
                <w:b/>
                <w:lang w:val="en"/>
              </w:rPr>
              <w:t xml:space="preserve">Legal literacy ("Know </w:t>
            </w:r>
            <w:r w:rsidR="0037575F">
              <w:rPr>
                <w:rFonts w:ascii="Arial" w:eastAsia="Arial" w:hAnsi="Arial" w:cs="Arial"/>
                <w:b/>
                <w:lang w:val="en"/>
              </w:rPr>
              <w:t>Y</w:t>
            </w:r>
            <w:r w:rsidRPr="00E03188">
              <w:rPr>
                <w:rFonts w:ascii="Arial" w:eastAsia="Arial" w:hAnsi="Arial" w:cs="Arial"/>
                <w:b/>
                <w:lang w:val="en"/>
              </w:rPr>
              <w:t xml:space="preserve">our </w:t>
            </w:r>
            <w:r w:rsidR="0037575F">
              <w:rPr>
                <w:rFonts w:ascii="Arial" w:eastAsia="Arial" w:hAnsi="Arial" w:cs="Arial"/>
                <w:b/>
                <w:lang w:val="en"/>
              </w:rPr>
              <w:t>R</w:t>
            </w:r>
            <w:r w:rsidRPr="00E03188">
              <w:rPr>
                <w:rFonts w:ascii="Arial" w:eastAsia="Arial" w:hAnsi="Arial" w:cs="Arial"/>
                <w:b/>
                <w:lang w:val="en"/>
              </w:rPr>
              <w:t>ights")</w:t>
            </w:r>
          </w:p>
          <w:p w14:paraId="79B93148" w14:textId="1C05DFA9" w:rsidR="00F2396F" w:rsidRPr="00E769B9" w:rsidRDefault="00684E14"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lang w:val="en"/>
              </w:rPr>
              <w:t>T</w:t>
            </w:r>
            <w:r w:rsidR="00F2396F">
              <w:rPr>
                <w:rFonts w:ascii="Arial" w:eastAsia="Arial" w:hAnsi="Arial" w:cs="Arial"/>
                <w:lang w:val="en"/>
              </w:rPr>
              <w:t xml:space="preserve">rainers from </w:t>
            </w:r>
            <w:r>
              <w:rPr>
                <w:rFonts w:ascii="Arial" w:eastAsia="Arial" w:hAnsi="Arial" w:cs="Arial"/>
                <w:lang w:val="en"/>
              </w:rPr>
              <w:t>PL</w:t>
            </w:r>
            <w:r w:rsidR="00F2396F">
              <w:rPr>
                <w:rFonts w:ascii="Arial" w:eastAsia="Arial" w:hAnsi="Arial" w:cs="Arial"/>
                <w:lang w:val="en"/>
              </w:rPr>
              <w:t>HIV</w:t>
            </w:r>
            <w:r>
              <w:rPr>
                <w:rFonts w:ascii="Arial" w:eastAsia="Arial" w:hAnsi="Arial" w:cs="Arial"/>
                <w:lang w:val="en"/>
              </w:rPr>
              <w:t xml:space="preserve">, </w:t>
            </w:r>
            <w:r w:rsidR="00F2396F">
              <w:rPr>
                <w:rFonts w:ascii="Arial" w:eastAsia="Arial" w:hAnsi="Arial" w:cs="Arial"/>
                <w:lang w:val="en"/>
              </w:rPr>
              <w:t xml:space="preserve">TB and </w:t>
            </w:r>
            <w:r>
              <w:rPr>
                <w:rFonts w:ascii="Arial" w:eastAsia="Arial" w:hAnsi="Arial" w:cs="Arial"/>
                <w:lang w:val="en"/>
              </w:rPr>
              <w:t>KP communities</w:t>
            </w:r>
            <w:r w:rsidR="00F2396F">
              <w:rPr>
                <w:rFonts w:ascii="Arial" w:eastAsia="Arial" w:hAnsi="Arial" w:cs="Arial"/>
                <w:lang w:val="en"/>
              </w:rPr>
              <w:t xml:space="preserve"> will train representatives of NGOs and government agencies on non-discriminatory approaches and human rights within the framework of HIV and TB programs. Representatives of NGOs and communities will also be trained </w:t>
            </w:r>
            <w:r w:rsidR="00D219E8">
              <w:rPr>
                <w:rFonts w:ascii="Arial" w:eastAsia="Arial" w:hAnsi="Arial" w:cs="Arial"/>
                <w:lang w:val="en"/>
              </w:rPr>
              <w:t>on</w:t>
            </w:r>
            <w:r w:rsidR="00F2396F">
              <w:rPr>
                <w:rFonts w:ascii="Arial" w:eastAsia="Arial" w:hAnsi="Arial" w:cs="Arial"/>
                <w:lang w:val="en"/>
              </w:rPr>
              <w:t xml:space="preserve"> issues of planning, implementation, monitoring and evaluation of HIV and TB programs; advocacy and participation in decision-making at the level of country and regional coordination committees, public/board of trustees of relevant ministries and departments.</w:t>
            </w:r>
          </w:p>
          <w:p w14:paraId="50A47D35" w14:textId="1371E306" w:rsidR="00F2396F" w:rsidRPr="00E769B9" w:rsidRDefault="00B7416B"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7416B">
              <w:rPr>
                <w:rFonts w:ascii="Arial" w:eastAsia="Arial" w:hAnsi="Arial" w:cs="Arial"/>
                <w:lang w:val="en"/>
              </w:rPr>
              <w:t xml:space="preserve">Forums of </w:t>
            </w:r>
            <w:r>
              <w:rPr>
                <w:rFonts w:ascii="Arial" w:eastAsia="Arial" w:hAnsi="Arial" w:cs="Arial"/>
                <w:lang w:val="en"/>
              </w:rPr>
              <w:t>PL</w:t>
            </w:r>
            <w:r w:rsidRPr="00B7416B">
              <w:rPr>
                <w:rFonts w:ascii="Arial" w:eastAsia="Arial" w:hAnsi="Arial" w:cs="Arial"/>
                <w:lang w:val="en"/>
              </w:rPr>
              <w:t xml:space="preserve">HIV and TB, </w:t>
            </w:r>
            <w:r>
              <w:rPr>
                <w:rFonts w:ascii="Arial" w:eastAsia="Arial" w:hAnsi="Arial" w:cs="Arial"/>
                <w:lang w:val="en"/>
              </w:rPr>
              <w:t>KPs,</w:t>
            </w:r>
            <w:r w:rsidRPr="00B7416B">
              <w:rPr>
                <w:rFonts w:ascii="Arial" w:eastAsia="Arial" w:hAnsi="Arial" w:cs="Arial"/>
                <w:lang w:val="en"/>
              </w:rPr>
              <w:t xml:space="preserve"> and national NGO forums (P</w:t>
            </w:r>
            <w:r>
              <w:rPr>
                <w:rFonts w:ascii="Arial" w:eastAsia="Arial" w:hAnsi="Arial" w:cs="Arial"/>
                <w:lang w:val="en"/>
              </w:rPr>
              <w:t>W</w:t>
            </w:r>
            <w:r w:rsidRPr="00B7416B">
              <w:rPr>
                <w:rFonts w:ascii="Arial" w:eastAsia="Arial" w:hAnsi="Arial" w:cs="Arial"/>
                <w:lang w:val="en"/>
              </w:rPr>
              <w:t>UD, S</w:t>
            </w:r>
            <w:r>
              <w:rPr>
                <w:rFonts w:ascii="Arial" w:eastAsia="Arial" w:hAnsi="Arial" w:cs="Arial"/>
                <w:lang w:val="en"/>
              </w:rPr>
              <w:t>W</w:t>
            </w:r>
            <w:r w:rsidRPr="00B7416B">
              <w:rPr>
                <w:rFonts w:ascii="Arial" w:eastAsia="Arial" w:hAnsi="Arial" w:cs="Arial"/>
                <w:lang w:val="en"/>
              </w:rPr>
              <w:t>, MSM and TG) will be organized to review progress on HIV programs, analyze opportunities and barriers to participation in country coordinating mechanisms in 2024 and 2026, analyze progress on implementation of the multisectoral plan to eliminate legal barriers.</w:t>
            </w:r>
          </w:p>
          <w:p w14:paraId="51644361" w14:textId="3D9EA0F9" w:rsidR="00F2396F" w:rsidRPr="00E769B9" w:rsidRDefault="00F2396F"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D74BE9">
              <w:rPr>
                <w:rFonts w:ascii="Arial" w:eastAsia="Arial" w:hAnsi="Arial" w:cs="Arial"/>
                <w:b/>
                <w:lang w:val="en"/>
              </w:rPr>
              <w:t>Ensuring nondiscriminat</w:t>
            </w:r>
            <w:r w:rsidR="00CA5C0C">
              <w:rPr>
                <w:rFonts w:ascii="Arial" w:eastAsia="Arial" w:hAnsi="Arial" w:cs="Arial"/>
                <w:b/>
                <w:lang w:val="en"/>
              </w:rPr>
              <w:t>ory</w:t>
            </w:r>
            <w:r w:rsidRPr="00D74BE9">
              <w:rPr>
                <w:rFonts w:ascii="Arial" w:eastAsia="Arial" w:hAnsi="Arial" w:cs="Arial"/>
                <w:b/>
                <w:lang w:val="en"/>
              </w:rPr>
              <w:t xml:space="preserve"> provision of </w:t>
            </w:r>
            <w:r w:rsidR="00CA5C0C">
              <w:rPr>
                <w:rFonts w:ascii="Arial" w:eastAsia="Arial" w:hAnsi="Arial" w:cs="Arial"/>
                <w:b/>
                <w:lang w:val="en"/>
              </w:rPr>
              <w:t>health</w:t>
            </w:r>
            <w:r w:rsidRPr="00D74BE9">
              <w:rPr>
                <w:rFonts w:ascii="Arial" w:eastAsia="Arial" w:hAnsi="Arial" w:cs="Arial"/>
                <w:b/>
                <w:lang w:val="en"/>
              </w:rPr>
              <w:t xml:space="preserve"> care</w:t>
            </w:r>
          </w:p>
          <w:p w14:paraId="4B86FBFC" w14:textId="77777777" w:rsidR="00122703" w:rsidRDefault="00122703"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122703">
              <w:rPr>
                <w:rFonts w:ascii="Arial" w:eastAsia="Arial" w:hAnsi="Arial" w:cs="Arial"/>
                <w:lang w:val="en"/>
              </w:rPr>
              <w:t xml:space="preserve">Medical school and postgraduate training programs will be reviewed for ethics content and counseling on the rights of </w:t>
            </w:r>
            <w:r>
              <w:rPr>
                <w:rFonts w:ascii="Arial" w:eastAsia="Arial" w:hAnsi="Arial" w:cs="Arial"/>
                <w:lang w:val="en"/>
              </w:rPr>
              <w:t>people</w:t>
            </w:r>
            <w:r w:rsidRPr="00122703">
              <w:rPr>
                <w:rFonts w:ascii="Arial" w:eastAsia="Arial" w:hAnsi="Arial" w:cs="Arial"/>
                <w:lang w:val="en"/>
              </w:rPr>
              <w:t xml:space="preserve"> with HIV and TB. Health care workers will receive training on human rights in postgraduate education using a previously developed module, as well as in other HIV and TB training programs. At these events there will be a rapid assessment of knowledge and attitudes towards clients by medical professionals with a focus on primary health care professionals.</w:t>
            </w:r>
          </w:p>
          <w:p w14:paraId="66549DC7" w14:textId="75F823EC" w:rsidR="00CA4F11" w:rsidRPr="00122703" w:rsidRDefault="00122703" w:rsidP="00F2396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122703">
              <w:rPr>
                <w:rFonts w:ascii="Arial" w:eastAsia="Arial" w:hAnsi="Arial" w:cs="Arial"/>
                <w:lang w:val="en"/>
              </w:rPr>
              <w:t>Regular meetings will be held between health workers and community representatives to discuss the situation and develop mechanisms to reduce stigma and discrimination in HIV and TB care. Training will be provided to health care workers on medical ethics, human rights, overcoming stigma and discrimination in HIV and TB care. Local community organizations and paralegals will be involved in local activities.</w:t>
            </w:r>
          </w:p>
          <w:p w14:paraId="13D69592" w14:textId="24C28259" w:rsidR="00122703" w:rsidRPr="00E769B9" w:rsidRDefault="00122703" w:rsidP="00122703">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679D">
              <w:rPr>
                <w:rFonts w:ascii="Arial" w:eastAsia="Arial" w:hAnsi="Arial" w:cs="Arial"/>
                <w:lang w:val="en"/>
              </w:rPr>
              <w:t xml:space="preserve">An analysis of the long-term impact of trainings on the knowledge and behavior of medical workers will be carried out using the stigma and discrimination M&amp;E tools developed under this grant, as well as the study of the stigma index. At </w:t>
            </w:r>
            <w:r>
              <w:rPr>
                <w:rFonts w:ascii="Arial" w:eastAsia="Arial" w:hAnsi="Arial" w:cs="Arial"/>
                <w:lang w:val="en"/>
              </w:rPr>
              <w:t>each</w:t>
            </w:r>
            <w:r w:rsidRPr="0080679D">
              <w:rPr>
                <w:rFonts w:ascii="Arial" w:eastAsia="Arial" w:hAnsi="Arial" w:cs="Arial"/>
                <w:lang w:val="en"/>
              </w:rPr>
              <w:t xml:space="preserve"> event, a rapid assessment will be carried out, with an emphasis on primary health care professionals.</w:t>
            </w:r>
            <w:r>
              <w:rPr>
                <w:rFonts w:ascii="Arial" w:eastAsia="Arial" w:hAnsi="Arial" w:cs="Arial"/>
                <w:lang w:val="en"/>
              </w:rPr>
              <w:t xml:space="preserve"> </w:t>
            </w:r>
            <w:r w:rsidRPr="0080679D">
              <w:rPr>
                <w:rFonts w:ascii="Arial" w:eastAsia="Arial" w:hAnsi="Arial" w:cs="Arial"/>
                <w:lang w:val="en"/>
              </w:rPr>
              <w:t xml:space="preserve">Part of the training participants and randomly selected meeting participants will take part in a detailed survey on monitoring stigma and discrimination. This will make </w:t>
            </w:r>
            <w:r w:rsidRPr="0080679D">
              <w:rPr>
                <w:rFonts w:ascii="Arial" w:eastAsia="Arial" w:hAnsi="Arial" w:cs="Arial"/>
                <w:lang w:val="en"/>
              </w:rPr>
              <w:lastRenderedPageBreak/>
              <w:t>adjustments to existing programs and improve the effectiveness of training</w:t>
            </w:r>
            <w:r>
              <w:rPr>
                <w:rFonts w:ascii="Arial" w:eastAsia="Arial" w:hAnsi="Arial" w:cs="Arial"/>
                <w:lang w:val="en"/>
              </w:rPr>
              <w:t xml:space="preserve">, </w:t>
            </w:r>
            <w:r w:rsidRPr="00761686">
              <w:rPr>
                <w:rFonts w:ascii="Arial" w:eastAsia="Arial" w:hAnsi="Arial" w:cs="Arial"/>
              </w:rPr>
              <w:t>identify strategies and programmatic steps to continue reducing stigma and discrimination in healthcare settings. To increase accountability, issues of stigma and discrimination will be included in the existing reporting procedures for medical professionals and leaders of healthcare organizations.</w:t>
            </w:r>
            <w:r w:rsidRPr="009D6B2A">
              <w:rPr>
                <w:rFonts w:ascii="Arial" w:eastAsia="Arial" w:hAnsi="Arial" w:cs="Arial"/>
                <w:lang w:val="en"/>
              </w:rPr>
              <w:t xml:space="preserve"> </w:t>
            </w:r>
          </w:p>
          <w:p w14:paraId="2A34BC1C" w14:textId="16617407" w:rsidR="00122703" w:rsidRPr="00E769B9" w:rsidRDefault="00122703" w:rsidP="00122703">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lang w:val="en"/>
              </w:rPr>
              <w:t>Increasing</w:t>
            </w:r>
            <w:r w:rsidRPr="00D74BE9">
              <w:rPr>
                <w:rFonts w:ascii="Arial" w:eastAsia="Arial" w:hAnsi="Arial" w:cs="Arial"/>
                <w:b/>
                <w:lang w:val="en"/>
              </w:rPr>
              <w:t xml:space="preserve"> access to justice</w:t>
            </w:r>
          </w:p>
          <w:p w14:paraId="44214F3F" w14:textId="2257D169" w:rsidR="00122703" w:rsidRPr="008E278F" w:rsidRDefault="00122703" w:rsidP="00122703">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122703">
              <w:rPr>
                <w:rFonts w:ascii="Arial" w:eastAsia="Arial" w:hAnsi="Arial" w:cs="Arial"/>
                <w:lang w:val="en"/>
              </w:rPr>
              <w:t xml:space="preserve">There will be continued documentation of all cases of rights violations, stigma and discrimination, denial of services for </w:t>
            </w:r>
            <w:r w:rsidR="00A9203D">
              <w:rPr>
                <w:rFonts w:ascii="Arial" w:eastAsia="Arial" w:hAnsi="Arial" w:cs="Arial"/>
                <w:lang w:val="en"/>
              </w:rPr>
              <w:t>PL</w:t>
            </w:r>
            <w:r w:rsidRPr="00122703">
              <w:rPr>
                <w:rFonts w:ascii="Arial" w:eastAsia="Arial" w:hAnsi="Arial" w:cs="Arial"/>
                <w:lang w:val="en"/>
              </w:rPr>
              <w:t xml:space="preserve">HIV and TB, as well as </w:t>
            </w:r>
            <w:r w:rsidR="00A9203D">
              <w:rPr>
                <w:rFonts w:ascii="Arial" w:eastAsia="Arial" w:hAnsi="Arial" w:cs="Arial"/>
                <w:lang w:val="en"/>
              </w:rPr>
              <w:t>KPs</w:t>
            </w:r>
            <w:r w:rsidRPr="00122703">
              <w:rPr>
                <w:rFonts w:ascii="Arial" w:eastAsia="Arial" w:hAnsi="Arial" w:cs="Arial"/>
                <w:lang w:val="en"/>
              </w:rPr>
              <w:t xml:space="preserve"> using electronic platforms </w:t>
            </w:r>
            <w:proofErr w:type="spellStart"/>
            <w:r w:rsidRPr="00122703">
              <w:rPr>
                <w:rFonts w:ascii="Arial" w:eastAsia="Arial" w:hAnsi="Arial" w:cs="Arial"/>
                <w:lang w:val="en"/>
              </w:rPr>
              <w:t>REAct</w:t>
            </w:r>
            <w:proofErr w:type="spellEnd"/>
            <w:r w:rsidRPr="00122703">
              <w:rPr>
                <w:rFonts w:ascii="Arial" w:eastAsia="Arial" w:hAnsi="Arial" w:cs="Arial"/>
                <w:lang w:val="en"/>
              </w:rPr>
              <w:t xml:space="preserve">, pereboi.kg, </w:t>
            </w:r>
            <w:proofErr w:type="spellStart"/>
            <w:r w:rsidRPr="00122703">
              <w:rPr>
                <w:rFonts w:ascii="Arial" w:eastAsia="Arial" w:hAnsi="Arial" w:cs="Arial"/>
                <w:lang w:val="en"/>
              </w:rPr>
              <w:t>OneImpact</w:t>
            </w:r>
            <w:proofErr w:type="spellEnd"/>
            <w:r w:rsidRPr="00122703">
              <w:rPr>
                <w:rFonts w:ascii="Arial" w:eastAsia="Arial" w:hAnsi="Arial" w:cs="Arial"/>
                <w:lang w:val="en"/>
              </w:rPr>
              <w:t xml:space="preserve"> and others. This work will continue through the paralegal model. Previously involved professional organizations will transfer this model to the management of local community organizations. The powers of paralegals will be expanded to be based in service organizations and coordinated by NGO leaders. Mentors in the first year will transfer their functions to the heads of networks and service organizations. The professional assistance of a lawyer for representatives of </w:t>
            </w:r>
            <w:r w:rsidR="008E278F">
              <w:rPr>
                <w:rFonts w:ascii="Arial" w:eastAsia="Arial" w:hAnsi="Arial" w:cs="Arial"/>
                <w:lang w:val="en"/>
              </w:rPr>
              <w:t>KP</w:t>
            </w:r>
            <w:r w:rsidRPr="00122703">
              <w:rPr>
                <w:rFonts w:ascii="Arial" w:eastAsia="Arial" w:hAnsi="Arial" w:cs="Arial"/>
                <w:lang w:val="en"/>
              </w:rPr>
              <w:t xml:space="preserve"> communities will be provided by an engaged lawyer on the basis of </w:t>
            </w:r>
            <w:r w:rsidR="008E278F">
              <w:rPr>
                <w:rFonts w:ascii="Arial" w:eastAsia="Arial" w:hAnsi="Arial" w:cs="Arial"/>
                <w:lang w:val="en"/>
              </w:rPr>
              <w:t xml:space="preserve">the state </w:t>
            </w:r>
            <w:r w:rsidRPr="00122703">
              <w:rPr>
                <w:rFonts w:ascii="Arial" w:eastAsia="Arial" w:hAnsi="Arial" w:cs="Arial"/>
                <w:lang w:val="en"/>
              </w:rPr>
              <w:t xml:space="preserve">guaranteed legal </w:t>
            </w:r>
            <w:r w:rsidR="008E278F">
              <w:rPr>
                <w:rFonts w:ascii="Arial" w:eastAsia="Arial" w:hAnsi="Arial" w:cs="Arial"/>
                <w:lang w:val="en"/>
              </w:rPr>
              <w:t>aid</w:t>
            </w:r>
            <w:r w:rsidRPr="00122703">
              <w:rPr>
                <w:rFonts w:ascii="Arial" w:eastAsia="Arial" w:hAnsi="Arial" w:cs="Arial"/>
                <w:lang w:val="en"/>
              </w:rPr>
              <w:t xml:space="preserve"> (</w:t>
            </w:r>
            <w:r w:rsidR="008E278F">
              <w:rPr>
                <w:rFonts w:ascii="Arial" w:eastAsia="Arial" w:hAnsi="Arial" w:cs="Arial"/>
                <w:lang w:val="en"/>
              </w:rPr>
              <w:t>SG</w:t>
            </w:r>
            <w:r w:rsidRPr="00122703">
              <w:rPr>
                <w:rFonts w:ascii="Arial" w:eastAsia="Arial" w:hAnsi="Arial" w:cs="Arial"/>
                <w:lang w:val="en"/>
              </w:rPr>
              <w:t xml:space="preserve">LA). The capacity of </w:t>
            </w:r>
            <w:r w:rsidR="008E278F">
              <w:rPr>
                <w:rFonts w:ascii="Arial" w:eastAsia="Arial" w:hAnsi="Arial" w:cs="Arial"/>
                <w:lang w:val="en"/>
              </w:rPr>
              <w:t>SGLA</w:t>
            </w:r>
            <w:r w:rsidRPr="00122703">
              <w:rPr>
                <w:rFonts w:ascii="Arial" w:eastAsia="Arial" w:hAnsi="Arial" w:cs="Arial"/>
                <w:lang w:val="en"/>
              </w:rPr>
              <w:t xml:space="preserve"> attorneys will be built as they become involved in training and advocacy activities.</w:t>
            </w:r>
          </w:p>
          <w:p w14:paraId="5B902580" w14:textId="36796E52" w:rsidR="008E278F" w:rsidRPr="00F46F5D" w:rsidRDefault="008E278F" w:rsidP="008E278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E278F">
              <w:rPr>
                <w:rFonts w:ascii="Arial" w:eastAsia="Arial" w:hAnsi="Arial" w:cs="Arial"/>
                <w:lang w:val="en"/>
              </w:rPr>
              <w:t xml:space="preserve">Legal counseling and protection will be provided in law enforcement agencies, places of detention, courts to PLHIV, people living with TB and </w:t>
            </w:r>
            <w:r>
              <w:rPr>
                <w:rFonts w:ascii="Arial" w:eastAsia="Arial" w:hAnsi="Arial" w:cs="Arial"/>
                <w:lang w:val="en"/>
              </w:rPr>
              <w:t>KPs</w:t>
            </w:r>
            <w:r w:rsidRPr="008E278F">
              <w:rPr>
                <w:rFonts w:ascii="Arial" w:eastAsia="Arial" w:hAnsi="Arial" w:cs="Arial"/>
                <w:lang w:val="en"/>
              </w:rPr>
              <w:t xml:space="preserve">, facing stigma and discrimination, as well as victims of gender-based and family violence. To this end, the </w:t>
            </w:r>
            <w:r>
              <w:rPr>
                <w:rFonts w:ascii="Arial" w:eastAsia="Arial" w:hAnsi="Arial" w:cs="Arial"/>
                <w:lang w:val="en"/>
              </w:rPr>
              <w:t>instruments</w:t>
            </w:r>
            <w:r w:rsidRPr="008E278F">
              <w:rPr>
                <w:rFonts w:ascii="Arial" w:eastAsia="Arial" w:hAnsi="Arial" w:cs="Arial"/>
                <w:lang w:val="en"/>
              </w:rPr>
              <w:t xml:space="preserve"> provided by the KR legislation will be used, including the services of lawyers; paralegals/rights specialists and mentors. Lawyers from the </w:t>
            </w:r>
            <w:r w:rsidR="00D30FD3">
              <w:rPr>
                <w:rFonts w:ascii="Arial" w:eastAsia="Arial" w:hAnsi="Arial" w:cs="Arial"/>
                <w:lang w:val="en"/>
              </w:rPr>
              <w:t>SGLA</w:t>
            </w:r>
            <w:r w:rsidRPr="008E278F">
              <w:rPr>
                <w:rFonts w:ascii="Arial" w:eastAsia="Arial" w:hAnsi="Arial" w:cs="Arial"/>
                <w:lang w:val="en"/>
              </w:rPr>
              <w:t xml:space="preserve"> registry will provide assistance to </w:t>
            </w:r>
            <w:r w:rsidR="00B65EC9">
              <w:rPr>
                <w:rFonts w:ascii="Arial" w:eastAsia="Arial" w:hAnsi="Arial" w:cs="Arial"/>
                <w:lang w:val="en"/>
              </w:rPr>
              <w:t>KPs</w:t>
            </w:r>
            <w:r w:rsidRPr="008E278F">
              <w:rPr>
                <w:rFonts w:ascii="Arial" w:eastAsia="Arial" w:hAnsi="Arial" w:cs="Arial"/>
                <w:lang w:val="en"/>
              </w:rPr>
              <w:t xml:space="preserve">, including PLHIV in detention, people living with TB, and </w:t>
            </w:r>
            <w:r w:rsidR="00F46F5D">
              <w:rPr>
                <w:rFonts w:ascii="Arial" w:eastAsia="Arial" w:hAnsi="Arial" w:cs="Arial"/>
                <w:lang w:val="en"/>
              </w:rPr>
              <w:t>KPs</w:t>
            </w:r>
            <w:r w:rsidRPr="008E278F">
              <w:rPr>
                <w:rFonts w:ascii="Arial" w:eastAsia="Arial" w:hAnsi="Arial" w:cs="Arial"/>
                <w:lang w:val="en"/>
              </w:rPr>
              <w:t xml:space="preserve"> who do not have physical access to a lawyer. In addition, paralegals will assist clients of HIV and TB programs in recovering documents for official documentation of identity (passport; birth certificate, etc.); provide information on rights; and provide support and accompaniment to clients as needed.</w:t>
            </w:r>
          </w:p>
          <w:p w14:paraId="43FB9330" w14:textId="72043E51" w:rsidR="008E278F" w:rsidRPr="008E278F" w:rsidRDefault="008E278F" w:rsidP="008E278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8E278F">
              <w:rPr>
                <w:rFonts w:ascii="Arial" w:eastAsia="Arial" w:hAnsi="Arial" w:cs="Arial"/>
                <w:lang w:val="en"/>
              </w:rPr>
              <w:t xml:space="preserve">Proposals will be developed for a draft </w:t>
            </w:r>
            <w:r w:rsidR="00F46F5D">
              <w:rPr>
                <w:rFonts w:ascii="Arial" w:eastAsia="Arial" w:hAnsi="Arial" w:cs="Arial"/>
                <w:lang w:val="en"/>
              </w:rPr>
              <w:t>bylaw</w:t>
            </w:r>
            <w:r w:rsidRPr="008E278F">
              <w:rPr>
                <w:rFonts w:ascii="Arial" w:eastAsia="Arial" w:hAnsi="Arial" w:cs="Arial"/>
                <w:lang w:val="en"/>
              </w:rPr>
              <w:t>/interdepartmental document to address documentation problems, as well as a mechanism for official certification/training of paralegals. Paralegals and professionals who work with P</w:t>
            </w:r>
            <w:r w:rsidR="00DE4ED6">
              <w:rPr>
                <w:rFonts w:ascii="Arial" w:eastAsia="Arial" w:hAnsi="Arial" w:cs="Arial"/>
                <w:lang w:val="en"/>
              </w:rPr>
              <w:t>W</w:t>
            </w:r>
            <w:r w:rsidRPr="008E278F">
              <w:rPr>
                <w:rFonts w:ascii="Arial" w:eastAsia="Arial" w:hAnsi="Arial" w:cs="Arial"/>
                <w:lang w:val="en"/>
              </w:rPr>
              <w:t xml:space="preserve">UD will be trained on the </w:t>
            </w:r>
            <w:r w:rsidR="00DE4ED6">
              <w:rPr>
                <w:rFonts w:ascii="Arial" w:eastAsia="Arial" w:hAnsi="Arial" w:cs="Arial"/>
                <w:lang w:val="en"/>
              </w:rPr>
              <w:t>NPAS users</w:t>
            </w:r>
            <w:r w:rsidRPr="008E278F">
              <w:rPr>
                <w:rFonts w:ascii="Arial" w:eastAsia="Arial" w:hAnsi="Arial" w:cs="Arial"/>
                <w:lang w:val="en"/>
              </w:rPr>
              <w:t xml:space="preserve"> legal assistance social networks.</w:t>
            </w:r>
          </w:p>
          <w:p w14:paraId="161B2BC3" w14:textId="77777777" w:rsidR="00662E6E" w:rsidRPr="00127F08" w:rsidRDefault="008E278F" w:rsidP="00127F0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3E1B5C">
              <w:rPr>
                <w:rFonts w:ascii="Arial" w:eastAsia="Arial" w:hAnsi="Arial" w:cs="Arial"/>
                <w:lang w:val="en"/>
              </w:rPr>
              <w:t>The two community networks will provide comprehensive assistance to clients of HIV and TB programs, including community mobilization to create an enabling legal environment for HIV and TB programs. They will conduct advocacy activities, develop unified approaches for NGOs, and coordinate common NGO activities.</w:t>
            </w:r>
          </w:p>
          <w:p w14:paraId="65027EC7" w14:textId="662825D3" w:rsidR="00127F08" w:rsidRPr="00127F08" w:rsidRDefault="00127F08" w:rsidP="00127F0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127F08">
              <w:rPr>
                <w:rFonts w:ascii="Arial" w:eastAsia="Arial" w:hAnsi="Arial" w:cs="Arial"/>
                <w:lang w:val="en"/>
              </w:rPr>
              <w:t xml:space="preserve">Stakeholders from other HIV&amp; TB Projects will participate in development of guidelines for law on legal aid implementation. They will work together with the GF Project on institutionalization of paralegals through state funding or conclusion of social contracts. Information about free legal aid and access to it will be shared among </w:t>
            </w:r>
            <w:r>
              <w:rPr>
                <w:rFonts w:ascii="Arial" w:eastAsia="Arial" w:hAnsi="Arial" w:cs="Arial"/>
                <w:lang w:val="en"/>
              </w:rPr>
              <w:t>KPs</w:t>
            </w:r>
            <w:r w:rsidRPr="00127F08">
              <w:rPr>
                <w:rFonts w:ascii="Arial" w:eastAsia="Arial" w:hAnsi="Arial" w:cs="Arial"/>
                <w:lang w:val="en"/>
              </w:rPr>
              <w:t xml:space="preserve"> through paralegals, peer consultants and outreach workers.</w:t>
            </w:r>
          </w:p>
          <w:p w14:paraId="76D5CBD3" w14:textId="533FD71E" w:rsidR="00A61C64" w:rsidRPr="0031426B" w:rsidRDefault="00A61C64" w:rsidP="00A61C6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A61C64">
              <w:rPr>
                <w:rFonts w:ascii="Arial" w:eastAsia="Arial" w:hAnsi="Arial" w:cs="Arial"/>
                <w:b/>
                <w:bCs/>
                <w:lang w:val="en"/>
              </w:rPr>
              <w:t>Ensuring rights-based law enforcement practices</w:t>
            </w:r>
          </w:p>
          <w:p w14:paraId="607EB0EC" w14:textId="56A67AFD" w:rsidR="0031426B" w:rsidRPr="0031426B" w:rsidRDefault="0031426B" w:rsidP="0031426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31426B">
              <w:rPr>
                <w:rFonts w:ascii="Arial" w:eastAsia="Arial" w:hAnsi="Arial" w:cs="Arial"/>
                <w:lang w:val="en"/>
              </w:rPr>
              <w:t xml:space="preserve">Legal issues on HIV and TB will remain a part of the professional training system of </w:t>
            </w:r>
            <w:r>
              <w:rPr>
                <w:rFonts w:ascii="Arial" w:eastAsia="Arial" w:hAnsi="Arial" w:cs="Arial"/>
                <w:lang w:val="en"/>
              </w:rPr>
              <w:t>law enforcement authorities including penitentiary system</w:t>
            </w:r>
            <w:r w:rsidRPr="0031426B">
              <w:rPr>
                <w:rFonts w:ascii="Arial" w:eastAsia="Arial" w:hAnsi="Arial" w:cs="Arial"/>
                <w:lang w:val="en"/>
              </w:rPr>
              <w:t xml:space="preserve"> for training activities. Guidelines will be developed and specialists and psychologists of probation bodies </w:t>
            </w:r>
            <w:r w:rsidRPr="0031426B">
              <w:rPr>
                <w:rFonts w:ascii="Arial" w:eastAsia="Arial" w:hAnsi="Arial" w:cs="Arial"/>
                <w:lang w:val="en"/>
              </w:rPr>
              <w:lastRenderedPageBreak/>
              <w:t xml:space="preserve">involved in the preparation of probation reports on the special needs of key populations, PLHIV and TB patients will be trained. Prison staff, lawyers and </w:t>
            </w:r>
            <w:r>
              <w:rPr>
                <w:rFonts w:ascii="Arial" w:eastAsia="Arial" w:hAnsi="Arial" w:cs="Arial"/>
                <w:lang w:val="en"/>
              </w:rPr>
              <w:t>SGLA</w:t>
            </w:r>
            <w:r w:rsidRPr="0031426B">
              <w:rPr>
                <w:rFonts w:ascii="Arial" w:eastAsia="Arial" w:hAnsi="Arial" w:cs="Arial"/>
                <w:lang w:val="en"/>
              </w:rPr>
              <w:t xml:space="preserve"> lawyers will also be trained.</w:t>
            </w:r>
          </w:p>
          <w:p w14:paraId="77563582" w14:textId="5E552BD4" w:rsidR="0031426B" w:rsidRPr="0031426B" w:rsidRDefault="00DC6CAE" w:rsidP="0031426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Pr>
                <w:rFonts w:ascii="Arial" w:eastAsia="Arial" w:hAnsi="Arial" w:cs="Arial"/>
                <w:lang w:val="en"/>
              </w:rPr>
              <w:t>Lawyers</w:t>
            </w:r>
            <w:r w:rsidR="0031426B" w:rsidRPr="0031426B">
              <w:rPr>
                <w:rFonts w:ascii="Arial" w:eastAsia="Arial" w:hAnsi="Arial" w:cs="Arial"/>
                <w:lang w:val="en"/>
              </w:rPr>
              <w:t xml:space="preserve">, including those involved in </w:t>
            </w:r>
            <w:r w:rsidR="0059631B">
              <w:rPr>
                <w:rFonts w:ascii="Arial" w:eastAsia="Arial" w:hAnsi="Arial" w:cs="Arial"/>
                <w:lang w:val="en"/>
              </w:rPr>
              <w:t>SGLA</w:t>
            </w:r>
            <w:r w:rsidR="0031426B" w:rsidRPr="0031426B">
              <w:rPr>
                <w:rFonts w:ascii="Arial" w:eastAsia="Arial" w:hAnsi="Arial" w:cs="Arial"/>
                <w:lang w:val="en"/>
              </w:rPr>
              <w:t xml:space="preserve">, will be trained in the field on HIV and TB legal issues in order to increase adherence to HIV and TB prevention programs. The </w:t>
            </w:r>
            <w:r w:rsidR="0059631B">
              <w:rPr>
                <w:rFonts w:ascii="Arial" w:eastAsia="Arial" w:hAnsi="Arial" w:cs="Arial"/>
                <w:lang w:val="en"/>
              </w:rPr>
              <w:t>SGLA</w:t>
            </w:r>
            <w:r w:rsidR="0059631B" w:rsidRPr="0031426B">
              <w:rPr>
                <w:rFonts w:ascii="Arial" w:eastAsia="Arial" w:hAnsi="Arial" w:cs="Arial"/>
                <w:lang w:val="en"/>
              </w:rPr>
              <w:t xml:space="preserve"> </w:t>
            </w:r>
            <w:r w:rsidR="0031426B" w:rsidRPr="0031426B">
              <w:rPr>
                <w:rFonts w:ascii="Arial" w:eastAsia="Arial" w:hAnsi="Arial" w:cs="Arial"/>
                <w:lang w:val="en"/>
              </w:rPr>
              <w:t xml:space="preserve">mechanisms will be reviewed and amended to adapt them to the specificities and needs of </w:t>
            </w:r>
            <w:r w:rsidR="00337ACF">
              <w:rPr>
                <w:rFonts w:ascii="Arial" w:eastAsia="Arial" w:hAnsi="Arial" w:cs="Arial"/>
                <w:lang w:val="en"/>
              </w:rPr>
              <w:t>KPs</w:t>
            </w:r>
            <w:r w:rsidR="0031426B" w:rsidRPr="0031426B">
              <w:rPr>
                <w:rFonts w:ascii="Arial" w:eastAsia="Arial" w:hAnsi="Arial" w:cs="Arial"/>
                <w:lang w:val="en"/>
              </w:rPr>
              <w:t xml:space="preserve"> to overcome HIV and TB-related stigma and discrimination. </w:t>
            </w:r>
          </w:p>
          <w:p w14:paraId="103C37F7" w14:textId="7A7E952A" w:rsidR="00127F08" w:rsidRPr="00AA4144" w:rsidRDefault="0031426B" w:rsidP="0031426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31426B">
              <w:rPr>
                <w:rFonts w:ascii="Arial" w:eastAsia="Arial" w:hAnsi="Arial" w:cs="Arial"/>
                <w:lang w:val="en"/>
              </w:rPr>
              <w:t>Based on an approved special course related to HIV, TB and related issues, short courses will be developed at the MIA Academy for mid-level and junior law enforcement professionals. They will include legal aspects of HIV infection, issues of overcoming stigma and towards PLHIV, KPs and people with TB. The support of these courses will contribute to the effectiveness of the ongoing programs.</w:t>
            </w:r>
          </w:p>
          <w:p w14:paraId="713BC7C8" w14:textId="6029252A" w:rsidR="00127F08" w:rsidRPr="00AA4144" w:rsidRDefault="00AA4144" w:rsidP="00AA4144">
            <w:pPr>
              <w:pStyle w:val="Default"/>
              <w:spacing w:after="120"/>
              <w:jc w:val="both"/>
              <w:cnfStyle w:val="000000100000" w:firstRow="0" w:lastRow="0" w:firstColumn="0" w:lastColumn="0" w:oddVBand="0" w:evenVBand="0" w:oddHBand="1" w:evenHBand="0" w:firstRowFirstColumn="0" w:firstRowLastColumn="0" w:lastRowFirstColumn="0" w:lastRowLastColumn="0"/>
              <w:rPr>
                <w:rFonts w:eastAsia="Arial"/>
                <w:b/>
                <w:bCs/>
                <w:color w:val="auto"/>
                <w:sz w:val="22"/>
                <w:szCs w:val="22"/>
                <w:lang w:val="en"/>
              </w:rPr>
            </w:pPr>
            <w:r w:rsidRPr="00AA4144">
              <w:rPr>
                <w:rFonts w:eastAsia="Arial"/>
                <w:b/>
                <w:bCs/>
                <w:color w:val="auto"/>
                <w:sz w:val="22"/>
                <w:szCs w:val="22"/>
                <w:lang w:val="en"/>
              </w:rPr>
              <w:t>Reducing HIV-related gender discrimination, harmful gender norms and violence against women and girls in all their diversity</w:t>
            </w:r>
          </w:p>
          <w:p w14:paraId="1DAB782B" w14:textId="36C2A3F8" w:rsidR="006573F6" w:rsidRPr="006573F6" w:rsidRDefault="006573F6" w:rsidP="006573F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573F6">
              <w:rPr>
                <w:rFonts w:ascii="Arial" w:eastAsia="Arial" w:hAnsi="Arial" w:cs="Arial"/>
                <w:lang w:val="en"/>
              </w:rPr>
              <w:t xml:space="preserve">Existing facts of stigmatization and discrimination of </w:t>
            </w:r>
            <w:r>
              <w:rPr>
                <w:rFonts w:ascii="Arial" w:eastAsia="Arial" w:hAnsi="Arial" w:cs="Arial"/>
                <w:lang w:val="en"/>
              </w:rPr>
              <w:t>PL</w:t>
            </w:r>
            <w:r w:rsidRPr="006573F6">
              <w:rPr>
                <w:rFonts w:ascii="Arial" w:eastAsia="Arial" w:hAnsi="Arial" w:cs="Arial"/>
                <w:lang w:val="en"/>
              </w:rPr>
              <w:t>HIV</w:t>
            </w:r>
            <w:r>
              <w:rPr>
                <w:rFonts w:ascii="Arial" w:eastAsia="Arial" w:hAnsi="Arial" w:cs="Arial"/>
                <w:lang w:val="en"/>
              </w:rPr>
              <w:t>,</w:t>
            </w:r>
            <w:r w:rsidRPr="006573F6">
              <w:rPr>
                <w:rFonts w:ascii="Arial" w:eastAsia="Arial" w:hAnsi="Arial" w:cs="Arial"/>
                <w:lang w:val="en"/>
              </w:rPr>
              <w:t xml:space="preserve"> TB, </w:t>
            </w:r>
            <w:r>
              <w:rPr>
                <w:rFonts w:ascii="Arial" w:eastAsia="Arial" w:hAnsi="Arial" w:cs="Arial"/>
                <w:lang w:val="en"/>
              </w:rPr>
              <w:t>KPs</w:t>
            </w:r>
            <w:r w:rsidRPr="006573F6">
              <w:rPr>
                <w:rFonts w:ascii="Arial" w:eastAsia="Arial" w:hAnsi="Arial" w:cs="Arial"/>
                <w:lang w:val="en"/>
              </w:rPr>
              <w:t xml:space="preserve">, gender discrimination and violence will be included in </w:t>
            </w:r>
            <w:r w:rsidR="00CF0714">
              <w:rPr>
                <w:rFonts w:ascii="Arial" w:eastAsia="Arial" w:hAnsi="Arial" w:cs="Arial"/>
                <w:lang w:val="en"/>
              </w:rPr>
              <w:t>shadow</w:t>
            </w:r>
            <w:r w:rsidRPr="006573F6">
              <w:rPr>
                <w:rFonts w:ascii="Arial" w:eastAsia="Arial" w:hAnsi="Arial" w:cs="Arial"/>
                <w:lang w:val="en"/>
              </w:rPr>
              <w:t xml:space="preserve"> reports on implementation of the country's human rights obligations under the treaty bodies (CEDAW). Recommendations of international committees will be included in state plans and strategies and their implementation will be monitored. </w:t>
            </w:r>
          </w:p>
          <w:p w14:paraId="562DC7A9" w14:textId="42DDEB7D" w:rsidR="006573F6" w:rsidRPr="006573F6" w:rsidRDefault="006573F6" w:rsidP="006573F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573F6">
              <w:rPr>
                <w:rFonts w:ascii="Arial" w:eastAsia="Arial" w:hAnsi="Arial" w:cs="Arial"/>
                <w:lang w:val="en"/>
              </w:rPr>
              <w:t xml:space="preserve">In 2025 there will be an assessment of the level of gender violence and gender inequality in relation to representatives of people living with HIV and with TB and </w:t>
            </w:r>
            <w:r w:rsidR="00A52F4F">
              <w:rPr>
                <w:rFonts w:ascii="Arial" w:eastAsia="Arial" w:hAnsi="Arial" w:cs="Arial"/>
                <w:lang w:val="en"/>
              </w:rPr>
              <w:t>KPs</w:t>
            </w:r>
            <w:r w:rsidRPr="006573F6">
              <w:rPr>
                <w:rFonts w:ascii="Arial" w:eastAsia="Arial" w:hAnsi="Arial" w:cs="Arial"/>
                <w:lang w:val="en"/>
              </w:rPr>
              <w:t>, as well as the impact of gender inequality on access to programs to prevent and treat HIV and TB.</w:t>
            </w:r>
          </w:p>
          <w:p w14:paraId="35518785" w14:textId="77777777" w:rsidR="006573F6" w:rsidRPr="006573F6" w:rsidRDefault="006573F6" w:rsidP="006573F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573F6">
              <w:rPr>
                <w:rFonts w:ascii="Arial" w:eastAsia="Arial" w:hAnsi="Arial" w:cs="Arial"/>
                <w:lang w:val="en"/>
              </w:rPr>
              <w:t>Gender expertise will be provided on HIV and TB normative legal acts developed in the country, as well as gender expertise on PWUD programs. Guidelines for gender planning/monitoring and gender sensitivity assessment of HIV and TB programs will be developed and community representatives will be trained to use them.</w:t>
            </w:r>
          </w:p>
          <w:p w14:paraId="13C8CD17" w14:textId="2E6D557E" w:rsidR="006573F6" w:rsidRPr="006573F6" w:rsidRDefault="006573F6" w:rsidP="006573F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573F6">
              <w:rPr>
                <w:rFonts w:ascii="Arial" w:eastAsia="Arial" w:hAnsi="Arial" w:cs="Arial"/>
                <w:lang w:val="en"/>
              </w:rPr>
              <w:t xml:space="preserve">A human rights and gender thematic group will be added to the </w:t>
            </w:r>
            <w:r w:rsidR="000F657E">
              <w:rPr>
                <w:rFonts w:ascii="Arial" w:eastAsia="Arial" w:hAnsi="Arial" w:cs="Arial"/>
                <w:lang w:val="en"/>
              </w:rPr>
              <w:t>PHCC</w:t>
            </w:r>
            <w:r w:rsidRPr="006573F6">
              <w:rPr>
                <w:rFonts w:ascii="Arial" w:eastAsia="Arial" w:hAnsi="Arial" w:cs="Arial"/>
                <w:lang w:val="en"/>
              </w:rPr>
              <w:t xml:space="preserve"> HIV and TB Committee, with an expert in the field to provide gender expertise on developing normative legal acts; strategies, funding applications to the GF and other international institutions. </w:t>
            </w:r>
          </w:p>
          <w:p w14:paraId="1970A1AE" w14:textId="47D150CB" w:rsidR="006573F6" w:rsidRPr="006573F6" w:rsidRDefault="006573F6" w:rsidP="006573F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573F6">
              <w:rPr>
                <w:rFonts w:ascii="Arial" w:eastAsia="Arial" w:hAnsi="Arial" w:cs="Arial"/>
                <w:lang w:val="en"/>
              </w:rPr>
              <w:t xml:space="preserve">The work of one crisis center will be supported for women from PLHIV and </w:t>
            </w:r>
            <w:r w:rsidR="00AA1261">
              <w:rPr>
                <w:rFonts w:ascii="Arial" w:eastAsia="Arial" w:hAnsi="Arial" w:cs="Arial"/>
                <w:lang w:val="en"/>
              </w:rPr>
              <w:t>KPs</w:t>
            </w:r>
            <w:r w:rsidRPr="006573F6">
              <w:rPr>
                <w:rFonts w:ascii="Arial" w:eastAsia="Arial" w:hAnsi="Arial" w:cs="Arial"/>
                <w:lang w:val="en"/>
              </w:rPr>
              <w:t>, who are in a difficult life situation or are victims of violence. It is designed to accommodate 10 people per month. The center provides temporary accommodation, domestic services, HIV testing, training, social support and psychological support.</w:t>
            </w:r>
          </w:p>
          <w:p w14:paraId="59A1AD9F" w14:textId="50360924" w:rsidR="00127F08" w:rsidRPr="00AA1261" w:rsidRDefault="006573F6" w:rsidP="00AA126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n"/>
              </w:rPr>
            </w:pPr>
            <w:r w:rsidRPr="006573F6">
              <w:rPr>
                <w:rFonts w:ascii="Arial" w:eastAsia="Arial" w:hAnsi="Arial" w:cs="Arial"/>
                <w:lang w:val="en"/>
              </w:rPr>
              <w:t>Two NGO networks will be supported to conduct advocacy activities, develop unified approaches for NGOs, and coordinate common NGO activities.</w:t>
            </w:r>
          </w:p>
        </w:tc>
      </w:tr>
      <w:tr w:rsidR="00662E6E" w14:paraId="4883E562" w14:textId="77777777" w:rsidTr="00294243">
        <w:tc>
          <w:tcPr>
            <w:tcW w:w="2547" w:type="dxa"/>
          </w:tcPr>
          <w:p w14:paraId="3BF36F68" w14:textId="77777777" w:rsidR="00662E6E" w:rsidRDefault="00662E6E" w:rsidP="0026062D">
            <w:pPr>
              <w:pStyle w:val="BodyText"/>
              <w:widowControl w:val="0"/>
              <w:spacing w:line="240" w:lineRule="auto"/>
              <w:cnfStyle w:val="001000000000" w:firstRow="0" w:lastRow="0" w:firstColumn="1" w:lastColumn="0" w:oddVBand="0" w:evenVBand="0" w:oddHBand="0" w:evenHBand="0" w:firstRowFirstColumn="0" w:firstRowLastColumn="0" w:lastRowFirstColumn="0" w:lastRowLastColumn="0"/>
            </w:pPr>
            <w:r>
              <w:lastRenderedPageBreak/>
              <w:t xml:space="preserve">Population, geographies and/or </w:t>
            </w:r>
            <w:r>
              <w:lastRenderedPageBreak/>
              <w:t>barriers addressed</w:t>
            </w:r>
          </w:p>
        </w:tc>
        <w:tc>
          <w:tcPr>
            <w:tcW w:w="12616" w:type="dxa"/>
          </w:tcPr>
          <w:p w14:paraId="3F9298EA" w14:textId="77777777" w:rsidR="00905DC6" w:rsidRDefault="00905DC6" w:rsidP="00905DC6">
            <w:pPr>
              <w:spacing w:line="264" w:lineRule="auto"/>
              <w:jc w:val="both"/>
              <w:rPr>
                <w:rFonts w:ascii="Arial" w:eastAsia="Arial" w:hAnsi="Arial" w:cs="Arial"/>
                <w:szCs w:val="20"/>
              </w:rPr>
            </w:pPr>
            <w:r>
              <w:rPr>
                <w:rFonts w:ascii="Arial" w:eastAsia="Arial" w:hAnsi="Arial" w:cs="Arial"/>
                <w:szCs w:val="20"/>
                <w:lang w:val="en"/>
              </w:rPr>
              <w:lastRenderedPageBreak/>
              <w:t>PLHIV and TB; KPs, their close environment, including women, government officials</w:t>
            </w:r>
          </w:p>
          <w:p w14:paraId="15EE4163" w14:textId="2713D9AD" w:rsidR="00905DC6" w:rsidRPr="00E769B9" w:rsidRDefault="00905DC6" w:rsidP="00905DC6">
            <w:pPr>
              <w:spacing w:line="264" w:lineRule="auto"/>
              <w:jc w:val="both"/>
              <w:rPr>
                <w:rFonts w:ascii="Arial" w:eastAsia="Arial" w:hAnsi="Arial" w:cs="Arial"/>
                <w:szCs w:val="20"/>
              </w:rPr>
            </w:pPr>
            <w:r w:rsidRPr="0082716A">
              <w:rPr>
                <w:rFonts w:ascii="Arial" w:eastAsia="Arial" w:hAnsi="Arial" w:cs="Arial"/>
                <w:szCs w:val="20"/>
                <w:lang w:val="en"/>
              </w:rPr>
              <w:lastRenderedPageBreak/>
              <w:t>Kyrgyz Republic.</w:t>
            </w:r>
          </w:p>
          <w:p w14:paraId="09211D24" w14:textId="392157FE" w:rsidR="00933505" w:rsidRPr="00933505" w:rsidRDefault="00933505" w:rsidP="00933505">
            <w:pPr>
              <w:spacing w:line="264" w:lineRule="auto"/>
              <w:jc w:val="both"/>
              <w:rPr>
                <w:rFonts w:ascii="Arial" w:eastAsia="Arial" w:hAnsi="Arial" w:cs="Arial"/>
                <w:szCs w:val="20"/>
                <w:lang w:val="en"/>
              </w:rPr>
            </w:pPr>
            <w:r w:rsidRPr="00933505">
              <w:rPr>
                <w:rFonts w:ascii="Arial" w:eastAsia="Arial" w:hAnsi="Arial" w:cs="Arial"/>
                <w:szCs w:val="20"/>
                <w:lang w:val="en"/>
              </w:rPr>
              <w:t xml:space="preserve">The continuing economic instability, accompanied by political disagreements, leads to political turbulence, pressure on civil sector organizations and independent media; political instability in the country (change of power, structural changes in the government, widespread protests, mass detentions of civil activists, etc.). The new composition of the parliament includes people previously not involved in political activities, who initiate draft laws that discriminate </w:t>
            </w:r>
            <w:r w:rsidR="008238CE">
              <w:rPr>
                <w:rFonts w:ascii="Arial" w:eastAsia="Arial" w:hAnsi="Arial" w:cs="Arial"/>
                <w:szCs w:val="20"/>
                <w:lang w:val="en"/>
              </w:rPr>
              <w:t>KPs</w:t>
            </w:r>
            <w:r w:rsidRPr="00933505">
              <w:rPr>
                <w:rFonts w:ascii="Arial" w:eastAsia="Arial" w:hAnsi="Arial" w:cs="Arial"/>
                <w:szCs w:val="20"/>
                <w:lang w:val="en"/>
              </w:rPr>
              <w:t xml:space="preserve"> and civil society as a whole. Thus, there is a promotion of discriminatory laws against NGOs (Foreign Agents Law, re-registration requirement, additional reporting by NGOs, etc.). This leads to the loss of previous </w:t>
            </w:r>
            <w:r w:rsidR="002F539B">
              <w:rPr>
                <w:rFonts w:ascii="Arial" w:eastAsia="Arial" w:hAnsi="Arial" w:cs="Arial"/>
                <w:szCs w:val="20"/>
                <w:lang w:val="en"/>
              </w:rPr>
              <w:t>gains</w:t>
            </w:r>
            <w:r w:rsidRPr="00933505">
              <w:rPr>
                <w:rFonts w:ascii="Arial" w:eastAsia="Arial" w:hAnsi="Arial" w:cs="Arial"/>
                <w:szCs w:val="20"/>
                <w:lang w:val="en"/>
              </w:rPr>
              <w:t xml:space="preserve"> in ensuring the rights of </w:t>
            </w:r>
            <w:r w:rsidR="004965DA">
              <w:rPr>
                <w:rFonts w:ascii="Arial" w:eastAsia="Arial" w:hAnsi="Arial" w:cs="Arial"/>
                <w:szCs w:val="20"/>
                <w:lang w:val="en"/>
              </w:rPr>
              <w:t>KPs</w:t>
            </w:r>
            <w:r w:rsidRPr="00933505">
              <w:rPr>
                <w:rFonts w:ascii="Arial" w:eastAsia="Arial" w:hAnsi="Arial" w:cs="Arial"/>
                <w:szCs w:val="20"/>
                <w:lang w:val="en"/>
              </w:rPr>
              <w:t xml:space="preserve"> (for example, the abolition of biological sex correction); requires the organization of work to inform decision-makers; the inclusion of the ombudsman institution in ensuring the rights of </w:t>
            </w:r>
            <w:r w:rsidR="00DB4FB5">
              <w:rPr>
                <w:rFonts w:ascii="Arial" w:eastAsia="Arial" w:hAnsi="Arial" w:cs="Arial"/>
                <w:szCs w:val="20"/>
                <w:lang w:val="en"/>
              </w:rPr>
              <w:t>KPs</w:t>
            </w:r>
            <w:r w:rsidRPr="00933505">
              <w:rPr>
                <w:rFonts w:ascii="Arial" w:eastAsia="Arial" w:hAnsi="Arial" w:cs="Arial"/>
                <w:szCs w:val="20"/>
                <w:lang w:val="en"/>
              </w:rPr>
              <w:t xml:space="preserve"> to access to prevention and treatment programs. </w:t>
            </w:r>
          </w:p>
          <w:p w14:paraId="5667AF44" w14:textId="006F04E2" w:rsidR="00933505" w:rsidRPr="00933505" w:rsidRDefault="00933505" w:rsidP="00933505">
            <w:pPr>
              <w:spacing w:line="264" w:lineRule="auto"/>
              <w:jc w:val="both"/>
              <w:rPr>
                <w:rFonts w:ascii="Arial" w:eastAsia="Arial" w:hAnsi="Arial" w:cs="Arial"/>
                <w:szCs w:val="20"/>
                <w:lang w:val="en"/>
              </w:rPr>
            </w:pPr>
            <w:r w:rsidRPr="00933505">
              <w:rPr>
                <w:rFonts w:ascii="Arial" w:eastAsia="Arial" w:hAnsi="Arial" w:cs="Arial"/>
                <w:szCs w:val="20"/>
                <w:lang w:val="en"/>
              </w:rPr>
              <w:t xml:space="preserve">There is a deterioration of interaction between law enforcement agencies and NGOs. Thus, the continued pressure on </w:t>
            </w:r>
            <w:r w:rsidR="00847D9C">
              <w:rPr>
                <w:rFonts w:ascii="Arial" w:eastAsia="Arial" w:hAnsi="Arial" w:cs="Arial"/>
                <w:szCs w:val="20"/>
                <w:lang w:val="en"/>
              </w:rPr>
              <w:t>KPs</w:t>
            </w:r>
            <w:r w:rsidRPr="00933505">
              <w:rPr>
                <w:rFonts w:ascii="Arial" w:eastAsia="Arial" w:hAnsi="Arial" w:cs="Arial"/>
                <w:szCs w:val="20"/>
                <w:lang w:val="en"/>
              </w:rPr>
              <w:t xml:space="preserve"> by law enforcement agencies does not allow to achieve the indicators of the GF project, for example, to work with S</w:t>
            </w:r>
            <w:r w:rsidR="0062376A">
              <w:rPr>
                <w:rFonts w:ascii="Arial" w:eastAsia="Arial" w:hAnsi="Arial" w:cs="Arial"/>
                <w:szCs w:val="20"/>
                <w:lang w:val="en"/>
              </w:rPr>
              <w:t>W</w:t>
            </w:r>
            <w:r w:rsidRPr="00933505">
              <w:rPr>
                <w:rFonts w:ascii="Arial" w:eastAsia="Arial" w:hAnsi="Arial" w:cs="Arial"/>
                <w:szCs w:val="20"/>
                <w:lang w:val="en"/>
              </w:rPr>
              <w:t>s.</w:t>
            </w:r>
          </w:p>
          <w:p w14:paraId="62BB9E97" w14:textId="2428451C" w:rsidR="00933505" w:rsidRPr="00933505" w:rsidRDefault="00933505" w:rsidP="00933505">
            <w:pPr>
              <w:spacing w:line="264" w:lineRule="auto"/>
              <w:jc w:val="both"/>
              <w:rPr>
                <w:rFonts w:ascii="Arial" w:eastAsia="Arial" w:hAnsi="Arial" w:cs="Arial"/>
                <w:szCs w:val="20"/>
                <w:lang w:val="en"/>
              </w:rPr>
            </w:pPr>
            <w:r w:rsidRPr="00933505">
              <w:rPr>
                <w:rFonts w:ascii="Arial" w:eastAsia="Arial" w:hAnsi="Arial" w:cs="Arial"/>
                <w:szCs w:val="20"/>
                <w:lang w:val="en"/>
              </w:rPr>
              <w:t xml:space="preserve">Stigmatization in the community, family and health care </w:t>
            </w:r>
            <w:r w:rsidR="00AA43DB">
              <w:rPr>
                <w:rFonts w:ascii="Arial" w:eastAsia="Arial" w:hAnsi="Arial" w:cs="Arial"/>
                <w:szCs w:val="20"/>
                <w:lang w:val="en"/>
              </w:rPr>
              <w:t>facilities</w:t>
            </w:r>
            <w:r w:rsidRPr="00933505">
              <w:rPr>
                <w:rFonts w:ascii="Arial" w:eastAsia="Arial" w:hAnsi="Arial" w:cs="Arial"/>
                <w:szCs w:val="20"/>
                <w:lang w:val="en"/>
              </w:rPr>
              <w:t xml:space="preserve"> leads to the </w:t>
            </w:r>
            <w:r w:rsidR="00490124">
              <w:rPr>
                <w:rFonts w:ascii="Arial" w:eastAsia="Arial" w:hAnsi="Arial" w:cs="Arial"/>
                <w:szCs w:val="20"/>
                <w:lang w:val="en"/>
              </w:rPr>
              <w:t>loss to follow-up</w:t>
            </w:r>
            <w:r w:rsidRPr="00933505">
              <w:rPr>
                <w:rFonts w:ascii="Arial" w:eastAsia="Arial" w:hAnsi="Arial" w:cs="Arial"/>
                <w:szCs w:val="20"/>
                <w:lang w:val="en"/>
              </w:rPr>
              <w:t xml:space="preserve">, as well as the refusal to participate in </w:t>
            </w:r>
            <w:r w:rsidR="00490124">
              <w:rPr>
                <w:rFonts w:ascii="Arial" w:eastAsia="Arial" w:hAnsi="Arial" w:cs="Arial"/>
                <w:szCs w:val="20"/>
                <w:lang w:val="en"/>
              </w:rPr>
              <w:t>OST</w:t>
            </w:r>
            <w:r w:rsidRPr="00933505">
              <w:rPr>
                <w:rFonts w:ascii="Arial" w:eastAsia="Arial" w:hAnsi="Arial" w:cs="Arial"/>
                <w:szCs w:val="20"/>
                <w:lang w:val="en"/>
              </w:rPr>
              <w:t xml:space="preserve">. </w:t>
            </w:r>
          </w:p>
          <w:p w14:paraId="52BFED5B" w14:textId="19325AB9" w:rsidR="00933505" w:rsidRPr="00933505" w:rsidRDefault="00933505" w:rsidP="00933505">
            <w:pPr>
              <w:spacing w:line="264" w:lineRule="auto"/>
              <w:jc w:val="both"/>
              <w:rPr>
                <w:rFonts w:ascii="Arial" w:eastAsia="Arial" w:hAnsi="Arial" w:cs="Arial"/>
                <w:szCs w:val="20"/>
                <w:lang w:val="en"/>
              </w:rPr>
            </w:pPr>
            <w:r w:rsidRPr="00933505">
              <w:rPr>
                <w:rFonts w:ascii="Arial" w:eastAsia="Arial" w:hAnsi="Arial" w:cs="Arial"/>
                <w:szCs w:val="20"/>
                <w:lang w:val="en"/>
              </w:rPr>
              <w:t xml:space="preserve">Limited access to beneficiaries (e.g., </w:t>
            </w:r>
            <w:r w:rsidR="005664F3">
              <w:rPr>
                <w:rFonts w:ascii="Arial" w:eastAsia="Arial" w:hAnsi="Arial" w:cs="Arial"/>
                <w:szCs w:val="20"/>
                <w:lang w:val="en"/>
              </w:rPr>
              <w:t>NPAS</w:t>
            </w:r>
            <w:r w:rsidRPr="00933505">
              <w:rPr>
                <w:rFonts w:ascii="Arial" w:eastAsia="Arial" w:hAnsi="Arial" w:cs="Arial"/>
                <w:szCs w:val="20"/>
                <w:lang w:val="en"/>
              </w:rPr>
              <w:t xml:space="preserve"> users or S</w:t>
            </w:r>
            <w:r w:rsidR="005664F3">
              <w:rPr>
                <w:rFonts w:ascii="Arial" w:eastAsia="Arial" w:hAnsi="Arial" w:cs="Arial"/>
                <w:szCs w:val="20"/>
                <w:lang w:val="en"/>
              </w:rPr>
              <w:t>W</w:t>
            </w:r>
            <w:r w:rsidRPr="00933505">
              <w:rPr>
                <w:rFonts w:ascii="Arial" w:eastAsia="Arial" w:hAnsi="Arial" w:cs="Arial"/>
                <w:szCs w:val="20"/>
                <w:lang w:val="en"/>
              </w:rPr>
              <w:t>s providing services through online channels), reduces the effectiveness of prevention programs.</w:t>
            </w:r>
          </w:p>
          <w:p w14:paraId="2801A87B" w14:textId="06C86F9A" w:rsidR="00933505" w:rsidRPr="00933505" w:rsidRDefault="00933505" w:rsidP="00933505">
            <w:pPr>
              <w:spacing w:line="264" w:lineRule="auto"/>
              <w:jc w:val="both"/>
              <w:rPr>
                <w:rFonts w:ascii="Arial" w:eastAsia="Arial" w:hAnsi="Arial" w:cs="Arial"/>
                <w:szCs w:val="20"/>
                <w:lang w:val="en"/>
              </w:rPr>
            </w:pPr>
            <w:r w:rsidRPr="00933505">
              <w:rPr>
                <w:rFonts w:ascii="Arial" w:eastAsia="Arial" w:hAnsi="Arial" w:cs="Arial"/>
                <w:szCs w:val="20"/>
                <w:lang w:val="en"/>
              </w:rPr>
              <w:t xml:space="preserve">Issues of rights violations presented by clients of programs and documented by the civil sector, including those included in reports to international committees, do not receive proper attention from the state structures, are not implemented in practice. The actions of the ombudsman institution remain insufficient, not systematic, which has almost no effect on the protection </w:t>
            </w:r>
            <w:r w:rsidR="0064753F">
              <w:rPr>
                <w:rFonts w:ascii="Arial" w:eastAsia="Arial" w:hAnsi="Arial" w:cs="Arial"/>
                <w:szCs w:val="20"/>
                <w:lang w:val="en"/>
              </w:rPr>
              <w:t xml:space="preserve">of KPs </w:t>
            </w:r>
            <w:r w:rsidRPr="00933505">
              <w:rPr>
                <w:rFonts w:ascii="Arial" w:eastAsia="Arial" w:hAnsi="Arial" w:cs="Arial"/>
                <w:szCs w:val="20"/>
                <w:lang w:val="en"/>
              </w:rPr>
              <w:t xml:space="preserve">against stigmatization and discrimination. There are limited resources to support documentation systems, such as </w:t>
            </w:r>
            <w:proofErr w:type="spellStart"/>
            <w:r w:rsidRPr="00933505">
              <w:rPr>
                <w:rFonts w:ascii="Arial" w:eastAsia="Arial" w:hAnsi="Arial" w:cs="Arial"/>
                <w:szCs w:val="20"/>
                <w:lang w:val="en"/>
              </w:rPr>
              <w:t>REAct</w:t>
            </w:r>
            <w:proofErr w:type="spellEnd"/>
            <w:r w:rsidRPr="00933505">
              <w:rPr>
                <w:rFonts w:ascii="Arial" w:eastAsia="Arial" w:hAnsi="Arial" w:cs="Arial"/>
                <w:szCs w:val="20"/>
                <w:lang w:val="en"/>
              </w:rPr>
              <w:t xml:space="preserve"> platforms and others.</w:t>
            </w:r>
          </w:p>
          <w:p w14:paraId="6771EEB7" w14:textId="77777777" w:rsidR="00112DE1" w:rsidRDefault="00933505" w:rsidP="00933505">
            <w:pPr>
              <w:spacing w:line="264" w:lineRule="auto"/>
              <w:jc w:val="both"/>
              <w:rPr>
                <w:rFonts w:ascii="Arial" w:eastAsia="Arial" w:hAnsi="Arial" w:cs="Arial"/>
                <w:szCs w:val="20"/>
                <w:lang w:val="en"/>
              </w:rPr>
            </w:pPr>
            <w:r w:rsidRPr="00933505">
              <w:rPr>
                <w:rFonts w:ascii="Arial" w:eastAsia="Arial" w:hAnsi="Arial" w:cs="Arial"/>
                <w:szCs w:val="20"/>
                <w:lang w:val="en"/>
              </w:rPr>
              <w:t>The adoption of new laws on health care requires updating all bylaws, which involves significant efforts by concerned government organizations and NGOs to ensure and expand universal access to health care, social protection; removing legal barriers.</w:t>
            </w:r>
          </w:p>
          <w:p w14:paraId="5DD45951" w14:textId="1848C339" w:rsidR="00905DC6" w:rsidRPr="00E769B9" w:rsidRDefault="00905DC6" w:rsidP="00933505">
            <w:pPr>
              <w:spacing w:line="264" w:lineRule="auto"/>
              <w:jc w:val="both"/>
              <w:rPr>
                <w:rFonts w:ascii="Arial" w:eastAsia="Arial" w:hAnsi="Arial" w:cs="Arial"/>
                <w:szCs w:val="20"/>
              </w:rPr>
            </w:pPr>
            <w:r>
              <w:rPr>
                <w:rFonts w:ascii="Arial" w:eastAsia="Arial" w:hAnsi="Arial" w:cs="Arial"/>
                <w:szCs w:val="20"/>
                <w:lang w:val="en"/>
              </w:rPr>
              <w:t xml:space="preserve">The </w:t>
            </w:r>
            <w:r w:rsidR="00112DE1">
              <w:rPr>
                <w:rFonts w:ascii="Arial" w:eastAsia="Arial" w:hAnsi="Arial" w:cs="Arial"/>
                <w:szCs w:val="20"/>
                <w:lang w:val="en"/>
              </w:rPr>
              <w:t>EEU</w:t>
            </w:r>
            <w:r>
              <w:rPr>
                <w:rFonts w:ascii="Arial" w:eastAsia="Arial" w:hAnsi="Arial" w:cs="Arial"/>
                <w:szCs w:val="20"/>
                <w:lang w:val="en"/>
              </w:rPr>
              <w:t xml:space="preserve"> agreement </w:t>
            </w:r>
            <w:r w:rsidR="00112DE1">
              <w:rPr>
                <w:rFonts w:ascii="Arial" w:eastAsia="Arial" w:hAnsi="Arial" w:cs="Arial"/>
                <w:szCs w:val="20"/>
                <w:lang w:val="en"/>
              </w:rPr>
              <w:t xml:space="preserve">adopted in 2021 </w:t>
            </w:r>
            <w:r>
              <w:rPr>
                <w:rFonts w:ascii="Arial" w:eastAsia="Arial" w:hAnsi="Arial" w:cs="Arial"/>
                <w:szCs w:val="20"/>
                <w:lang w:val="en"/>
              </w:rPr>
              <w:t xml:space="preserve">on the unification of legislation on the procurement of medicines of the </w:t>
            </w:r>
            <w:r w:rsidR="00112DE1">
              <w:rPr>
                <w:rFonts w:ascii="Arial" w:eastAsia="Arial" w:hAnsi="Arial" w:cs="Arial"/>
                <w:szCs w:val="20"/>
                <w:lang w:val="en"/>
              </w:rPr>
              <w:t xml:space="preserve">participating </w:t>
            </w:r>
            <w:r>
              <w:rPr>
                <w:rFonts w:ascii="Arial" w:eastAsia="Arial" w:hAnsi="Arial" w:cs="Arial"/>
                <w:szCs w:val="20"/>
                <w:lang w:val="en"/>
              </w:rPr>
              <w:t xml:space="preserve">countries, of which Kyrgyzstan is a member, poses a threat of violating the existing procurement mechanisms </w:t>
            </w:r>
            <w:r>
              <w:rPr>
                <w:rStyle w:val="FootnoteReference"/>
                <w:rFonts w:ascii="Arial" w:eastAsia="Arial" w:hAnsi="Arial" w:cs="Arial"/>
                <w:szCs w:val="20"/>
                <w:lang w:val="ru-RU"/>
              </w:rPr>
              <w:footnoteReference w:id="35"/>
            </w:r>
            <w:r w:rsidR="00C00BD1">
              <w:rPr>
                <w:rFonts w:ascii="Arial" w:eastAsia="Arial" w:hAnsi="Arial" w:cs="Arial"/>
                <w:szCs w:val="20"/>
                <w:lang w:val="en"/>
              </w:rPr>
              <w:t>existed</w:t>
            </w:r>
            <w:r>
              <w:rPr>
                <w:rFonts w:ascii="Arial" w:eastAsia="Arial" w:hAnsi="Arial" w:cs="Arial"/>
                <w:szCs w:val="20"/>
                <w:lang w:val="en"/>
              </w:rPr>
              <w:t xml:space="preserve"> in the country. </w:t>
            </w:r>
          </w:p>
          <w:p w14:paraId="367360F4" w14:textId="77777777" w:rsidR="00905DC6" w:rsidRPr="00E769B9" w:rsidRDefault="00905DC6" w:rsidP="00905DC6">
            <w:pPr>
              <w:tabs>
                <w:tab w:val="left" w:pos="676"/>
              </w:tabs>
              <w:spacing w:line="264" w:lineRule="auto"/>
              <w:jc w:val="both"/>
              <w:rPr>
                <w:rFonts w:ascii="Arial" w:eastAsia="Arial" w:hAnsi="Arial" w:cs="Arial"/>
                <w:szCs w:val="20"/>
                <w:highlight w:val="green"/>
              </w:rPr>
            </w:pPr>
            <w:r w:rsidRPr="00D74BE9">
              <w:rPr>
                <w:rFonts w:ascii="Arial" w:eastAsia="Arial" w:hAnsi="Arial" w:cs="Arial"/>
                <w:szCs w:val="20"/>
                <w:lang w:val="en"/>
              </w:rPr>
              <w:lastRenderedPageBreak/>
              <w:t>The institutions of probation, SGLA, and paralegals are new to the Kyrgyz Republic and require the development of mechanisms for their successful functioning. So, it is important to legalize (certify) paralegals, which will ensure their real access to aid points (law enforcement agencies, prisons).</w:t>
            </w:r>
          </w:p>
          <w:p w14:paraId="0505BF2D" w14:textId="035B3308" w:rsidR="00662E6E" w:rsidRPr="00E47BF5" w:rsidRDefault="00905DC6" w:rsidP="00905DC6">
            <w:pPr>
              <w:pStyle w:val="BodyText"/>
              <w:widowControl w:val="0"/>
              <w:spacing w:line="240" w:lineRule="auto"/>
              <w:jc w:val="both"/>
              <w:rPr>
                <w:sz w:val="22"/>
              </w:rPr>
            </w:pPr>
            <w:r w:rsidRPr="00E47BF5">
              <w:rPr>
                <w:rFonts w:ascii="Arial" w:eastAsia="Arial" w:hAnsi="Arial" w:cs="Arial"/>
                <w:sz w:val="22"/>
                <w:lang w:val="en"/>
              </w:rPr>
              <w:t>The assessment of progress in overcoming legal barriers in the Kyrgyz Republic in 2022 showed the presence of a number of backlogs and prepared recommendations for their elimination.</w:t>
            </w:r>
          </w:p>
        </w:tc>
      </w:tr>
      <w:tr w:rsidR="00662E6E" w14:paraId="65CF7888"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03B7BF" w14:textId="77777777" w:rsidR="00662E6E" w:rsidRDefault="00662E6E" w:rsidP="0026062D">
            <w:pPr>
              <w:pStyle w:val="BodyText"/>
              <w:widowControl w:val="0"/>
              <w:spacing w:line="240" w:lineRule="auto"/>
            </w:pPr>
            <w:r>
              <w:lastRenderedPageBreak/>
              <w:t>Amount requested</w:t>
            </w:r>
          </w:p>
        </w:tc>
        <w:tc>
          <w:tcPr>
            <w:tcW w:w="12616" w:type="dxa"/>
          </w:tcPr>
          <w:p w14:paraId="34ACD761" w14:textId="3A5934DA" w:rsidR="00662E6E" w:rsidRPr="00754015" w:rsidRDefault="00594737"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lang w:val="en-US"/>
              </w:rPr>
            </w:pPr>
            <w:r>
              <w:rPr>
                <w:sz w:val="22"/>
              </w:rPr>
              <w:t>$1,088,566</w:t>
            </w:r>
          </w:p>
        </w:tc>
      </w:tr>
      <w:tr w:rsidR="00662E6E" w14:paraId="542722FC"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634FE081" w14:textId="77777777" w:rsidR="00662E6E" w:rsidRDefault="00662E6E" w:rsidP="0026062D">
            <w:pPr>
              <w:pStyle w:val="BodyText"/>
              <w:widowControl w:val="0"/>
              <w:spacing w:line="240" w:lineRule="auto"/>
            </w:pPr>
            <w:r>
              <w:t>Expected outcome</w:t>
            </w:r>
          </w:p>
        </w:tc>
        <w:tc>
          <w:tcPr>
            <w:tcW w:w="12616" w:type="dxa"/>
          </w:tcPr>
          <w:p w14:paraId="0A64B2AC" w14:textId="01B1495F" w:rsidR="00662E6E" w:rsidRPr="00516071" w:rsidRDefault="00337ACF" w:rsidP="0026062D">
            <w:pPr>
              <w:pStyle w:val="BodyText"/>
              <w:widowControl w:val="0"/>
              <w:spacing w:line="240" w:lineRule="auto"/>
              <w:cnfStyle w:val="000000000000" w:firstRow="0" w:lastRow="0" w:firstColumn="0" w:lastColumn="0" w:oddVBand="0" w:evenVBand="0" w:oddHBand="0" w:evenHBand="0" w:firstRowFirstColumn="0" w:firstRowLastColumn="0" w:lastRowFirstColumn="0" w:lastRowLastColumn="0"/>
              <w:rPr>
                <w:sz w:val="22"/>
                <w:lang w:val="en-US"/>
              </w:rPr>
            </w:pPr>
            <w:r>
              <w:rPr>
                <w:rFonts w:ascii="Arial" w:eastAsia="Arial" w:hAnsi="Arial" w:cs="Arial"/>
                <w:lang w:val="en"/>
              </w:rPr>
              <w:t>Reduction of stigma index to less that 10% on both TB and HIV by 2026</w:t>
            </w:r>
          </w:p>
        </w:tc>
      </w:tr>
    </w:tbl>
    <w:p w14:paraId="4F9977D9" w14:textId="124F67D7" w:rsidR="00662E6E" w:rsidRDefault="00662E6E" w:rsidP="0026062D">
      <w:pPr>
        <w:widowControl w:val="0"/>
        <w:spacing w:after="200" w:line="240" w:lineRule="auto"/>
        <w:rPr>
          <w:i/>
          <w:iCs/>
          <w:sz w:val="20"/>
          <w:szCs w:val="20"/>
        </w:rPr>
      </w:pPr>
    </w:p>
    <w:tbl>
      <w:tblPr>
        <w:tblStyle w:val="PlainTable1"/>
        <w:tblpPr w:vertAnchor="text" w:horzAnchor="margin" w:tblpY="1"/>
        <w:tblOverlap w:val="never"/>
        <w:tblW w:w="15163" w:type="dxa"/>
        <w:tblLook w:val="04A0" w:firstRow="1" w:lastRow="0" w:firstColumn="1" w:lastColumn="0" w:noHBand="0" w:noVBand="1"/>
      </w:tblPr>
      <w:tblGrid>
        <w:gridCol w:w="2547"/>
        <w:gridCol w:w="12616"/>
      </w:tblGrid>
      <w:tr w:rsidR="00662E6E" w14:paraId="5599FBC8" w14:textId="77777777" w:rsidTr="00294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AC5467" w14:textId="3E165556" w:rsidR="00662E6E" w:rsidRDefault="00662E6E" w:rsidP="0026062D">
            <w:pPr>
              <w:pStyle w:val="BodyText"/>
              <w:widowControl w:val="0"/>
              <w:spacing w:line="240" w:lineRule="auto"/>
            </w:pPr>
            <w:r>
              <w:t>Module #13</w:t>
            </w:r>
          </w:p>
        </w:tc>
        <w:tc>
          <w:tcPr>
            <w:tcW w:w="12616" w:type="dxa"/>
          </w:tcPr>
          <w:p w14:paraId="772EB31B" w14:textId="1A842956" w:rsidR="00662E6E" w:rsidRPr="000C441F" w:rsidRDefault="00754015" w:rsidP="00754015">
            <w:pPr>
              <w:pStyle w:val="Default"/>
              <w:cnfStyle w:val="100000000000" w:firstRow="1" w:lastRow="0" w:firstColumn="0" w:lastColumn="0" w:oddVBand="0" w:evenVBand="0" w:oddHBand="0" w:evenHBand="0" w:firstRowFirstColumn="0" w:firstRowLastColumn="0" w:lastRowFirstColumn="0" w:lastRowLastColumn="0"/>
              <w:rPr>
                <w:sz w:val="22"/>
                <w:szCs w:val="22"/>
              </w:rPr>
            </w:pPr>
            <w:r w:rsidRPr="000C441F">
              <w:rPr>
                <w:sz w:val="22"/>
                <w:szCs w:val="22"/>
              </w:rPr>
              <w:t>Drug-resistant (DR)-TB Diagnosis, Treatment and Care</w:t>
            </w:r>
          </w:p>
        </w:tc>
      </w:tr>
      <w:tr w:rsidR="00662E6E" w14:paraId="20603DB2"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5D13EE" w14:textId="77777777" w:rsidR="00662E6E" w:rsidRDefault="00662E6E" w:rsidP="0026062D">
            <w:pPr>
              <w:pStyle w:val="BodyText"/>
              <w:widowControl w:val="0"/>
              <w:spacing w:line="240" w:lineRule="auto"/>
            </w:pPr>
            <w:r>
              <w:t>Intervention(s)</w:t>
            </w:r>
          </w:p>
        </w:tc>
        <w:tc>
          <w:tcPr>
            <w:tcW w:w="12616" w:type="dxa"/>
          </w:tcPr>
          <w:p w14:paraId="69C75B1F" w14:textId="504CCF8B" w:rsidR="0052768F" w:rsidRPr="0052768F"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
                <w:bCs/>
                <w:lang w:val="en"/>
              </w:rPr>
            </w:pPr>
            <w:r w:rsidRPr="0052768F">
              <w:rPr>
                <w:rFonts w:cstheme="minorHAnsi"/>
                <w:b/>
                <w:bCs/>
                <w:lang w:val="en"/>
              </w:rPr>
              <w:t>DR-TB diagnosis/ drug susceptibility testing (DST)</w:t>
            </w:r>
          </w:p>
          <w:p w14:paraId="6BF8FEF0" w14:textId="7D26CAF4"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394CF3">
              <w:rPr>
                <w:rFonts w:cstheme="minorHAnsi"/>
                <w:bCs/>
              </w:rPr>
              <w:t>P</w:t>
            </w:r>
            <w:proofErr w:type="spellStart"/>
            <w:r w:rsidRPr="00394CF3">
              <w:rPr>
                <w:rFonts w:cstheme="minorHAnsi"/>
                <w:bCs/>
                <w:lang w:val="en"/>
              </w:rPr>
              <w:t>overty</w:t>
            </w:r>
            <w:proofErr w:type="spellEnd"/>
            <w:r w:rsidRPr="00394CF3">
              <w:rPr>
                <w:rFonts w:cstheme="minorHAnsi"/>
                <w:bCs/>
                <w:lang w:val="en"/>
              </w:rPr>
              <w:t>,</w:t>
            </w:r>
            <w:r w:rsidRPr="0023526B">
              <w:rPr>
                <w:rFonts w:cstheme="minorHAnsi"/>
                <w:bCs/>
                <w:lang w:val="en"/>
              </w:rPr>
              <w:t xml:space="preserve"> recession of economic development, labor migration, poor awareness of the population, etc. was the reason for</w:t>
            </w:r>
            <w:r>
              <w:rPr>
                <w:rFonts w:cstheme="minorHAnsi"/>
                <w:bCs/>
                <w:lang w:val="en"/>
              </w:rPr>
              <w:t>: (a)</w:t>
            </w:r>
            <w:r w:rsidRPr="0023526B">
              <w:rPr>
                <w:rFonts w:cstheme="minorHAnsi"/>
                <w:bCs/>
                <w:lang w:val="en"/>
              </w:rPr>
              <w:t xml:space="preserve"> low motivation of patients to undergo examination, </w:t>
            </w:r>
            <w:r>
              <w:rPr>
                <w:rFonts w:cstheme="minorHAnsi"/>
                <w:bCs/>
                <w:lang w:val="en"/>
              </w:rPr>
              <w:t xml:space="preserve">(b) </w:t>
            </w:r>
            <w:r w:rsidRPr="0023526B">
              <w:rPr>
                <w:rFonts w:cstheme="minorHAnsi"/>
                <w:bCs/>
                <w:lang w:val="en"/>
              </w:rPr>
              <w:t xml:space="preserve">low adherence to treatment and </w:t>
            </w:r>
            <w:r w:rsidR="00D34A76">
              <w:rPr>
                <w:rFonts w:cstheme="minorHAnsi"/>
                <w:bCs/>
                <w:lang w:val="en"/>
              </w:rPr>
              <w:t>(</w:t>
            </w:r>
            <w:r>
              <w:rPr>
                <w:rFonts w:cstheme="minorHAnsi"/>
                <w:bCs/>
                <w:lang w:val="en"/>
              </w:rPr>
              <w:t xml:space="preserve">c) </w:t>
            </w:r>
            <w:r w:rsidRPr="0023526B">
              <w:rPr>
                <w:rFonts w:cstheme="minorHAnsi"/>
                <w:bCs/>
                <w:lang w:val="en"/>
              </w:rPr>
              <w:t xml:space="preserve">a high </w:t>
            </w:r>
            <w:r w:rsidR="00D34A76">
              <w:rPr>
                <w:rFonts w:cstheme="minorHAnsi"/>
                <w:bCs/>
                <w:lang w:val="en"/>
              </w:rPr>
              <w:t>level</w:t>
            </w:r>
            <w:r w:rsidRPr="0023526B">
              <w:rPr>
                <w:rFonts w:cstheme="minorHAnsi"/>
                <w:bCs/>
                <w:lang w:val="en"/>
              </w:rPr>
              <w:t xml:space="preserve"> of treatment</w:t>
            </w:r>
            <w:r>
              <w:rPr>
                <w:rFonts w:cstheme="minorHAnsi"/>
                <w:bCs/>
                <w:lang w:val="en"/>
              </w:rPr>
              <w:t xml:space="preserve"> interruptions</w:t>
            </w:r>
            <w:r w:rsidRPr="0023526B">
              <w:rPr>
                <w:rFonts w:cstheme="minorHAnsi"/>
                <w:bCs/>
                <w:lang w:val="en"/>
              </w:rPr>
              <w:t xml:space="preserve">. </w:t>
            </w:r>
          </w:p>
          <w:p w14:paraId="4A593E97" w14:textId="7E7EAA2D" w:rsidR="0052768F" w:rsidRPr="00703CFA" w:rsidRDefault="00D34A76" w:rsidP="0052768F">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
              </w:rPr>
              <w:t>I</w:t>
            </w:r>
            <w:r w:rsidR="0052768F" w:rsidRPr="0023526B">
              <w:rPr>
                <w:rFonts w:cstheme="minorHAnsi"/>
                <w:lang w:val="en"/>
              </w:rPr>
              <w:t>n 2021, an analysis of the TB situation for 2019-2020 was carried out (a small WHO scientific grant)</w:t>
            </w:r>
            <w:r w:rsidR="005910D6">
              <w:rPr>
                <w:rFonts w:cstheme="minorHAnsi"/>
                <w:lang w:val="en"/>
              </w:rPr>
              <w:t xml:space="preserve"> and revealed </w:t>
            </w:r>
            <w:r w:rsidR="0052768F" w:rsidRPr="0023526B">
              <w:rPr>
                <w:rFonts w:cstheme="minorHAnsi"/>
                <w:lang w:val="en"/>
              </w:rPr>
              <w:t xml:space="preserve">a significant decrease </w:t>
            </w:r>
            <w:r w:rsidR="0052768F">
              <w:rPr>
                <w:rFonts w:cstheme="minorHAnsi"/>
                <w:lang w:val="en"/>
              </w:rPr>
              <w:t xml:space="preserve">of approx. 40% </w:t>
            </w:r>
            <w:r w:rsidR="0052768F" w:rsidRPr="0023526B">
              <w:rPr>
                <w:rFonts w:cstheme="minorHAnsi"/>
                <w:lang w:val="en"/>
              </w:rPr>
              <w:t xml:space="preserve">in detection in the Issyk-Kul region, </w:t>
            </w:r>
            <w:r w:rsidR="0052768F">
              <w:rPr>
                <w:rFonts w:cstheme="minorHAnsi"/>
                <w:lang w:val="en"/>
              </w:rPr>
              <w:t>approx.</w:t>
            </w:r>
            <w:r w:rsidR="0052768F" w:rsidRPr="0023526B">
              <w:rPr>
                <w:rFonts w:cstheme="minorHAnsi"/>
                <w:lang w:val="en"/>
              </w:rPr>
              <w:t xml:space="preserve"> 26-28% in the Osh and Chui </w:t>
            </w:r>
            <w:r w:rsidR="0052768F">
              <w:rPr>
                <w:rFonts w:cstheme="minorHAnsi"/>
                <w:lang w:val="en"/>
              </w:rPr>
              <w:t>region</w:t>
            </w:r>
            <w:r w:rsidR="0052768F" w:rsidRPr="0023526B">
              <w:rPr>
                <w:rFonts w:cstheme="minorHAnsi"/>
                <w:lang w:val="en"/>
              </w:rPr>
              <w:t xml:space="preserve">s. In the latter areas, there is also a shortage of personnel at the PHC level (there is no </w:t>
            </w:r>
            <w:r w:rsidR="005910D6">
              <w:rPr>
                <w:rFonts w:cstheme="minorHAnsi"/>
                <w:lang w:val="en"/>
              </w:rPr>
              <w:t>TB specialist</w:t>
            </w:r>
            <w:r w:rsidR="0052768F" w:rsidRPr="0023526B">
              <w:rPr>
                <w:rFonts w:cstheme="minorHAnsi"/>
                <w:lang w:val="en"/>
              </w:rPr>
              <w:t xml:space="preserve"> in 2 districts) and predominant localization of migrants, </w:t>
            </w:r>
            <w:r w:rsidR="0052768F">
              <w:rPr>
                <w:rFonts w:cstheme="minorHAnsi"/>
                <w:lang w:val="en"/>
              </w:rPr>
              <w:t xml:space="preserve">who </w:t>
            </w:r>
            <w:r w:rsidR="0052768F" w:rsidRPr="0023526B">
              <w:rPr>
                <w:rFonts w:cstheme="minorHAnsi"/>
                <w:lang w:val="en"/>
              </w:rPr>
              <w:t xml:space="preserve">often </w:t>
            </w:r>
            <w:r w:rsidR="0052768F">
              <w:rPr>
                <w:rFonts w:cstheme="minorHAnsi"/>
                <w:lang w:val="en"/>
              </w:rPr>
              <w:t xml:space="preserve">do </w:t>
            </w:r>
            <w:r w:rsidR="0052768F" w:rsidRPr="0023526B">
              <w:rPr>
                <w:rFonts w:cstheme="minorHAnsi"/>
                <w:lang w:val="en"/>
              </w:rPr>
              <w:t>not hav</w:t>
            </w:r>
            <w:r w:rsidR="0052768F">
              <w:rPr>
                <w:rFonts w:cstheme="minorHAnsi"/>
                <w:lang w:val="en"/>
              </w:rPr>
              <w:t>e</w:t>
            </w:r>
            <w:r w:rsidR="0052768F" w:rsidRPr="0023526B">
              <w:rPr>
                <w:rFonts w:cstheme="minorHAnsi"/>
                <w:lang w:val="en"/>
              </w:rPr>
              <w:t xml:space="preserve"> </w:t>
            </w:r>
            <w:r w:rsidR="0052768F">
              <w:rPr>
                <w:rFonts w:cstheme="minorHAnsi"/>
                <w:lang w:val="en"/>
              </w:rPr>
              <w:t>definite</w:t>
            </w:r>
            <w:r w:rsidR="0052768F" w:rsidRPr="0023526B">
              <w:rPr>
                <w:rFonts w:cstheme="minorHAnsi"/>
                <w:lang w:val="en"/>
              </w:rPr>
              <w:t xml:space="preserve"> places of residence. </w:t>
            </w:r>
            <w:r w:rsidR="0052768F" w:rsidRPr="00703CFA">
              <w:rPr>
                <w:rFonts w:cstheme="minorHAnsi"/>
                <w:bCs/>
                <w:lang w:val="en"/>
              </w:rPr>
              <w:t>This was the basis for the selection of 3 regions with an unfavorable TB situation to actively identify TB and involve case management</w:t>
            </w:r>
            <w:r w:rsidR="0052768F">
              <w:rPr>
                <w:rFonts w:cstheme="minorHAnsi"/>
                <w:lang w:val="en"/>
              </w:rPr>
              <w:t xml:space="preserve"> </w:t>
            </w:r>
            <w:r w:rsidR="0052768F" w:rsidRPr="00703CFA">
              <w:rPr>
                <w:rFonts w:cstheme="minorHAnsi"/>
                <w:lang w:val="en"/>
              </w:rPr>
              <w:t>for exposed people, as well as people in crisis centers, shelters, PLHIV, homeless and migrants, and NGOs in three regions (Osh, Issyk-Kul and the eastern part of the Chui region).</w:t>
            </w:r>
          </w:p>
          <w:p w14:paraId="5CC2F501" w14:textId="7174EBA8" w:rsidR="0052768F" w:rsidRPr="008F1D7B"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8F1D7B">
              <w:rPr>
                <w:rFonts w:cstheme="minorHAnsi"/>
                <w:bCs/>
                <w:lang w:val="en"/>
              </w:rPr>
              <w:t xml:space="preserve">Given the insufficient participation of NGOs in outreach and </w:t>
            </w:r>
            <w:r w:rsidR="009A7B93" w:rsidRPr="008F1D7B">
              <w:rPr>
                <w:rFonts w:cstheme="minorHAnsi"/>
                <w:bCs/>
                <w:lang w:val="en"/>
              </w:rPr>
              <w:t>TB</w:t>
            </w:r>
            <w:r w:rsidRPr="008F1D7B">
              <w:rPr>
                <w:rFonts w:cstheme="minorHAnsi"/>
                <w:bCs/>
                <w:lang w:val="en"/>
              </w:rPr>
              <w:t xml:space="preserve"> screening, it is necessary to conduct trainings for screening for NGOs/case managers, as well as HIV service providers</w:t>
            </w:r>
            <w:r w:rsidR="009A7B93" w:rsidRPr="008F1D7B">
              <w:rPr>
                <w:rFonts w:cstheme="minorHAnsi"/>
                <w:bCs/>
                <w:lang w:val="en"/>
              </w:rPr>
              <w:t xml:space="preserve"> </w:t>
            </w:r>
            <w:r w:rsidRPr="008F1D7B">
              <w:rPr>
                <w:rFonts w:cstheme="minorHAnsi"/>
                <w:bCs/>
                <w:lang w:val="en"/>
              </w:rPr>
              <w:t xml:space="preserve">involved in TB services, support case managers/NGOs to investigate TB contacts, with the </w:t>
            </w:r>
            <w:r w:rsidR="008F1D7B">
              <w:rPr>
                <w:rFonts w:cstheme="minorHAnsi"/>
                <w:bCs/>
                <w:lang w:val="en"/>
              </w:rPr>
              <w:t>detection</w:t>
            </w:r>
            <w:r w:rsidRPr="008F1D7B">
              <w:rPr>
                <w:rFonts w:cstheme="minorHAnsi"/>
                <w:bCs/>
                <w:lang w:val="en"/>
              </w:rPr>
              <w:t xml:space="preserve"> of the TB indicator</w:t>
            </w:r>
            <w:r w:rsidR="008F1D7B">
              <w:rPr>
                <w:rFonts w:cstheme="minorHAnsi"/>
                <w:bCs/>
                <w:lang w:val="en"/>
              </w:rPr>
              <w:t>s</w:t>
            </w:r>
            <w:r w:rsidRPr="008F1D7B">
              <w:rPr>
                <w:rFonts w:cstheme="minorHAnsi"/>
                <w:bCs/>
                <w:lang w:val="en"/>
              </w:rPr>
              <w:t xml:space="preserve"> among the examined.</w:t>
            </w:r>
          </w:p>
          <w:p w14:paraId="3E3E1283" w14:textId="77777777" w:rsidR="0052768F" w:rsidRPr="008F1D7B"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8F1D7B">
              <w:rPr>
                <w:rFonts w:cstheme="minorHAnsi"/>
                <w:bCs/>
                <w:lang w:val="en"/>
              </w:rPr>
              <w:t>Correctly and qualitatively collected pathological samples is the basis for obtaining a reliable result. Trainings on this issue have not been held at the PHC level for a long time. Given the significant expansion of active TB detection activities, conducting cascade trainings on sample collection for PHC laboratory specialists, including SISs, will improve the skills of medical personnel.</w:t>
            </w:r>
          </w:p>
          <w:p w14:paraId="6E58FBB0" w14:textId="042A469C" w:rsidR="0052768F" w:rsidRPr="00E769B9" w:rsidRDefault="00E52C87"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lang w:val="en"/>
              </w:rPr>
              <w:t>TPT</w:t>
            </w:r>
            <w:r w:rsidR="0052768F" w:rsidRPr="0023526B">
              <w:rPr>
                <w:rFonts w:cstheme="minorHAnsi"/>
                <w:bCs/>
                <w:lang w:val="en"/>
              </w:rPr>
              <w:t xml:space="preserve"> in the country is not carried out properly, as health </w:t>
            </w:r>
            <w:r w:rsidR="0052768F">
              <w:rPr>
                <w:rFonts w:cstheme="minorHAnsi"/>
                <w:bCs/>
                <w:lang w:val="en"/>
              </w:rPr>
              <w:t>facilities</w:t>
            </w:r>
            <w:r w:rsidR="00175E65">
              <w:rPr>
                <w:rFonts w:cstheme="minorHAnsi"/>
                <w:bCs/>
                <w:lang w:val="en"/>
              </w:rPr>
              <w:t xml:space="preserve"> </w:t>
            </w:r>
            <w:r w:rsidR="0052768F" w:rsidRPr="0023526B">
              <w:rPr>
                <w:rFonts w:cstheme="minorHAnsi"/>
                <w:bCs/>
                <w:lang w:val="en"/>
              </w:rPr>
              <w:t xml:space="preserve">do not keep records of </w:t>
            </w:r>
            <w:r w:rsidR="0052768F">
              <w:rPr>
                <w:rFonts w:cstheme="minorHAnsi"/>
                <w:bCs/>
                <w:lang w:val="en"/>
              </w:rPr>
              <w:t>people</w:t>
            </w:r>
            <w:r w:rsidR="0052768F" w:rsidRPr="0023526B">
              <w:rPr>
                <w:rFonts w:cstheme="minorHAnsi"/>
                <w:bCs/>
                <w:lang w:val="en"/>
              </w:rPr>
              <w:t xml:space="preserve"> who have received and completed </w:t>
            </w:r>
            <w:r w:rsidR="00FE4936">
              <w:rPr>
                <w:rFonts w:cstheme="minorHAnsi"/>
                <w:bCs/>
                <w:lang w:val="en"/>
              </w:rPr>
              <w:t>TPT</w:t>
            </w:r>
            <w:r w:rsidR="0052768F">
              <w:rPr>
                <w:rFonts w:cstheme="minorHAnsi"/>
                <w:bCs/>
                <w:lang w:val="en"/>
              </w:rPr>
              <w:t xml:space="preserve"> and</w:t>
            </w:r>
            <w:r w:rsidR="0052768F" w:rsidRPr="0023526B">
              <w:rPr>
                <w:rFonts w:cstheme="minorHAnsi"/>
                <w:bCs/>
                <w:lang w:val="en"/>
              </w:rPr>
              <w:t xml:space="preserve"> effective short-term regimens of </w:t>
            </w:r>
            <w:r w:rsidR="0014658F">
              <w:rPr>
                <w:rFonts w:cstheme="minorHAnsi"/>
                <w:bCs/>
                <w:lang w:val="en"/>
              </w:rPr>
              <w:t>TPT</w:t>
            </w:r>
            <w:r w:rsidR="0052768F" w:rsidRPr="0023526B">
              <w:rPr>
                <w:rFonts w:cstheme="minorHAnsi"/>
                <w:bCs/>
                <w:lang w:val="en"/>
              </w:rPr>
              <w:t xml:space="preserve"> have not yet been introduced. Due to the weak involvement of other ministries, departments and local </w:t>
            </w:r>
            <w:r w:rsidR="0052768F">
              <w:rPr>
                <w:rFonts w:cstheme="minorHAnsi"/>
                <w:bCs/>
                <w:lang w:val="en"/>
              </w:rPr>
              <w:t>authorities</w:t>
            </w:r>
            <w:r w:rsidR="0052768F" w:rsidRPr="0023526B">
              <w:rPr>
                <w:rFonts w:cstheme="minorHAnsi"/>
                <w:bCs/>
                <w:lang w:val="en"/>
              </w:rPr>
              <w:t xml:space="preserve"> in fulfilling the obligations stipulated by the Law of the Kyrgyz Republic "On Public Health" (No. 248, dated 07/24/2009), work on prevention, detection, diagnosis, treatment and social support of </w:t>
            </w:r>
            <w:r w:rsidR="004201BD">
              <w:rPr>
                <w:rFonts w:cstheme="minorHAnsi"/>
                <w:bCs/>
                <w:lang w:val="en"/>
              </w:rPr>
              <w:t xml:space="preserve">people TB </w:t>
            </w:r>
            <w:r w:rsidR="0052768F" w:rsidRPr="0023526B">
              <w:rPr>
                <w:rFonts w:cstheme="minorHAnsi"/>
                <w:bCs/>
                <w:lang w:val="en"/>
              </w:rPr>
              <w:t xml:space="preserve">is not carried out at the proper level. NTP developed </w:t>
            </w:r>
            <w:r w:rsidR="00FD145E">
              <w:rPr>
                <w:rFonts w:cstheme="minorHAnsi"/>
                <w:bCs/>
                <w:lang w:val="en"/>
              </w:rPr>
              <w:t xml:space="preserve">new clinical protocol / clinical </w:t>
            </w:r>
            <w:r w:rsidR="005C050F">
              <w:rPr>
                <w:rFonts w:cstheme="minorHAnsi"/>
                <w:bCs/>
                <w:lang w:val="en"/>
              </w:rPr>
              <w:t>guidelines</w:t>
            </w:r>
            <w:r w:rsidR="0052768F" w:rsidRPr="0023526B">
              <w:rPr>
                <w:rFonts w:cstheme="minorHAnsi"/>
                <w:bCs/>
                <w:lang w:val="en"/>
              </w:rPr>
              <w:t xml:space="preserve"> for </w:t>
            </w:r>
            <w:r w:rsidR="00FD145E">
              <w:rPr>
                <w:rFonts w:cstheme="minorHAnsi"/>
                <w:bCs/>
                <w:lang w:val="en"/>
              </w:rPr>
              <w:t>TBI</w:t>
            </w:r>
            <w:r w:rsidR="0052768F" w:rsidRPr="0023526B">
              <w:rPr>
                <w:rFonts w:cstheme="minorHAnsi"/>
                <w:bCs/>
                <w:lang w:val="en"/>
              </w:rPr>
              <w:t xml:space="preserve"> (2023), which </w:t>
            </w:r>
            <w:r w:rsidR="00A46AFD">
              <w:rPr>
                <w:rFonts w:cstheme="minorHAnsi"/>
                <w:bCs/>
                <w:lang w:val="en"/>
              </w:rPr>
              <w:t>introduce</w:t>
            </w:r>
            <w:r w:rsidR="0052768F" w:rsidRPr="0023526B">
              <w:rPr>
                <w:rFonts w:cstheme="minorHAnsi"/>
                <w:bCs/>
                <w:lang w:val="en"/>
              </w:rPr>
              <w:t xml:space="preserve"> new short-term TPT regimes. The Ministry of Health will introduce new TPT regimes for certain categories of the population. There are also measures </w:t>
            </w:r>
            <w:r w:rsidR="0052768F" w:rsidRPr="0023526B">
              <w:rPr>
                <w:rFonts w:cstheme="minorHAnsi"/>
                <w:bCs/>
                <w:lang w:val="en"/>
              </w:rPr>
              <w:lastRenderedPageBreak/>
              <w:t xml:space="preserve">to ensure support and accompaniment during the intake of TPT drugs and its successful completion, effective interaction between different structures of the health care system to record </w:t>
            </w:r>
            <w:r w:rsidR="0052768F">
              <w:rPr>
                <w:rFonts w:cstheme="minorHAnsi"/>
                <w:bCs/>
                <w:lang w:val="en"/>
              </w:rPr>
              <w:t>people</w:t>
            </w:r>
            <w:r w:rsidR="0052768F" w:rsidRPr="0023526B">
              <w:rPr>
                <w:rFonts w:cstheme="minorHAnsi"/>
                <w:bCs/>
                <w:lang w:val="en"/>
              </w:rPr>
              <w:t xml:space="preserve"> taken for preventive treatment, and monitoring.</w:t>
            </w:r>
            <w:r w:rsidR="00D40BA2">
              <w:rPr>
                <w:rFonts w:cstheme="minorHAnsi"/>
                <w:bCs/>
                <w:lang w:val="en"/>
              </w:rPr>
              <w:t xml:space="preserve"> </w:t>
            </w:r>
            <w:r w:rsidR="0052768F" w:rsidRPr="0023526B">
              <w:rPr>
                <w:rFonts w:cstheme="minorHAnsi"/>
                <w:bCs/>
                <w:lang w:val="en"/>
              </w:rPr>
              <w:t>There is a registration of the necessary drugs for preventive treatment (HR), mechanisms have been developed for their purchase at the expense of the republican budget, except for rifapentine, which is planned to be registered in 2023 in a combined form (300 /300mg)</w:t>
            </w:r>
            <w:r w:rsidR="0052768F" w:rsidRPr="0023526B">
              <w:rPr>
                <w:rFonts w:eastAsia="Tahoma" w:cstheme="minorHAnsi"/>
                <w:bCs/>
                <w:color w:val="000000" w:themeColor="text1"/>
                <w:lang w:val="en"/>
              </w:rPr>
              <w:t xml:space="preserve">. </w:t>
            </w:r>
            <w:r w:rsidR="0052768F" w:rsidRPr="0023526B">
              <w:rPr>
                <w:rFonts w:cstheme="minorHAnsi"/>
                <w:bCs/>
                <w:lang w:val="en"/>
              </w:rPr>
              <w:t xml:space="preserve">It is planned to </w:t>
            </w:r>
            <w:r w:rsidR="0052768F" w:rsidRPr="00D40BA2">
              <w:rPr>
                <w:rFonts w:cstheme="minorHAnsi"/>
                <w:bCs/>
                <w:lang w:val="en"/>
              </w:rPr>
              <w:t>provide TPT for people from tuberculosis contact centers.</w:t>
            </w:r>
            <w:r w:rsidR="0052768F" w:rsidRPr="0023526B">
              <w:rPr>
                <w:rFonts w:cstheme="minorHAnsi"/>
                <w:bCs/>
                <w:lang w:val="en"/>
              </w:rPr>
              <w:t xml:space="preserve"> At the expense of the GF funds, rifapentine will be purchased for the treatment of 150, 300 and 400 contact </w:t>
            </w:r>
            <w:r w:rsidR="0052768F">
              <w:rPr>
                <w:rFonts w:cstheme="minorHAnsi"/>
                <w:bCs/>
                <w:lang w:val="en"/>
              </w:rPr>
              <w:t>cases</w:t>
            </w:r>
            <w:r w:rsidR="0052768F" w:rsidRPr="0023526B">
              <w:rPr>
                <w:rFonts w:cstheme="minorHAnsi"/>
                <w:bCs/>
                <w:lang w:val="en"/>
              </w:rPr>
              <w:t xml:space="preserve"> at the rate of 900, 1,200 and 1,500 (including children) in 2024-2026, respectively.</w:t>
            </w:r>
          </w:p>
          <w:p w14:paraId="66BC6F71"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23526B">
              <w:rPr>
                <w:rFonts w:cstheme="minorHAnsi"/>
                <w:bCs/>
                <w:lang w:val="en"/>
              </w:rPr>
              <w:t xml:space="preserve">An important feature in the Kyrgyz Republic is the low motivation of people to receive TPT. Until 2023, in the Kyrgyz Republic, the management of TB cases concerned only the child population. According to the NCP reporting data for 2020-2021, out of 14,000 exposed </w:t>
            </w:r>
            <w:r>
              <w:rPr>
                <w:rFonts w:cstheme="minorHAnsi"/>
                <w:bCs/>
                <w:lang w:val="en"/>
              </w:rPr>
              <w:t>people</w:t>
            </w:r>
            <w:r w:rsidRPr="0023526B">
              <w:rPr>
                <w:rFonts w:cstheme="minorHAnsi"/>
                <w:bCs/>
                <w:lang w:val="en"/>
              </w:rPr>
              <w:t xml:space="preserve">, only 301-307 children received preventive treatment. Therefore, in the 1st year of the project implementation, a </w:t>
            </w:r>
            <w:r w:rsidRPr="0023526B">
              <w:rPr>
                <w:rFonts w:cstheme="minorHAnsi"/>
                <w:b/>
                <w:bCs/>
                <w:lang w:val="en"/>
              </w:rPr>
              <w:t>KAP study is planned to identify the main behavioral barriers preventing the expansion</w:t>
            </w:r>
            <w:r w:rsidRPr="0023526B">
              <w:rPr>
                <w:rFonts w:cstheme="minorHAnsi"/>
                <w:bCs/>
                <w:lang w:val="en"/>
              </w:rPr>
              <w:t xml:space="preserve"> of the use of TPT.</w:t>
            </w:r>
          </w:p>
          <w:p w14:paraId="660C4074"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23526B">
              <w:rPr>
                <w:rFonts w:cstheme="minorHAnsi"/>
                <w:bCs/>
                <w:lang w:val="en"/>
              </w:rPr>
              <w:t xml:space="preserve">Expanding access to modern laboratory and instrumental research and ensuring the quality of diagnostics is an important priority of the National TB-VI Program. </w:t>
            </w:r>
          </w:p>
          <w:p w14:paraId="7F118C63" w14:textId="2E5858AF"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lang w:val="en"/>
              </w:rPr>
              <w:t xml:space="preserve">First </w:t>
            </w:r>
            <w:r w:rsidRPr="0023526B">
              <w:rPr>
                <w:rFonts w:cstheme="minorHAnsi"/>
                <w:bCs/>
                <w:lang w:val="en"/>
              </w:rPr>
              <w:t xml:space="preserve">11 </w:t>
            </w:r>
            <w:proofErr w:type="spellStart"/>
            <w:r w:rsidRPr="0023526B">
              <w:rPr>
                <w:rFonts w:cstheme="minorHAnsi"/>
                <w:bCs/>
                <w:lang w:val="en"/>
              </w:rPr>
              <w:t>Xpert</w:t>
            </w:r>
            <w:proofErr w:type="spellEnd"/>
            <w:r w:rsidRPr="0023526B">
              <w:rPr>
                <w:rFonts w:cstheme="minorHAnsi"/>
                <w:bCs/>
                <w:lang w:val="en"/>
              </w:rPr>
              <w:t xml:space="preserve"> platforms were purchased in the country in 2008-2011, then several </w:t>
            </w:r>
            <w:r>
              <w:rPr>
                <w:rFonts w:cstheme="minorHAnsi"/>
                <w:bCs/>
                <w:lang w:val="en"/>
              </w:rPr>
              <w:t>more were purchased</w:t>
            </w:r>
            <w:r w:rsidRPr="0023526B">
              <w:rPr>
                <w:rFonts w:cstheme="minorHAnsi"/>
                <w:bCs/>
                <w:lang w:val="en"/>
              </w:rPr>
              <w:t>. In general, there are 25 platforms in th</w:t>
            </w:r>
            <w:r w:rsidR="005B0B9B">
              <w:rPr>
                <w:rFonts w:cstheme="minorHAnsi"/>
                <w:bCs/>
                <w:lang w:val="en"/>
              </w:rPr>
              <w:t>e country</w:t>
            </w:r>
            <w:r w:rsidR="00BE2CD2">
              <w:rPr>
                <w:rFonts w:cstheme="minorHAnsi"/>
                <w:bCs/>
                <w:lang w:val="en"/>
              </w:rPr>
              <w:t xml:space="preserve"> with</w:t>
            </w:r>
            <w:r w:rsidRPr="0023526B">
              <w:rPr>
                <w:rFonts w:cstheme="minorHAnsi"/>
                <w:bCs/>
                <w:lang w:val="en"/>
              </w:rPr>
              <w:t xml:space="preserve"> 84 modules in total. In 2023, USAID</w:t>
            </w:r>
            <w:r>
              <w:rPr>
                <w:rFonts w:cstheme="minorHAnsi"/>
                <w:bCs/>
                <w:lang w:val="en"/>
              </w:rPr>
              <w:t>-funded project</w:t>
            </w:r>
            <w:r w:rsidRPr="0023526B">
              <w:rPr>
                <w:rFonts w:cstheme="minorHAnsi"/>
                <w:bCs/>
                <w:lang w:val="en"/>
              </w:rPr>
              <w:t xml:space="preserve"> Cure TB will purchase 5 additional platforms equipped with 10-color modules, which allows testing with </w:t>
            </w:r>
            <w:proofErr w:type="spellStart"/>
            <w:r w:rsidRPr="0023526B">
              <w:rPr>
                <w:rFonts w:cstheme="minorHAnsi"/>
                <w:bCs/>
                <w:lang w:val="en"/>
              </w:rPr>
              <w:t>Xpert</w:t>
            </w:r>
            <w:proofErr w:type="spellEnd"/>
            <w:r w:rsidRPr="0023526B">
              <w:rPr>
                <w:rFonts w:cstheme="minorHAnsi"/>
                <w:bCs/>
                <w:lang w:val="en"/>
              </w:rPr>
              <w:t xml:space="preserve"> XDR cartridges. Some of the old modules are out of order, </w:t>
            </w:r>
            <w:r>
              <w:rPr>
                <w:rFonts w:cstheme="minorHAnsi"/>
                <w:bCs/>
                <w:lang w:val="en"/>
              </w:rPr>
              <w:t>others</w:t>
            </w:r>
            <w:r w:rsidRPr="0023526B">
              <w:rPr>
                <w:rFonts w:cstheme="minorHAnsi"/>
                <w:bCs/>
                <w:lang w:val="en"/>
              </w:rPr>
              <w:t xml:space="preserve"> need to be replaced/updated. </w:t>
            </w:r>
          </w:p>
          <w:p w14:paraId="5F43A188"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23526B">
              <w:rPr>
                <w:rFonts w:cstheme="minorHAnsi"/>
                <w:bCs/>
                <w:lang w:val="en"/>
              </w:rPr>
              <w:t>To improve the coverage</w:t>
            </w:r>
            <w:r w:rsidRPr="0023526B">
              <w:rPr>
                <w:rFonts w:cstheme="minorHAnsi"/>
                <w:b/>
                <w:lang w:val="en"/>
              </w:rPr>
              <w:t xml:space="preserve"> of tuberculosis diagnosis using Rapid Molecular Diagnostics </w:t>
            </w:r>
            <w:r w:rsidRPr="0023526B">
              <w:rPr>
                <w:rFonts w:cstheme="minorHAnsi"/>
                <w:bCs/>
                <w:lang w:val="en"/>
              </w:rPr>
              <w:t>(GeneXpert) tools, the following are necessary:</w:t>
            </w:r>
          </w:p>
          <w:p w14:paraId="4098CA14" w14:textId="77777777" w:rsidR="0052768F" w:rsidRPr="00E769B9" w:rsidRDefault="0052768F" w:rsidP="0052768F">
            <w:pPr>
              <w:spacing w:after="0"/>
              <w:jc w:val="both"/>
              <w:cnfStyle w:val="000000100000" w:firstRow="0" w:lastRow="0" w:firstColumn="0" w:lastColumn="0" w:oddVBand="0" w:evenVBand="0" w:oddHBand="1" w:evenHBand="0" w:firstRowFirstColumn="0" w:firstRowLastColumn="0" w:lastRowFirstColumn="0" w:lastRowLastColumn="0"/>
              <w:rPr>
                <w:rFonts w:cstheme="minorHAnsi"/>
              </w:rPr>
            </w:pPr>
            <w:r w:rsidRPr="0023526B">
              <w:rPr>
                <w:rFonts w:cstheme="minorHAnsi"/>
                <w:lang w:val="en"/>
              </w:rPr>
              <w:t xml:space="preserve">- Expansion of the use of </w:t>
            </w:r>
            <w:proofErr w:type="spellStart"/>
            <w:r w:rsidRPr="0023526B">
              <w:rPr>
                <w:rFonts w:cstheme="minorHAnsi"/>
                <w:lang w:val="en"/>
              </w:rPr>
              <w:t>Xpert</w:t>
            </w:r>
            <w:proofErr w:type="spellEnd"/>
            <w:r w:rsidRPr="0023526B">
              <w:rPr>
                <w:rFonts w:cstheme="minorHAnsi"/>
                <w:lang w:val="en"/>
              </w:rPr>
              <w:t xml:space="preserve"> Ultra as an initial test for all </w:t>
            </w:r>
            <w:r>
              <w:rPr>
                <w:rFonts w:cstheme="minorHAnsi"/>
                <w:lang w:val="en"/>
              </w:rPr>
              <w:t>people</w:t>
            </w:r>
            <w:r w:rsidRPr="0023526B">
              <w:rPr>
                <w:rFonts w:cstheme="minorHAnsi"/>
                <w:lang w:val="en"/>
              </w:rPr>
              <w:t xml:space="preserve"> with TB symptoms and an increase in the number of tests performed in absolute terms.</w:t>
            </w:r>
          </w:p>
          <w:p w14:paraId="408D3BC7" w14:textId="0D76A2C1"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3526B">
              <w:rPr>
                <w:rFonts w:cstheme="minorHAnsi"/>
                <w:lang w:val="en"/>
              </w:rPr>
              <w:t xml:space="preserve">- Upgrade of GeneXpert devices with 6-color modules to 10-color ones in order to decentralize </w:t>
            </w:r>
            <w:r w:rsidR="002C55AB">
              <w:rPr>
                <w:rFonts w:cstheme="minorHAnsi"/>
                <w:lang w:val="en"/>
              </w:rPr>
              <w:t>DST</w:t>
            </w:r>
            <w:r w:rsidRPr="0023526B">
              <w:rPr>
                <w:rFonts w:cstheme="minorHAnsi"/>
                <w:lang w:val="en"/>
              </w:rPr>
              <w:t xml:space="preserve"> to fluoroquinolones and isoniazid in all </w:t>
            </w:r>
            <w:proofErr w:type="spellStart"/>
            <w:r w:rsidRPr="0023526B">
              <w:rPr>
                <w:rFonts w:cstheme="minorHAnsi"/>
                <w:lang w:val="en"/>
              </w:rPr>
              <w:t>Xpert</w:t>
            </w:r>
            <w:proofErr w:type="spellEnd"/>
            <w:r w:rsidRPr="0023526B">
              <w:rPr>
                <w:rFonts w:cstheme="minorHAnsi"/>
                <w:lang w:val="en"/>
              </w:rPr>
              <w:t xml:space="preserve"> testing centers: upgrade of 18 devices with 4 modules for regional centers (72 modules) and 7 devices with 2 modules (14 modules) with simultaneous updating of computers with WIN7 </w:t>
            </w:r>
            <w:r w:rsidR="002C55AB">
              <w:rPr>
                <w:rFonts w:cstheme="minorHAnsi"/>
                <w:lang w:val="en"/>
              </w:rPr>
              <w:t>to</w:t>
            </w:r>
            <w:r w:rsidRPr="0023526B">
              <w:rPr>
                <w:rFonts w:cstheme="minorHAnsi"/>
                <w:lang w:val="en"/>
              </w:rPr>
              <w:t xml:space="preserve"> WIN10, as well as an extended 3-year warranty, replacement of modules based on calibration results (28 modules in the second and third year).</w:t>
            </w:r>
          </w:p>
          <w:p w14:paraId="053B2B52"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3526B">
              <w:rPr>
                <w:rFonts w:cstheme="minorHAnsi"/>
                <w:bCs/>
                <w:lang w:val="en"/>
              </w:rPr>
              <w:t>Providing the population</w:t>
            </w:r>
            <w:r w:rsidRPr="0023526B">
              <w:rPr>
                <w:rFonts w:cstheme="minorHAnsi"/>
                <w:b/>
                <w:bCs/>
                <w:lang w:val="en"/>
              </w:rPr>
              <w:t xml:space="preserve"> with the use of rapid molecular diagnostics (</w:t>
            </w:r>
            <w:proofErr w:type="spellStart"/>
            <w:r w:rsidRPr="0023526B">
              <w:rPr>
                <w:rFonts w:cstheme="minorHAnsi"/>
                <w:b/>
                <w:bCs/>
                <w:lang w:val="en"/>
              </w:rPr>
              <w:t>Xpert</w:t>
            </w:r>
            <w:proofErr w:type="spellEnd"/>
            <w:r w:rsidRPr="0023526B">
              <w:rPr>
                <w:rFonts w:cstheme="minorHAnsi"/>
                <w:b/>
                <w:bCs/>
                <w:lang w:val="en"/>
              </w:rPr>
              <w:t xml:space="preserve"> XDR</w:t>
            </w:r>
            <w:r w:rsidRPr="0023526B">
              <w:rPr>
                <w:rFonts w:cstheme="minorHAnsi"/>
                <w:lang w:val="en"/>
              </w:rPr>
              <w:t>,</w:t>
            </w:r>
            <w:r w:rsidRPr="0023526B">
              <w:rPr>
                <w:rFonts w:cstheme="minorHAnsi"/>
                <w:b/>
                <w:bCs/>
                <w:lang w:val="en"/>
              </w:rPr>
              <w:t xml:space="preserve"> LPA for TB drugs of the 1st and 2nd </w:t>
            </w:r>
            <w:r>
              <w:rPr>
                <w:rFonts w:cstheme="minorHAnsi"/>
                <w:b/>
                <w:bCs/>
                <w:lang w:val="en"/>
              </w:rPr>
              <w:t>lines</w:t>
            </w:r>
            <w:r w:rsidRPr="0023526B">
              <w:rPr>
                <w:rFonts w:cstheme="minorHAnsi"/>
                <w:b/>
                <w:bCs/>
                <w:lang w:val="en"/>
              </w:rPr>
              <w:t xml:space="preserve">, culture tests and DST, including for new drugs) in decentralized conditions will </w:t>
            </w:r>
            <w:r w:rsidRPr="0023526B">
              <w:rPr>
                <w:rFonts w:cstheme="minorHAnsi"/>
                <w:bCs/>
                <w:lang w:val="en"/>
              </w:rPr>
              <w:t xml:space="preserve">ensure the quality of diagnosis and adequate </w:t>
            </w:r>
            <w:r>
              <w:rPr>
                <w:rFonts w:cstheme="minorHAnsi"/>
                <w:bCs/>
                <w:lang w:val="en"/>
              </w:rPr>
              <w:t>treatment</w:t>
            </w:r>
            <w:r w:rsidRPr="0023526B">
              <w:rPr>
                <w:rFonts w:cstheme="minorHAnsi"/>
                <w:bCs/>
                <w:lang w:val="en"/>
              </w:rPr>
              <w:t xml:space="preserve"> based on the results of </w:t>
            </w:r>
            <w:r>
              <w:rPr>
                <w:rFonts w:cstheme="minorHAnsi"/>
                <w:bCs/>
                <w:lang w:val="en"/>
              </w:rPr>
              <w:t>DST</w:t>
            </w:r>
            <w:r w:rsidRPr="0023526B">
              <w:rPr>
                <w:rFonts w:cstheme="minorHAnsi"/>
                <w:b/>
                <w:bCs/>
                <w:lang w:val="en"/>
              </w:rPr>
              <w:t xml:space="preserve">. </w:t>
            </w:r>
            <w:r>
              <w:rPr>
                <w:rFonts w:cstheme="minorHAnsi"/>
                <w:b/>
                <w:bCs/>
                <w:lang w:val="en"/>
              </w:rPr>
              <w:t>Procurement</w:t>
            </w:r>
            <w:r w:rsidRPr="0023526B">
              <w:rPr>
                <w:rFonts w:cstheme="minorHAnsi"/>
                <w:b/>
                <w:bCs/>
                <w:lang w:val="en"/>
              </w:rPr>
              <w:t xml:space="preserve"> and distribution of equipment, reagents and kits for DST will </w:t>
            </w:r>
            <w:r w:rsidRPr="0023526B">
              <w:rPr>
                <w:rFonts w:cstheme="minorHAnsi"/>
                <w:bCs/>
                <w:lang w:val="en"/>
              </w:rPr>
              <w:t>ensure the continuity of diagnostic work</w:t>
            </w:r>
            <w:r w:rsidRPr="0023526B">
              <w:rPr>
                <w:rFonts w:cstheme="minorHAnsi"/>
                <w:b/>
                <w:bCs/>
                <w:lang w:val="en"/>
              </w:rPr>
              <w:t>.</w:t>
            </w:r>
          </w:p>
          <w:p w14:paraId="49F99D17"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3526B">
              <w:rPr>
                <w:rFonts w:cstheme="minorHAnsi"/>
                <w:bCs/>
                <w:lang w:val="en"/>
              </w:rPr>
              <w:lastRenderedPageBreak/>
              <w:t>Taking into account the gradual expansion of state funding for TB programs, the state budget will cover the costs of p</w:t>
            </w:r>
            <w:r>
              <w:rPr>
                <w:rFonts w:cstheme="minorHAnsi"/>
                <w:bCs/>
                <w:lang w:val="en"/>
              </w:rPr>
              <w:t>rocurement of</w:t>
            </w:r>
            <w:r w:rsidRPr="0023526B">
              <w:rPr>
                <w:rFonts w:cstheme="minorHAnsi"/>
                <w:bCs/>
                <w:lang w:val="en"/>
              </w:rPr>
              <w:t xml:space="preserve"> reagents and consumables for microscopic studies (with the exception of auramine), as well as PPE and other consumables that are present on the local market, including repair and professional maintenance of TB laboratory equipment.</w:t>
            </w:r>
          </w:p>
          <w:p w14:paraId="6A75DB28"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3526B">
              <w:rPr>
                <w:rFonts w:cstheme="minorHAnsi"/>
                <w:lang w:val="en"/>
              </w:rPr>
              <w:t>Planning by the number of laboratory tests by type.</w:t>
            </w:r>
          </w:p>
          <w:tbl>
            <w:tblPr>
              <w:tblStyle w:val="TableGrid"/>
              <w:tblW w:w="0" w:type="auto"/>
              <w:tblLook w:val="04A0" w:firstRow="1" w:lastRow="0" w:firstColumn="1" w:lastColumn="0" w:noHBand="0" w:noVBand="1"/>
            </w:tblPr>
            <w:tblGrid>
              <w:gridCol w:w="2427"/>
              <w:gridCol w:w="1134"/>
              <w:gridCol w:w="1134"/>
              <w:gridCol w:w="1134"/>
              <w:gridCol w:w="1134"/>
            </w:tblGrid>
            <w:tr w:rsidR="0052768F" w14:paraId="1A25CB1C" w14:textId="77777777" w:rsidTr="00294243">
              <w:tc>
                <w:tcPr>
                  <w:tcW w:w="2427" w:type="dxa"/>
                </w:tcPr>
                <w:p w14:paraId="46657F46" w14:textId="77777777" w:rsidR="0052768F" w:rsidRPr="00E769B9" w:rsidRDefault="0052768F" w:rsidP="005B1BD5">
                  <w:pPr>
                    <w:pStyle w:val="ListParagraph"/>
                    <w:framePr w:wrap="around" w:vAnchor="text" w:hAnchor="margin" w:y="1"/>
                    <w:spacing w:after="0"/>
                    <w:ind w:left="0"/>
                    <w:suppressOverlap/>
                    <w:jc w:val="both"/>
                    <w:rPr>
                      <w:b/>
                      <w:bCs/>
                      <w:sz w:val="24"/>
                      <w:szCs w:val="24"/>
                    </w:rPr>
                  </w:pPr>
                  <w:r>
                    <w:rPr>
                      <w:b/>
                      <w:bCs/>
                      <w:sz w:val="24"/>
                      <w:szCs w:val="24"/>
                      <w:lang w:val="en"/>
                    </w:rPr>
                    <w:t>Type of test</w:t>
                  </w:r>
                </w:p>
              </w:tc>
              <w:tc>
                <w:tcPr>
                  <w:tcW w:w="1134" w:type="dxa"/>
                </w:tcPr>
                <w:p w14:paraId="3ED06FEE" w14:textId="77777777" w:rsidR="0052768F" w:rsidRPr="00E769B9" w:rsidRDefault="0052768F" w:rsidP="005B1BD5">
                  <w:pPr>
                    <w:pStyle w:val="ListParagraph"/>
                    <w:framePr w:wrap="around" w:vAnchor="text" w:hAnchor="margin" w:y="1"/>
                    <w:spacing w:after="0"/>
                    <w:ind w:left="0"/>
                    <w:suppressOverlap/>
                    <w:jc w:val="center"/>
                    <w:rPr>
                      <w:b/>
                      <w:bCs/>
                      <w:sz w:val="24"/>
                      <w:szCs w:val="24"/>
                    </w:rPr>
                  </w:pPr>
                  <w:r>
                    <w:rPr>
                      <w:b/>
                      <w:bCs/>
                      <w:sz w:val="24"/>
                      <w:szCs w:val="24"/>
                      <w:lang w:val="en"/>
                    </w:rPr>
                    <w:t>2024</w:t>
                  </w:r>
                </w:p>
              </w:tc>
              <w:tc>
                <w:tcPr>
                  <w:tcW w:w="1134" w:type="dxa"/>
                </w:tcPr>
                <w:p w14:paraId="5D62CC95" w14:textId="77777777" w:rsidR="0052768F" w:rsidRPr="00E769B9" w:rsidRDefault="0052768F" w:rsidP="005B1BD5">
                  <w:pPr>
                    <w:pStyle w:val="ListParagraph"/>
                    <w:framePr w:wrap="around" w:vAnchor="text" w:hAnchor="margin" w:y="1"/>
                    <w:spacing w:after="0"/>
                    <w:ind w:left="0"/>
                    <w:suppressOverlap/>
                    <w:jc w:val="center"/>
                    <w:rPr>
                      <w:b/>
                      <w:bCs/>
                      <w:sz w:val="24"/>
                      <w:szCs w:val="24"/>
                    </w:rPr>
                  </w:pPr>
                  <w:r>
                    <w:rPr>
                      <w:b/>
                      <w:bCs/>
                      <w:sz w:val="24"/>
                      <w:szCs w:val="24"/>
                      <w:lang w:val="en"/>
                    </w:rPr>
                    <w:t>2025</w:t>
                  </w:r>
                </w:p>
              </w:tc>
              <w:tc>
                <w:tcPr>
                  <w:tcW w:w="1134" w:type="dxa"/>
                </w:tcPr>
                <w:p w14:paraId="324F6924" w14:textId="77777777" w:rsidR="0052768F" w:rsidRPr="00E769B9" w:rsidRDefault="0052768F" w:rsidP="005B1BD5">
                  <w:pPr>
                    <w:pStyle w:val="ListParagraph"/>
                    <w:framePr w:wrap="around" w:vAnchor="text" w:hAnchor="margin" w:y="1"/>
                    <w:spacing w:after="0"/>
                    <w:ind w:left="0"/>
                    <w:suppressOverlap/>
                    <w:jc w:val="center"/>
                    <w:rPr>
                      <w:b/>
                      <w:bCs/>
                      <w:sz w:val="24"/>
                      <w:szCs w:val="24"/>
                    </w:rPr>
                  </w:pPr>
                  <w:r>
                    <w:rPr>
                      <w:b/>
                      <w:bCs/>
                      <w:sz w:val="24"/>
                      <w:szCs w:val="24"/>
                      <w:lang w:val="en"/>
                    </w:rPr>
                    <w:t>2026</w:t>
                  </w:r>
                </w:p>
              </w:tc>
              <w:tc>
                <w:tcPr>
                  <w:tcW w:w="1134" w:type="dxa"/>
                </w:tcPr>
                <w:p w14:paraId="2B814AF8" w14:textId="77777777" w:rsidR="0052768F" w:rsidRPr="00E769B9" w:rsidRDefault="0052768F" w:rsidP="005B1BD5">
                  <w:pPr>
                    <w:pStyle w:val="ListParagraph"/>
                    <w:framePr w:wrap="around" w:vAnchor="text" w:hAnchor="margin" w:y="1"/>
                    <w:spacing w:after="0"/>
                    <w:ind w:left="0"/>
                    <w:suppressOverlap/>
                    <w:jc w:val="center"/>
                    <w:rPr>
                      <w:b/>
                      <w:bCs/>
                      <w:sz w:val="24"/>
                      <w:szCs w:val="24"/>
                    </w:rPr>
                  </w:pPr>
                  <w:r>
                    <w:rPr>
                      <w:b/>
                      <w:bCs/>
                      <w:sz w:val="24"/>
                      <w:szCs w:val="24"/>
                      <w:lang w:val="en"/>
                    </w:rPr>
                    <w:t>Total</w:t>
                  </w:r>
                </w:p>
              </w:tc>
            </w:tr>
            <w:tr w:rsidR="0052768F" w14:paraId="4E7EF54A" w14:textId="77777777" w:rsidTr="00294243">
              <w:tc>
                <w:tcPr>
                  <w:tcW w:w="2427" w:type="dxa"/>
                </w:tcPr>
                <w:p w14:paraId="36EDC1CC" w14:textId="77777777" w:rsidR="0052768F" w:rsidRPr="00E769B9" w:rsidRDefault="0052768F" w:rsidP="005B1BD5">
                  <w:pPr>
                    <w:pStyle w:val="ListParagraph"/>
                    <w:framePr w:wrap="around" w:vAnchor="text" w:hAnchor="margin" w:y="1"/>
                    <w:spacing w:after="0"/>
                    <w:ind w:left="0"/>
                    <w:suppressOverlap/>
                    <w:jc w:val="both"/>
                    <w:rPr>
                      <w:sz w:val="24"/>
                      <w:szCs w:val="24"/>
                    </w:rPr>
                  </w:pPr>
                  <w:proofErr w:type="spellStart"/>
                  <w:r w:rsidRPr="00601FFA">
                    <w:rPr>
                      <w:sz w:val="24"/>
                      <w:szCs w:val="24"/>
                      <w:lang w:val="en"/>
                    </w:rPr>
                    <w:t>Xpert</w:t>
                  </w:r>
                  <w:proofErr w:type="spellEnd"/>
                  <w:r w:rsidRPr="00601FFA">
                    <w:rPr>
                      <w:sz w:val="24"/>
                      <w:szCs w:val="24"/>
                      <w:lang w:val="en"/>
                    </w:rPr>
                    <w:t xml:space="preserve"> Ultra</w:t>
                  </w:r>
                </w:p>
              </w:tc>
              <w:tc>
                <w:tcPr>
                  <w:tcW w:w="1134" w:type="dxa"/>
                </w:tcPr>
                <w:p w14:paraId="5A3073AB"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312A75">
                    <w:rPr>
                      <w:sz w:val="24"/>
                      <w:szCs w:val="24"/>
                      <w:lang w:val="en"/>
                    </w:rPr>
                    <w:t>25,000</w:t>
                  </w:r>
                </w:p>
              </w:tc>
              <w:tc>
                <w:tcPr>
                  <w:tcW w:w="1134" w:type="dxa"/>
                </w:tcPr>
                <w:p w14:paraId="0FD248AE"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312A75">
                    <w:rPr>
                      <w:sz w:val="24"/>
                      <w:szCs w:val="24"/>
                      <w:lang w:val="en"/>
                    </w:rPr>
                    <w:t>30,000</w:t>
                  </w:r>
                </w:p>
              </w:tc>
              <w:tc>
                <w:tcPr>
                  <w:tcW w:w="1134" w:type="dxa"/>
                </w:tcPr>
                <w:p w14:paraId="113B01B9"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312A75">
                    <w:rPr>
                      <w:sz w:val="24"/>
                      <w:szCs w:val="24"/>
                      <w:lang w:val="en"/>
                    </w:rPr>
                    <w:t>35,000</w:t>
                  </w:r>
                </w:p>
              </w:tc>
              <w:tc>
                <w:tcPr>
                  <w:tcW w:w="1134" w:type="dxa"/>
                </w:tcPr>
                <w:p w14:paraId="1FBDC6C3"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312A75">
                    <w:rPr>
                      <w:sz w:val="24"/>
                      <w:szCs w:val="24"/>
                      <w:lang w:val="en"/>
                    </w:rPr>
                    <w:t>90,000</w:t>
                  </w:r>
                </w:p>
              </w:tc>
            </w:tr>
            <w:tr w:rsidR="0052768F" w14:paraId="7827B1F6" w14:textId="77777777" w:rsidTr="00294243">
              <w:tc>
                <w:tcPr>
                  <w:tcW w:w="2427" w:type="dxa"/>
                </w:tcPr>
                <w:p w14:paraId="7794F88A" w14:textId="77777777" w:rsidR="0052768F" w:rsidRPr="00E769B9" w:rsidRDefault="0052768F" w:rsidP="005B1BD5">
                  <w:pPr>
                    <w:pStyle w:val="ListParagraph"/>
                    <w:framePr w:wrap="around" w:vAnchor="text" w:hAnchor="margin" w:y="1"/>
                    <w:spacing w:after="0"/>
                    <w:ind w:left="0"/>
                    <w:suppressOverlap/>
                    <w:jc w:val="both"/>
                    <w:rPr>
                      <w:sz w:val="24"/>
                      <w:szCs w:val="24"/>
                    </w:rPr>
                  </w:pPr>
                  <w:proofErr w:type="spellStart"/>
                  <w:r w:rsidRPr="00E442D8">
                    <w:rPr>
                      <w:sz w:val="24"/>
                      <w:szCs w:val="24"/>
                      <w:lang w:val="en"/>
                    </w:rPr>
                    <w:t>Xpert</w:t>
                  </w:r>
                  <w:proofErr w:type="spellEnd"/>
                  <w:r w:rsidRPr="00E442D8">
                    <w:rPr>
                      <w:sz w:val="24"/>
                      <w:szCs w:val="24"/>
                      <w:lang w:val="en"/>
                    </w:rPr>
                    <w:t xml:space="preserve"> XDR</w:t>
                  </w:r>
                </w:p>
              </w:tc>
              <w:tc>
                <w:tcPr>
                  <w:tcW w:w="1134" w:type="dxa"/>
                </w:tcPr>
                <w:p w14:paraId="290FAC1D"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2,000</w:t>
                  </w:r>
                </w:p>
              </w:tc>
              <w:tc>
                <w:tcPr>
                  <w:tcW w:w="1134" w:type="dxa"/>
                </w:tcPr>
                <w:p w14:paraId="594A9040"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2,750</w:t>
                  </w:r>
                </w:p>
              </w:tc>
              <w:tc>
                <w:tcPr>
                  <w:tcW w:w="1134" w:type="dxa"/>
                </w:tcPr>
                <w:p w14:paraId="1C8CDE8A"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2,750</w:t>
                  </w:r>
                </w:p>
              </w:tc>
              <w:tc>
                <w:tcPr>
                  <w:tcW w:w="1134" w:type="dxa"/>
                </w:tcPr>
                <w:p w14:paraId="63420E33"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7,500</w:t>
                  </w:r>
                </w:p>
              </w:tc>
            </w:tr>
            <w:tr w:rsidR="0052768F" w14:paraId="7CB839CD" w14:textId="77777777" w:rsidTr="00294243">
              <w:tc>
                <w:tcPr>
                  <w:tcW w:w="2427" w:type="dxa"/>
                </w:tcPr>
                <w:p w14:paraId="25E318BD" w14:textId="77777777" w:rsidR="0052768F" w:rsidRPr="00E769B9" w:rsidRDefault="0052768F" w:rsidP="005B1BD5">
                  <w:pPr>
                    <w:pStyle w:val="ListParagraph"/>
                    <w:framePr w:wrap="around" w:vAnchor="text" w:hAnchor="margin" w:y="1"/>
                    <w:spacing w:after="0"/>
                    <w:ind w:left="0"/>
                    <w:suppressOverlap/>
                    <w:jc w:val="both"/>
                    <w:rPr>
                      <w:sz w:val="24"/>
                      <w:szCs w:val="24"/>
                    </w:rPr>
                  </w:pPr>
                  <w:r w:rsidRPr="00E442D8">
                    <w:rPr>
                      <w:sz w:val="24"/>
                      <w:szCs w:val="24"/>
                      <w:lang w:val="en"/>
                    </w:rPr>
                    <w:t>FL-LPA</w:t>
                  </w:r>
                </w:p>
              </w:tc>
              <w:tc>
                <w:tcPr>
                  <w:tcW w:w="1134" w:type="dxa"/>
                </w:tcPr>
                <w:p w14:paraId="1438D392"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4,000</w:t>
                  </w:r>
                </w:p>
              </w:tc>
              <w:tc>
                <w:tcPr>
                  <w:tcW w:w="1134" w:type="dxa"/>
                </w:tcPr>
                <w:p w14:paraId="63193166"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3,800</w:t>
                  </w:r>
                </w:p>
              </w:tc>
              <w:tc>
                <w:tcPr>
                  <w:tcW w:w="1134" w:type="dxa"/>
                </w:tcPr>
                <w:p w14:paraId="5888FA15"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3,500</w:t>
                  </w:r>
                </w:p>
              </w:tc>
              <w:tc>
                <w:tcPr>
                  <w:tcW w:w="1134" w:type="dxa"/>
                </w:tcPr>
                <w:p w14:paraId="19EEE447"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11,300</w:t>
                  </w:r>
                </w:p>
              </w:tc>
            </w:tr>
            <w:tr w:rsidR="0052768F" w14:paraId="1616C3BC" w14:textId="77777777" w:rsidTr="00294243">
              <w:tc>
                <w:tcPr>
                  <w:tcW w:w="2427" w:type="dxa"/>
                </w:tcPr>
                <w:p w14:paraId="428E6EA6" w14:textId="77777777" w:rsidR="0052768F" w:rsidRPr="00E769B9" w:rsidRDefault="0052768F" w:rsidP="005B1BD5">
                  <w:pPr>
                    <w:pStyle w:val="ListParagraph"/>
                    <w:framePr w:wrap="around" w:vAnchor="text" w:hAnchor="margin" w:y="1"/>
                    <w:spacing w:after="0"/>
                    <w:ind w:left="0"/>
                    <w:suppressOverlap/>
                    <w:jc w:val="both"/>
                    <w:rPr>
                      <w:sz w:val="24"/>
                      <w:szCs w:val="24"/>
                    </w:rPr>
                  </w:pPr>
                  <w:r w:rsidRPr="00E442D8">
                    <w:rPr>
                      <w:sz w:val="24"/>
                      <w:szCs w:val="24"/>
                      <w:lang w:val="en"/>
                    </w:rPr>
                    <w:t>SL-LPA</w:t>
                  </w:r>
                </w:p>
              </w:tc>
              <w:tc>
                <w:tcPr>
                  <w:tcW w:w="1134" w:type="dxa"/>
                </w:tcPr>
                <w:p w14:paraId="6D37B5D6"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800</w:t>
                  </w:r>
                </w:p>
              </w:tc>
              <w:tc>
                <w:tcPr>
                  <w:tcW w:w="1134" w:type="dxa"/>
                </w:tcPr>
                <w:p w14:paraId="0D47C34A"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600</w:t>
                  </w:r>
                </w:p>
              </w:tc>
              <w:tc>
                <w:tcPr>
                  <w:tcW w:w="1134" w:type="dxa"/>
                </w:tcPr>
                <w:p w14:paraId="151B9AC5"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400</w:t>
                  </w:r>
                </w:p>
              </w:tc>
              <w:tc>
                <w:tcPr>
                  <w:tcW w:w="1134" w:type="dxa"/>
                </w:tcPr>
                <w:p w14:paraId="5F0D2379"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1,800</w:t>
                  </w:r>
                </w:p>
              </w:tc>
            </w:tr>
            <w:tr w:rsidR="0052768F" w14:paraId="200EDD83" w14:textId="77777777" w:rsidTr="00294243">
              <w:tc>
                <w:tcPr>
                  <w:tcW w:w="2427" w:type="dxa"/>
                </w:tcPr>
                <w:p w14:paraId="025FB08F" w14:textId="77777777" w:rsidR="0052768F" w:rsidRPr="00E769B9" w:rsidRDefault="0052768F" w:rsidP="005B1BD5">
                  <w:pPr>
                    <w:pStyle w:val="ListParagraph"/>
                    <w:framePr w:wrap="around" w:vAnchor="text" w:hAnchor="margin" w:y="1"/>
                    <w:spacing w:after="0"/>
                    <w:ind w:left="0"/>
                    <w:suppressOverlap/>
                    <w:jc w:val="both"/>
                    <w:rPr>
                      <w:sz w:val="24"/>
                      <w:szCs w:val="24"/>
                    </w:rPr>
                  </w:pPr>
                  <w:r>
                    <w:rPr>
                      <w:sz w:val="24"/>
                      <w:szCs w:val="24"/>
                      <w:lang w:val="en"/>
                    </w:rPr>
                    <w:t>DST</w:t>
                  </w:r>
                  <w:r w:rsidRPr="00E442D8">
                    <w:rPr>
                      <w:sz w:val="24"/>
                      <w:szCs w:val="24"/>
                      <w:lang w:val="en"/>
                    </w:rPr>
                    <w:t xml:space="preserve"> (MGIT) FLD</w:t>
                  </w:r>
                </w:p>
              </w:tc>
              <w:tc>
                <w:tcPr>
                  <w:tcW w:w="1134" w:type="dxa"/>
                </w:tcPr>
                <w:p w14:paraId="2C050656"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2,500</w:t>
                  </w:r>
                </w:p>
              </w:tc>
              <w:tc>
                <w:tcPr>
                  <w:tcW w:w="1134" w:type="dxa"/>
                </w:tcPr>
                <w:p w14:paraId="57D0E769"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2,500</w:t>
                  </w:r>
                </w:p>
              </w:tc>
              <w:tc>
                <w:tcPr>
                  <w:tcW w:w="1134" w:type="dxa"/>
                </w:tcPr>
                <w:p w14:paraId="044A93A5"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2,500</w:t>
                  </w:r>
                </w:p>
              </w:tc>
              <w:tc>
                <w:tcPr>
                  <w:tcW w:w="1134" w:type="dxa"/>
                </w:tcPr>
                <w:p w14:paraId="3C0ED504"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7,500</w:t>
                  </w:r>
                </w:p>
              </w:tc>
            </w:tr>
            <w:tr w:rsidR="0052768F" w14:paraId="0BB20692" w14:textId="77777777" w:rsidTr="00294243">
              <w:tc>
                <w:tcPr>
                  <w:tcW w:w="2427" w:type="dxa"/>
                  <w:shd w:val="clear" w:color="auto" w:fill="auto"/>
                </w:tcPr>
                <w:p w14:paraId="7554A302" w14:textId="77777777" w:rsidR="0052768F" w:rsidRPr="00E769B9" w:rsidRDefault="0052768F" w:rsidP="005B1BD5">
                  <w:pPr>
                    <w:pStyle w:val="ListParagraph"/>
                    <w:framePr w:wrap="around" w:vAnchor="text" w:hAnchor="margin" w:y="1"/>
                    <w:spacing w:after="0"/>
                    <w:ind w:left="0"/>
                    <w:suppressOverlap/>
                    <w:jc w:val="both"/>
                    <w:rPr>
                      <w:sz w:val="24"/>
                      <w:szCs w:val="24"/>
                    </w:rPr>
                  </w:pPr>
                  <w:r>
                    <w:rPr>
                      <w:sz w:val="24"/>
                      <w:szCs w:val="24"/>
                      <w:lang w:val="en"/>
                    </w:rPr>
                    <w:t>DST</w:t>
                  </w:r>
                  <w:r w:rsidRPr="00E442D8">
                    <w:rPr>
                      <w:sz w:val="24"/>
                      <w:szCs w:val="24"/>
                      <w:lang w:val="en"/>
                    </w:rPr>
                    <w:t xml:space="preserve"> (MGIT) SLD</w:t>
                  </w:r>
                </w:p>
              </w:tc>
              <w:tc>
                <w:tcPr>
                  <w:tcW w:w="1134" w:type="dxa"/>
                  <w:shd w:val="clear" w:color="auto" w:fill="auto"/>
                </w:tcPr>
                <w:p w14:paraId="4AFE7B50"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1,200</w:t>
                  </w:r>
                </w:p>
              </w:tc>
              <w:tc>
                <w:tcPr>
                  <w:tcW w:w="1134" w:type="dxa"/>
                  <w:shd w:val="clear" w:color="auto" w:fill="auto"/>
                </w:tcPr>
                <w:p w14:paraId="1FCD8202"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1,100</w:t>
                  </w:r>
                </w:p>
              </w:tc>
              <w:tc>
                <w:tcPr>
                  <w:tcW w:w="1134" w:type="dxa"/>
                  <w:shd w:val="clear" w:color="auto" w:fill="auto"/>
                </w:tcPr>
                <w:p w14:paraId="2A014751"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1,000</w:t>
                  </w:r>
                </w:p>
              </w:tc>
              <w:tc>
                <w:tcPr>
                  <w:tcW w:w="1134" w:type="dxa"/>
                  <w:shd w:val="clear" w:color="auto" w:fill="auto"/>
                </w:tcPr>
                <w:p w14:paraId="0E19B7EF" w14:textId="77777777" w:rsidR="0052768F" w:rsidRPr="00E769B9" w:rsidRDefault="0052768F" w:rsidP="005B1BD5">
                  <w:pPr>
                    <w:pStyle w:val="ListParagraph"/>
                    <w:framePr w:wrap="around" w:vAnchor="text" w:hAnchor="margin" w:y="1"/>
                    <w:spacing w:after="0"/>
                    <w:ind w:left="0"/>
                    <w:suppressOverlap/>
                    <w:jc w:val="center"/>
                    <w:rPr>
                      <w:sz w:val="24"/>
                      <w:szCs w:val="24"/>
                    </w:rPr>
                  </w:pPr>
                  <w:r w:rsidRPr="00E442D8">
                    <w:rPr>
                      <w:sz w:val="24"/>
                      <w:szCs w:val="24"/>
                      <w:lang w:val="en"/>
                    </w:rPr>
                    <w:t>3,300</w:t>
                  </w:r>
                </w:p>
              </w:tc>
            </w:tr>
            <w:tr w:rsidR="0052768F" w14:paraId="118155C0" w14:textId="77777777" w:rsidTr="00294243">
              <w:tc>
                <w:tcPr>
                  <w:tcW w:w="2427" w:type="dxa"/>
                </w:tcPr>
                <w:p w14:paraId="47B2D21A" w14:textId="77777777" w:rsidR="0052768F" w:rsidRPr="00E769B9" w:rsidRDefault="0052768F" w:rsidP="005B1BD5">
                  <w:pPr>
                    <w:pStyle w:val="ListParagraph"/>
                    <w:framePr w:wrap="around" w:vAnchor="text" w:hAnchor="margin" w:y="1"/>
                    <w:spacing w:after="0"/>
                    <w:ind w:left="0"/>
                    <w:suppressOverlap/>
                    <w:jc w:val="both"/>
                    <w:rPr>
                      <w:sz w:val="24"/>
                      <w:szCs w:val="24"/>
                    </w:rPr>
                  </w:pPr>
                  <w:r>
                    <w:rPr>
                      <w:sz w:val="24"/>
                      <w:szCs w:val="24"/>
                      <w:lang w:val="en"/>
                    </w:rPr>
                    <w:t>DST for new TB drugs</w:t>
                  </w:r>
                </w:p>
              </w:tc>
              <w:tc>
                <w:tcPr>
                  <w:tcW w:w="1134" w:type="dxa"/>
                </w:tcPr>
                <w:p w14:paraId="3232F8BA" w14:textId="77777777" w:rsidR="0052768F" w:rsidRPr="00E769B9" w:rsidRDefault="0052768F" w:rsidP="005B1BD5">
                  <w:pPr>
                    <w:pStyle w:val="ListParagraph"/>
                    <w:framePr w:wrap="around" w:vAnchor="text" w:hAnchor="margin" w:y="1"/>
                    <w:spacing w:after="0"/>
                    <w:ind w:left="0"/>
                    <w:suppressOverlap/>
                    <w:jc w:val="center"/>
                    <w:rPr>
                      <w:sz w:val="24"/>
                      <w:szCs w:val="24"/>
                    </w:rPr>
                  </w:pPr>
                  <w:r>
                    <w:rPr>
                      <w:sz w:val="24"/>
                      <w:szCs w:val="24"/>
                      <w:lang w:val="en"/>
                    </w:rPr>
                    <w:t>800</w:t>
                  </w:r>
                </w:p>
              </w:tc>
              <w:tc>
                <w:tcPr>
                  <w:tcW w:w="1134" w:type="dxa"/>
                </w:tcPr>
                <w:p w14:paraId="687CC3C5" w14:textId="77777777" w:rsidR="0052768F" w:rsidRPr="00E769B9" w:rsidRDefault="0052768F" w:rsidP="005B1BD5">
                  <w:pPr>
                    <w:pStyle w:val="ListParagraph"/>
                    <w:framePr w:wrap="around" w:vAnchor="text" w:hAnchor="margin" w:y="1"/>
                    <w:spacing w:after="0"/>
                    <w:ind w:left="0"/>
                    <w:suppressOverlap/>
                    <w:jc w:val="center"/>
                    <w:rPr>
                      <w:sz w:val="24"/>
                      <w:szCs w:val="24"/>
                    </w:rPr>
                  </w:pPr>
                  <w:r>
                    <w:rPr>
                      <w:sz w:val="24"/>
                      <w:szCs w:val="24"/>
                      <w:lang w:val="en"/>
                    </w:rPr>
                    <w:t>800</w:t>
                  </w:r>
                </w:p>
              </w:tc>
              <w:tc>
                <w:tcPr>
                  <w:tcW w:w="1134" w:type="dxa"/>
                </w:tcPr>
                <w:p w14:paraId="156F525B" w14:textId="77777777" w:rsidR="0052768F" w:rsidRPr="00E769B9" w:rsidRDefault="0052768F" w:rsidP="005B1BD5">
                  <w:pPr>
                    <w:pStyle w:val="ListParagraph"/>
                    <w:framePr w:wrap="around" w:vAnchor="text" w:hAnchor="margin" w:y="1"/>
                    <w:spacing w:after="0"/>
                    <w:ind w:left="0"/>
                    <w:suppressOverlap/>
                    <w:jc w:val="center"/>
                    <w:rPr>
                      <w:sz w:val="24"/>
                      <w:szCs w:val="24"/>
                    </w:rPr>
                  </w:pPr>
                  <w:r>
                    <w:rPr>
                      <w:sz w:val="24"/>
                      <w:szCs w:val="24"/>
                      <w:lang w:val="en"/>
                    </w:rPr>
                    <w:t>800</w:t>
                  </w:r>
                </w:p>
              </w:tc>
              <w:tc>
                <w:tcPr>
                  <w:tcW w:w="1134" w:type="dxa"/>
                </w:tcPr>
                <w:p w14:paraId="6AB73536" w14:textId="77777777" w:rsidR="0052768F" w:rsidRPr="00E769B9" w:rsidRDefault="0052768F" w:rsidP="005B1BD5">
                  <w:pPr>
                    <w:pStyle w:val="ListParagraph"/>
                    <w:framePr w:wrap="around" w:vAnchor="text" w:hAnchor="margin" w:y="1"/>
                    <w:spacing w:after="0"/>
                    <w:ind w:left="0"/>
                    <w:suppressOverlap/>
                    <w:jc w:val="center"/>
                    <w:rPr>
                      <w:sz w:val="24"/>
                      <w:szCs w:val="24"/>
                    </w:rPr>
                  </w:pPr>
                  <w:r>
                    <w:rPr>
                      <w:sz w:val="24"/>
                      <w:szCs w:val="24"/>
                      <w:lang w:val="en"/>
                    </w:rPr>
                    <w:t>2,400</w:t>
                  </w:r>
                </w:p>
              </w:tc>
            </w:tr>
          </w:tbl>
          <w:p w14:paraId="29C36744" w14:textId="77777777" w:rsidR="0052768F" w:rsidRPr="00E769B9" w:rsidRDefault="0052768F" w:rsidP="0052768F">
            <w:pPr>
              <w:pStyle w:val="BodyText"/>
              <w:cnfStyle w:val="000000100000" w:firstRow="0" w:lastRow="0" w:firstColumn="0" w:lastColumn="0" w:oddVBand="0" w:evenVBand="0" w:oddHBand="1" w:evenHBand="0" w:firstRowFirstColumn="0" w:firstRowLastColumn="0" w:lastRowFirstColumn="0" w:lastRowLastColumn="0"/>
              <w:rPr>
                <w:sz w:val="22"/>
                <w:lang w:val="en-US"/>
              </w:rPr>
            </w:pPr>
            <w:r w:rsidRPr="0023526B">
              <w:rPr>
                <w:bCs/>
                <w:sz w:val="22"/>
                <w:lang w:val="en"/>
              </w:rPr>
              <w:t>Calculations were made based on the planned indicators for coverage and detection in 2024-2026.</w:t>
            </w:r>
          </w:p>
          <w:p w14:paraId="485D5E3D" w14:textId="575E1B10"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pPr>
            <w:r>
              <w:rPr>
                <w:bCs/>
                <w:lang w:val="en"/>
              </w:rPr>
              <w:t>Due to</w:t>
            </w:r>
            <w:r w:rsidRPr="0023526B">
              <w:rPr>
                <w:bCs/>
                <w:lang w:val="en"/>
              </w:rPr>
              <w:t xml:space="preserve"> the introduction of new diagnostic methods, it is planned to </w:t>
            </w:r>
            <w:r w:rsidRPr="0023526B">
              <w:rPr>
                <w:b/>
                <w:bCs/>
                <w:lang w:val="en"/>
              </w:rPr>
              <w:t xml:space="preserve">train TB laboratory staff in </w:t>
            </w:r>
            <w:r>
              <w:rPr>
                <w:b/>
                <w:bCs/>
                <w:lang w:val="en"/>
              </w:rPr>
              <w:t xml:space="preserve">each region </w:t>
            </w:r>
            <w:r w:rsidRPr="0023526B">
              <w:rPr>
                <w:b/>
                <w:bCs/>
                <w:lang w:val="en"/>
              </w:rPr>
              <w:t>in new diagnostic methods (</w:t>
            </w:r>
            <w:proofErr w:type="spellStart"/>
            <w:r w:rsidRPr="0023526B">
              <w:rPr>
                <w:b/>
                <w:bCs/>
                <w:lang w:val="en"/>
              </w:rPr>
              <w:t>Xpert</w:t>
            </w:r>
            <w:proofErr w:type="spellEnd"/>
            <w:r w:rsidRPr="0023526B">
              <w:rPr>
                <w:b/>
                <w:bCs/>
                <w:lang w:val="en"/>
              </w:rPr>
              <w:t xml:space="preserve"> XDR)</w:t>
            </w:r>
            <w:r w:rsidRPr="0023526B">
              <w:rPr>
                <w:bCs/>
                <w:lang w:val="en"/>
              </w:rPr>
              <w:t xml:space="preserve"> (in 2025 as the devices are updated).</w:t>
            </w:r>
          </w:p>
          <w:p w14:paraId="40F52F63" w14:textId="77777777"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b/>
              </w:rPr>
            </w:pPr>
            <w:r w:rsidRPr="0023526B">
              <w:rPr>
                <w:b/>
                <w:lang w:val="en"/>
              </w:rPr>
              <w:t>Treatment, care and support</w:t>
            </w:r>
          </w:p>
          <w:p w14:paraId="27B0B042" w14:textId="1888FA1E"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pPr>
            <w:r w:rsidRPr="0023526B">
              <w:rPr>
                <w:lang w:val="en"/>
              </w:rPr>
              <w:t xml:space="preserve">In the country, the program implementation of 6-month </w:t>
            </w:r>
            <w:proofErr w:type="spellStart"/>
            <w:r w:rsidRPr="0023526B">
              <w:rPr>
                <w:lang w:val="en"/>
              </w:rPr>
              <w:t>BPaL</w:t>
            </w:r>
            <w:proofErr w:type="spellEnd"/>
            <w:r w:rsidRPr="0023526B">
              <w:rPr>
                <w:lang w:val="en"/>
              </w:rPr>
              <w:t xml:space="preserve"> and </w:t>
            </w:r>
            <w:proofErr w:type="spellStart"/>
            <w:r w:rsidRPr="0023526B">
              <w:rPr>
                <w:lang w:val="en"/>
              </w:rPr>
              <w:t>BPaLM</w:t>
            </w:r>
            <w:proofErr w:type="spellEnd"/>
            <w:r w:rsidRPr="0023526B">
              <w:rPr>
                <w:lang w:val="en"/>
              </w:rPr>
              <w:t xml:space="preserve"> </w:t>
            </w:r>
            <w:r>
              <w:rPr>
                <w:lang w:val="en"/>
              </w:rPr>
              <w:t>regimen</w:t>
            </w:r>
            <w:r w:rsidRPr="0023526B">
              <w:rPr>
                <w:lang w:val="en"/>
              </w:rPr>
              <w:t xml:space="preserve"> has been launched </w:t>
            </w:r>
            <w:r>
              <w:rPr>
                <w:lang w:val="en"/>
              </w:rPr>
              <w:t>in</w:t>
            </w:r>
            <w:r w:rsidRPr="0023526B">
              <w:rPr>
                <w:lang w:val="en"/>
              </w:rPr>
              <w:t xml:space="preserve"> 2022. </w:t>
            </w:r>
            <w:r>
              <w:rPr>
                <w:lang w:val="en"/>
              </w:rPr>
              <w:t>A</w:t>
            </w:r>
            <w:r w:rsidRPr="0023526B">
              <w:rPr>
                <w:lang w:val="en"/>
              </w:rPr>
              <w:t xml:space="preserve">n updated CG/CP for DR-TB </w:t>
            </w:r>
            <w:r>
              <w:rPr>
                <w:lang w:val="en"/>
              </w:rPr>
              <w:t>with the inclusion of</w:t>
            </w:r>
            <w:r w:rsidRPr="0023526B">
              <w:rPr>
                <w:lang w:val="en"/>
              </w:rPr>
              <w:t xml:space="preserve"> the short-term regimens recommended by WHO in December 2022 </w:t>
            </w:r>
            <w:r w:rsidRPr="0023526B">
              <w:rPr>
                <w:b/>
                <w:bCs/>
                <w:lang w:val="en"/>
              </w:rPr>
              <w:t xml:space="preserve">(including 6-month </w:t>
            </w:r>
            <w:proofErr w:type="spellStart"/>
            <w:r w:rsidRPr="0023526B">
              <w:rPr>
                <w:b/>
                <w:bCs/>
                <w:lang w:val="en"/>
              </w:rPr>
              <w:t>BPaL</w:t>
            </w:r>
            <w:proofErr w:type="spellEnd"/>
            <w:r w:rsidRPr="0023526B">
              <w:rPr>
                <w:b/>
                <w:bCs/>
                <w:lang w:val="en"/>
              </w:rPr>
              <w:t xml:space="preserve"> and </w:t>
            </w:r>
            <w:proofErr w:type="spellStart"/>
            <w:r w:rsidRPr="0023526B">
              <w:rPr>
                <w:b/>
                <w:bCs/>
                <w:lang w:val="en"/>
              </w:rPr>
              <w:t>BpaLM</w:t>
            </w:r>
            <w:proofErr w:type="spellEnd"/>
            <w:r w:rsidRPr="0023526B">
              <w:rPr>
                <w:b/>
                <w:bCs/>
                <w:lang w:val="en"/>
              </w:rPr>
              <w:t xml:space="preserve"> regimens and 9-month all-oral regimens on program conditions)</w:t>
            </w:r>
            <w:r w:rsidRPr="0023526B">
              <w:rPr>
                <w:lang w:val="en"/>
              </w:rPr>
              <w:t xml:space="preserve">, </w:t>
            </w:r>
            <w:r w:rsidR="00352D35">
              <w:rPr>
                <w:lang w:val="en"/>
              </w:rPr>
              <w:t>was</w:t>
            </w:r>
            <w:r w:rsidRPr="0023526B">
              <w:rPr>
                <w:lang w:val="en"/>
              </w:rPr>
              <w:t xml:space="preserve"> submitted for </w:t>
            </w:r>
            <w:r>
              <w:rPr>
                <w:lang w:val="en"/>
              </w:rPr>
              <w:t xml:space="preserve">the </w:t>
            </w:r>
            <w:r w:rsidRPr="0023526B">
              <w:rPr>
                <w:lang w:val="en"/>
              </w:rPr>
              <w:t>approval by the Ministry of Health</w:t>
            </w:r>
            <w:r>
              <w:rPr>
                <w:lang w:val="en"/>
              </w:rPr>
              <w:t xml:space="preserve"> in </w:t>
            </w:r>
            <w:r w:rsidRPr="0023526B">
              <w:rPr>
                <w:lang w:val="en"/>
              </w:rPr>
              <w:t>February 2023,</w:t>
            </w:r>
            <w:r>
              <w:rPr>
                <w:lang w:val="en"/>
              </w:rPr>
              <w:t xml:space="preserve"> after discussions among stakeholders</w:t>
            </w:r>
            <w:r w:rsidR="006677D9">
              <w:rPr>
                <w:lang w:val="en"/>
              </w:rPr>
              <w:t>.</w:t>
            </w:r>
            <w:r w:rsidRPr="0023526B">
              <w:rPr>
                <w:lang w:val="en"/>
              </w:rPr>
              <w:t xml:space="preserve"> The coverage of short-term </w:t>
            </w:r>
            <w:r>
              <w:rPr>
                <w:lang w:val="en"/>
              </w:rPr>
              <w:t>regimens</w:t>
            </w:r>
            <w:r w:rsidRPr="0023526B">
              <w:rPr>
                <w:lang w:val="en"/>
              </w:rPr>
              <w:t xml:space="preserve"> will be increased during the grant implementation from 45% to 60%.</w:t>
            </w:r>
          </w:p>
          <w:p w14:paraId="40668E6C" w14:textId="42287A05" w:rsidR="0052768F" w:rsidRPr="00B37BD8" w:rsidRDefault="0052768F" w:rsidP="0052768F">
            <w:pPr>
              <w:jc w:val="both"/>
              <w:cnfStyle w:val="000000100000" w:firstRow="0" w:lastRow="0" w:firstColumn="0" w:lastColumn="0" w:oddVBand="0" w:evenVBand="0" w:oddHBand="1" w:evenHBand="0" w:firstRowFirstColumn="0" w:firstRowLastColumn="0" w:lastRowFirstColumn="0" w:lastRowLastColumn="0"/>
              <w:rPr>
                <w:bCs/>
              </w:rPr>
            </w:pPr>
            <w:r w:rsidRPr="0023526B">
              <w:rPr>
                <w:b/>
                <w:bCs/>
                <w:lang w:val="en"/>
              </w:rPr>
              <w:t xml:space="preserve">The </w:t>
            </w:r>
            <w:r>
              <w:rPr>
                <w:b/>
                <w:bCs/>
                <w:lang w:val="en"/>
              </w:rPr>
              <w:t>procurement</w:t>
            </w:r>
            <w:r w:rsidRPr="0023526B">
              <w:rPr>
                <w:b/>
                <w:bCs/>
                <w:lang w:val="en"/>
              </w:rPr>
              <w:t xml:space="preserve"> and provision of treatment with </w:t>
            </w:r>
            <w:r w:rsidR="006677D9">
              <w:rPr>
                <w:b/>
                <w:bCs/>
                <w:lang w:val="en"/>
              </w:rPr>
              <w:t>SLD</w:t>
            </w:r>
            <w:r w:rsidRPr="0023526B">
              <w:rPr>
                <w:b/>
                <w:bCs/>
                <w:lang w:val="en"/>
              </w:rPr>
              <w:t xml:space="preserve"> for patients with DR-TB in the framework of outpatient, decentralized models focused on the patient</w:t>
            </w:r>
            <w:r w:rsidRPr="0023526B">
              <w:rPr>
                <w:bCs/>
                <w:lang w:val="en"/>
              </w:rPr>
              <w:t xml:space="preserve"> will be partial</w:t>
            </w:r>
            <w:r>
              <w:rPr>
                <w:bCs/>
                <w:lang w:val="en"/>
              </w:rPr>
              <w:t>ly covered within the grant</w:t>
            </w:r>
            <w:r w:rsidRPr="0023526B">
              <w:rPr>
                <w:b/>
                <w:bCs/>
                <w:lang w:val="en"/>
              </w:rPr>
              <w:t xml:space="preserve">. </w:t>
            </w:r>
            <w:r w:rsidRPr="0023526B">
              <w:rPr>
                <w:bCs/>
                <w:lang w:val="en"/>
              </w:rPr>
              <w:t xml:space="preserve">Expenditures on the </w:t>
            </w:r>
            <w:r>
              <w:rPr>
                <w:bCs/>
                <w:lang w:val="en"/>
              </w:rPr>
              <w:t>procurement</w:t>
            </w:r>
            <w:r w:rsidRPr="0023526B">
              <w:rPr>
                <w:bCs/>
                <w:lang w:val="en"/>
              </w:rPr>
              <w:t xml:space="preserve"> of drugs from the state budget (except </w:t>
            </w:r>
            <w:proofErr w:type="spellStart"/>
            <w:r w:rsidRPr="0023526B">
              <w:rPr>
                <w:bCs/>
                <w:lang w:val="en"/>
              </w:rPr>
              <w:t>Bdq</w:t>
            </w:r>
            <w:proofErr w:type="spellEnd"/>
            <w:r w:rsidRPr="0023526B">
              <w:rPr>
                <w:bCs/>
                <w:lang w:val="en"/>
              </w:rPr>
              <w:t xml:space="preserve">, </w:t>
            </w:r>
            <w:proofErr w:type="spellStart"/>
            <w:r w:rsidRPr="0023526B">
              <w:rPr>
                <w:bCs/>
                <w:lang w:val="en"/>
              </w:rPr>
              <w:t>Dlm</w:t>
            </w:r>
            <w:proofErr w:type="spellEnd"/>
            <w:r w:rsidRPr="0023526B">
              <w:rPr>
                <w:bCs/>
                <w:lang w:val="en"/>
              </w:rPr>
              <w:t xml:space="preserve"> and Pa) will gradually increase in the ratio from 22% to 26% in 2024-2026, respectively. All drugs will be purchased through international platforms to ensure the best value for money and guaranteed quality. </w:t>
            </w:r>
            <w:r w:rsidRPr="0023526B">
              <w:rPr>
                <w:b/>
                <w:bCs/>
                <w:lang w:val="en"/>
              </w:rPr>
              <w:t>Additional quality control</w:t>
            </w:r>
            <w:r w:rsidRPr="0023526B">
              <w:rPr>
                <w:bCs/>
                <w:lang w:val="en"/>
              </w:rPr>
              <w:t xml:space="preserve"> of </w:t>
            </w:r>
            <w:r>
              <w:rPr>
                <w:bCs/>
                <w:lang w:val="en"/>
              </w:rPr>
              <w:t>TB drugs</w:t>
            </w:r>
            <w:r w:rsidRPr="0023526B">
              <w:rPr>
                <w:bCs/>
                <w:lang w:val="en"/>
              </w:rPr>
              <w:t xml:space="preserve"> will also support their quality. In order to reduce the adverse events of Cs</w:t>
            </w:r>
            <w:r w:rsidR="006677D9">
              <w:rPr>
                <w:bCs/>
                <w:lang w:val="en"/>
              </w:rPr>
              <w:t>,</w:t>
            </w:r>
            <w:r w:rsidRPr="0023526B">
              <w:rPr>
                <w:bCs/>
                <w:lang w:val="en"/>
              </w:rPr>
              <w:t xml:space="preserve"> </w:t>
            </w:r>
            <w:proofErr w:type="spellStart"/>
            <w:r w:rsidRPr="0023526B">
              <w:rPr>
                <w:bCs/>
                <w:lang w:val="en"/>
              </w:rPr>
              <w:t>Lzd</w:t>
            </w:r>
            <w:proofErr w:type="spellEnd"/>
            <w:r>
              <w:rPr>
                <w:bCs/>
                <w:lang w:val="en"/>
              </w:rPr>
              <w:t>,</w:t>
            </w:r>
            <w:r w:rsidRPr="0023526B">
              <w:rPr>
                <w:bCs/>
                <w:lang w:val="en"/>
              </w:rPr>
              <w:t xml:space="preserve"> the use of pyridoxine is recommended in the CG/CP for the management of adverse events of </w:t>
            </w:r>
            <w:r>
              <w:rPr>
                <w:bCs/>
                <w:lang w:val="en"/>
              </w:rPr>
              <w:t>TB drugs</w:t>
            </w:r>
            <w:r w:rsidRPr="0023526B">
              <w:rPr>
                <w:bCs/>
                <w:lang w:val="en"/>
              </w:rPr>
              <w:t xml:space="preserve"> in the Kyrgyz Republic (2022</w:t>
            </w:r>
            <w:proofErr w:type="gramStart"/>
            <w:r w:rsidRPr="0023526B">
              <w:rPr>
                <w:bCs/>
                <w:lang w:val="en"/>
              </w:rPr>
              <w:t>)</w:t>
            </w:r>
            <w:r>
              <w:rPr>
                <w:bCs/>
                <w:lang w:val="en"/>
              </w:rPr>
              <w:t>.</w:t>
            </w:r>
            <w:r w:rsidRPr="0023526B">
              <w:rPr>
                <w:bCs/>
                <w:lang w:val="en"/>
              </w:rPr>
              <w:t>.</w:t>
            </w:r>
            <w:proofErr w:type="gramEnd"/>
            <w:r w:rsidRPr="0023526B">
              <w:rPr>
                <w:bCs/>
                <w:lang w:val="en"/>
              </w:rPr>
              <w:t xml:space="preserve">Since the </w:t>
            </w:r>
            <w:proofErr w:type="spellStart"/>
            <w:r w:rsidRPr="0023526B">
              <w:rPr>
                <w:bCs/>
                <w:lang w:val="en"/>
              </w:rPr>
              <w:t>mono</w:t>
            </w:r>
            <w:r>
              <w:rPr>
                <w:bCs/>
                <w:lang w:val="en"/>
              </w:rPr>
              <w:t>drug</w:t>
            </w:r>
            <w:proofErr w:type="spellEnd"/>
            <w:r w:rsidRPr="0023526B">
              <w:rPr>
                <w:bCs/>
                <w:lang w:val="en"/>
              </w:rPr>
              <w:t xml:space="preserve"> </w:t>
            </w:r>
            <w:r w:rsidRPr="0023526B">
              <w:rPr>
                <w:b/>
                <w:bCs/>
                <w:lang w:val="en"/>
              </w:rPr>
              <w:t>pyridoxine</w:t>
            </w:r>
            <w:r w:rsidRPr="0023526B">
              <w:rPr>
                <w:bCs/>
                <w:lang w:val="en"/>
              </w:rPr>
              <w:t xml:space="preserve"> (vitamin B6) is not available on the KR market, </w:t>
            </w:r>
            <w:r w:rsidRPr="00B37BD8">
              <w:rPr>
                <w:bCs/>
                <w:lang w:val="en"/>
              </w:rPr>
              <w:t xml:space="preserve">it is necessary to provide patients with MDR-TB with Vit B6 within the grant. </w:t>
            </w:r>
          </w:p>
          <w:p w14:paraId="7B7602C8" w14:textId="60BF86A5"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pPr>
            <w:r w:rsidRPr="0023526B">
              <w:rPr>
                <w:b/>
                <w:bCs/>
                <w:lang w:val="en"/>
              </w:rPr>
              <w:lastRenderedPageBreak/>
              <w:t>Social support for patients</w:t>
            </w:r>
            <w:r w:rsidRPr="0023526B">
              <w:rPr>
                <w:bCs/>
                <w:lang w:val="en"/>
              </w:rPr>
              <w:t xml:space="preserve"> in the form of monthly </w:t>
            </w:r>
            <w:r>
              <w:rPr>
                <w:bCs/>
                <w:lang w:val="en"/>
              </w:rPr>
              <w:t xml:space="preserve">incentive </w:t>
            </w:r>
            <w:r w:rsidRPr="0023526B">
              <w:rPr>
                <w:bCs/>
                <w:lang w:val="en"/>
              </w:rPr>
              <w:t xml:space="preserve">payments will be maintained. According to the approved strategy of the mechanism of </w:t>
            </w:r>
            <w:r>
              <w:rPr>
                <w:bCs/>
                <w:lang w:val="en"/>
              </w:rPr>
              <w:t>incentive</w:t>
            </w:r>
            <w:r w:rsidRPr="0023526B">
              <w:rPr>
                <w:bCs/>
                <w:lang w:val="en"/>
              </w:rPr>
              <w:t xml:space="preserve"> payments, every month all RT</w:t>
            </w:r>
            <w:r w:rsidR="00202DBF">
              <w:rPr>
                <w:bCs/>
                <w:lang w:val="en"/>
              </w:rPr>
              <w:t>B</w:t>
            </w:r>
            <w:r w:rsidRPr="0023526B">
              <w:rPr>
                <w:bCs/>
                <w:lang w:val="en"/>
              </w:rPr>
              <w:t>C</w:t>
            </w:r>
            <w:r>
              <w:rPr>
                <w:bCs/>
                <w:lang w:val="en"/>
              </w:rPr>
              <w:t xml:space="preserve"> (Regional/Oblast TB </w:t>
            </w:r>
            <w:proofErr w:type="spellStart"/>
            <w:r>
              <w:rPr>
                <w:bCs/>
                <w:lang w:val="en"/>
              </w:rPr>
              <w:t>Centres</w:t>
            </w:r>
            <w:proofErr w:type="spellEnd"/>
            <w:r>
              <w:rPr>
                <w:bCs/>
                <w:lang w:val="en"/>
              </w:rPr>
              <w:t>)</w:t>
            </w:r>
            <w:r w:rsidRPr="0023526B">
              <w:rPr>
                <w:bCs/>
                <w:lang w:val="en"/>
              </w:rPr>
              <w:t xml:space="preserve"> make a list of </w:t>
            </w:r>
            <w:r>
              <w:rPr>
                <w:bCs/>
                <w:lang w:val="en"/>
              </w:rPr>
              <w:t>people</w:t>
            </w:r>
            <w:r w:rsidRPr="0023526B">
              <w:rPr>
                <w:bCs/>
                <w:lang w:val="en"/>
              </w:rPr>
              <w:t xml:space="preserve"> who will receive </w:t>
            </w:r>
            <w:r w:rsidR="00202DBF">
              <w:rPr>
                <w:bCs/>
                <w:lang w:val="en"/>
              </w:rPr>
              <w:t>small incentive</w:t>
            </w:r>
            <w:r w:rsidRPr="0023526B">
              <w:rPr>
                <w:bCs/>
                <w:lang w:val="en"/>
              </w:rPr>
              <w:t xml:space="preserve"> </w:t>
            </w:r>
            <w:r w:rsidR="00202DBF">
              <w:rPr>
                <w:bCs/>
                <w:lang w:val="en"/>
              </w:rPr>
              <w:t>for</w:t>
            </w:r>
            <w:r w:rsidRPr="0023526B">
              <w:rPr>
                <w:bCs/>
                <w:lang w:val="en"/>
              </w:rPr>
              <w:t xml:space="preserve"> good adherence to treatment, i.e., with continuous treatment and monthly examination</w:t>
            </w:r>
            <w:r>
              <w:rPr>
                <w:bCs/>
                <w:lang w:val="en"/>
              </w:rPr>
              <w:t xml:space="preserve"> and</w:t>
            </w:r>
            <w:r w:rsidR="00202DBF">
              <w:rPr>
                <w:bCs/>
                <w:lang w:val="en"/>
              </w:rPr>
              <w:t xml:space="preserve"> </w:t>
            </w:r>
            <w:r w:rsidRPr="0023526B">
              <w:rPr>
                <w:bCs/>
                <w:lang w:val="en"/>
              </w:rPr>
              <w:t>demonstrat</w:t>
            </w:r>
            <w:r>
              <w:rPr>
                <w:bCs/>
                <w:lang w:val="en"/>
              </w:rPr>
              <w:t>ion of</w:t>
            </w:r>
            <w:r w:rsidRPr="0023526B">
              <w:rPr>
                <w:bCs/>
                <w:lang w:val="en"/>
              </w:rPr>
              <w:t xml:space="preserve"> good results.</w:t>
            </w:r>
          </w:p>
          <w:p w14:paraId="7955A3B8" w14:textId="1F4C6284" w:rsidR="0052768F" w:rsidRPr="00E769B9" w:rsidRDefault="005048DE" w:rsidP="0052768F">
            <w:pPr>
              <w:jc w:val="both"/>
              <w:cnfStyle w:val="000000100000" w:firstRow="0" w:lastRow="0" w:firstColumn="0" w:lastColumn="0" w:oddVBand="0" w:evenVBand="0" w:oddHBand="1" w:evenHBand="0" w:firstRowFirstColumn="0" w:firstRowLastColumn="0" w:lastRowFirstColumn="0" w:lastRowLastColumn="0"/>
              <w:rPr>
                <w:b/>
                <w:bCs/>
              </w:rPr>
            </w:pPr>
            <w:r w:rsidRPr="005048DE">
              <w:rPr>
                <w:b/>
                <w:bCs/>
                <w:lang w:val="en"/>
              </w:rPr>
              <w:t>T</w:t>
            </w:r>
            <w:r w:rsidR="0052768F" w:rsidRPr="005048DE">
              <w:rPr>
                <w:b/>
                <w:bCs/>
                <w:lang w:val="en"/>
              </w:rPr>
              <w:t>o increase</w:t>
            </w:r>
            <w:r w:rsidR="0052768F" w:rsidRPr="0023526B">
              <w:rPr>
                <w:b/>
                <w:bCs/>
                <w:lang w:val="en"/>
              </w:rPr>
              <w:t xml:space="preserve"> patients' adherence to treatment using digital technologies</w:t>
            </w:r>
            <w:r w:rsidR="0052768F" w:rsidRPr="0023526B">
              <w:rPr>
                <w:lang w:val="en"/>
              </w:rPr>
              <w:t xml:space="preserve"> </w:t>
            </w:r>
            <w:r w:rsidR="0052768F">
              <w:rPr>
                <w:lang w:val="en"/>
              </w:rPr>
              <w:t>is</w:t>
            </w:r>
            <w:r w:rsidR="0052768F" w:rsidRPr="0023526B">
              <w:rPr>
                <w:lang w:val="en"/>
              </w:rPr>
              <w:t xml:space="preserve"> planned</w:t>
            </w:r>
            <w:r w:rsidR="0052768F" w:rsidRPr="0023526B">
              <w:rPr>
                <w:b/>
                <w:bCs/>
                <w:lang w:val="en"/>
              </w:rPr>
              <w:t xml:space="preserve">: </w:t>
            </w:r>
          </w:p>
          <w:p w14:paraId="6576CDCA" w14:textId="6EA2EFC7" w:rsidR="0052768F" w:rsidRPr="00E769B9" w:rsidRDefault="0052768F" w:rsidP="0052768F">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b/>
                <w:bCs/>
              </w:rPr>
            </w:pPr>
            <w:r w:rsidRPr="0023526B">
              <w:rPr>
                <w:b/>
                <w:lang w:val="en"/>
              </w:rPr>
              <w:t>Video support of treatment</w:t>
            </w:r>
            <w:r w:rsidRPr="0023526B">
              <w:rPr>
                <w:lang w:val="en"/>
              </w:rPr>
              <w:t xml:space="preserve"> </w:t>
            </w:r>
            <w:r>
              <w:rPr>
                <w:lang w:val="en"/>
              </w:rPr>
              <w:t xml:space="preserve">(VST) </w:t>
            </w:r>
            <w:r w:rsidRPr="0023526B">
              <w:rPr>
                <w:lang w:val="en"/>
              </w:rPr>
              <w:t>is recommended by</w:t>
            </w:r>
            <w:r w:rsidRPr="005F107E">
              <w:rPr>
                <w:lang w:val="en"/>
              </w:rPr>
              <w:t xml:space="preserve"> </w:t>
            </w:r>
            <w:r>
              <w:rPr>
                <w:lang w:val="en"/>
              </w:rPr>
              <w:t>the</w:t>
            </w:r>
            <w:r w:rsidRPr="0023526B">
              <w:rPr>
                <w:lang w:val="en"/>
              </w:rPr>
              <w:t xml:space="preserve"> WHO and the country has already accumulated positive experience of its use, especially in conditions of limited mobility</w:t>
            </w:r>
            <w:r>
              <w:rPr>
                <w:lang w:val="en"/>
              </w:rPr>
              <w:t>. VST</w:t>
            </w:r>
            <w:r w:rsidRPr="0023526B">
              <w:rPr>
                <w:lang w:val="en"/>
              </w:rPr>
              <w:t xml:space="preserve"> includes tariff plans to provide patients with mobile communications (</w:t>
            </w:r>
            <w:r>
              <w:rPr>
                <w:lang w:val="en"/>
              </w:rPr>
              <w:t>with coverage</w:t>
            </w:r>
            <w:r w:rsidRPr="0023526B">
              <w:rPr>
                <w:lang w:val="en"/>
              </w:rPr>
              <w:t xml:space="preserve"> of 40%, 50%, 60% of MDR-TB patients on treatment in 2024-2026, respectively)</w:t>
            </w:r>
            <w:r>
              <w:rPr>
                <w:lang w:val="en"/>
              </w:rPr>
              <w:t>.</w:t>
            </w:r>
            <w:r w:rsidRPr="0023526B">
              <w:rPr>
                <w:lang w:val="en"/>
              </w:rPr>
              <w:t xml:space="preserve"> at the same time, </w:t>
            </w:r>
            <w:r>
              <w:rPr>
                <w:lang w:val="en"/>
              </w:rPr>
              <w:t xml:space="preserve">patients’ personal </w:t>
            </w:r>
            <w:r w:rsidRPr="0023526B">
              <w:rPr>
                <w:lang w:val="en"/>
              </w:rPr>
              <w:t xml:space="preserve">mobile communication devices available on the hands are used. </w:t>
            </w:r>
            <w:r w:rsidRPr="005F107E">
              <w:rPr>
                <w:lang w:val="en"/>
              </w:rPr>
              <w:t>People</w:t>
            </w:r>
            <w:r w:rsidRPr="0023526B">
              <w:rPr>
                <w:lang w:val="en"/>
              </w:rPr>
              <w:t xml:space="preserve"> with TB </w:t>
            </w:r>
            <w:r>
              <w:rPr>
                <w:lang w:val="en"/>
              </w:rPr>
              <w:t>may</w:t>
            </w:r>
            <w:r w:rsidRPr="0023526B">
              <w:rPr>
                <w:lang w:val="en"/>
              </w:rPr>
              <w:t xml:space="preserve"> receive TB</w:t>
            </w:r>
            <w:r>
              <w:rPr>
                <w:lang w:val="en"/>
              </w:rPr>
              <w:t xml:space="preserve"> drugs </w:t>
            </w:r>
            <w:r w:rsidRPr="0023526B">
              <w:rPr>
                <w:lang w:val="en"/>
              </w:rPr>
              <w:t>for 1 week, and the case manager will monitor the reception of TB</w:t>
            </w:r>
            <w:r>
              <w:rPr>
                <w:lang w:val="en"/>
              </w:rPr>
              <w:t xml:space="preserve"> drugs</w:t>
            </w:r>
            <w:r w:rsidRPr="0023526B">
              <w:rPr>
                <w:lang w:val="en"/>
              </w:rPr>
              <w:t xml:space="preserve"> by VST.</w:t>
            </w:r>
          </w:p>
          <w:p w14:paraId="19C1B9A4" w14:textId="2B874BB1" w:rsidR="0052768F" w:rsidRPr="00FC074F" w:rsidRDefault="0052768F" w:rsidP="0052768F">
            <w:pPr>
              <w:jc w:val="both"/>
              <w:cnfStyle w:val="000000100000" w:firstRow="0" w:lastRow="0" w:firstColumn="0" w:lastColumn="0" w:oddVBand="0" w:evenVBand="0" w:oddHBand="1" w:evenHBand="0" w:firstRowFirstColumn="0" w:firstRowLastColumn="0" w:lastRowFirstColumn="0" w:lastRowLastColumn="0"/>
              <w:rPr>
                <w:lang w:val="en"/>
              </w:rPr>
            </w:pPr>
            <w:r w:rsidRPr="0023526B">
              <w:rPr>
                <w:lang w:val="en"/>
              </w:rPr>
              <w:t xml:space="preserve">The role of community-based support services needs to be strengthened to reach </w:t>
            </w:r>
            <w:r w:rsidR="00B72AFD">
              <w:rPr>
                <w:lang w:val="en"/>
              </w:rPr>
              <w:t>KPs</w:t>
            </w:r>
            <w:r w:rsidRPr="0023526B">
              <w:rPr>
                <w:lang w:val="en"/>
              </w:rPr>
              <w:t xml:space="preserve"> at increased risk of TB and to address the specific challenges and obstacles they face that may prevent them from accessing TB treatment. </w:t>
            </w:r>
            <w:r w:rsidRPr="00D661E7">
              <w:rPr>
                <w:bCs/>
                <w:lang w:val="en"/>
              </w:rPr>
              <w:t xml:space="preserve">To this end, the GF grant will assist in the </w:t>
            </w:r>
            <w:r w:rsidRPr="0023526B">
              <w:rPr>
                <w:b/>
                <w:lang w:val="en"/>
              </w:rPr>
              <w:t xml:space="preserve">social support of people with MDR-TB for the successful completion of treatment. </w:t>
            </w:r>
            <w:r w:rsidRPr="00D661E7">
              <w:rPr>
                <w:bCs/>
                <w:lang w:val="en"/>
              </w:rPr>
              <w:t xml:space="preserve">It is to be conducted among </w:t>
            </w:r>
            <w:r w:rsidR="00D661E7">
              <w:rPr>
                <w:bCs/>
                <w:lang w:val="en"/>
              </w:rPr>
              <w:t>KPs</w:t>
            </w:r>
            <w:r w:rsidRPr="00D661E7">
              <w:rPr>
                <w:bCs/>
                <w:lang w:val="en"/>
              </w:rPr>
              <w:t xml:space="preserve"> with the involvement of NGOs in 3 regions. In</w:t>
            </w:r>
            <w:r w:rsidRPr="0023526B">
              <w:rPr>
                <w:lang w:val="en"/>
              </w:rPr>
              <w:t xml:space="preserve"> other areas, this component will be covered by the state social </w:t>
            </w:r>
            <w:r>
              <w:rPr>
                <w:lang w:val="en"/>
              </w:rPr>
              <w:t>contracting</w:t>
            </w:r>
            <w:r w:rsidRPr="0023526B">
              <w:rPr>
                <w:lang w:val="en"/>
              </w:rPr>
              <w:t xml:space="preserve"> (in 2023 </w:t>
            </w:r>
            <w:r w:rsidR="00DB0BE0">
              <w:rPr>
                <w:lang w:val="en"/>
              </w:rPr>
              <w:t>–</w:t>
            </w:r>
            <w:r w:rsidRPr="0023526B">
              <w:rPr>
                <w:lang w:val="en"/>
              </w:rPr>
              <w:t xml:space="preserve"> the western part of the Chui </w:t>
            </w:r>
            <w:r>
              <w:rPr>
                <w:lang w:val="en"/>
              </w:rPr>
              <w:t>region</w:t>
            </w:r>
            <w:r w:rsidRPr="0023526B">
              <w:rPr>
                <w:lang w:val="en"/>
              </w:rPr>
              <w:t>, then in th</w:t>
            </w:r>
            <w:r>
              <w:rPr>
                <w:lang w:val="en"/>
              </w:rPr>
              <w:t>e</w:t>
            </w:r>
            <w:r w:rsidRPr="0023526B">
              <w:rPr>
                <w:lang w:val="en"/>
              </w:rPr>
              <w:t xml:space="preserve"> regions with </w:t>
            </w:r>
            <w:r w:rsidR="00B856DC">
              <w:rPr>
                <w:lang w:val="en"/>
              </w:rPr>
              <w:t>the highest DR-</w:t>
            </w:r>
            <w:r w:rsidRPr="0023526B">
              <w:rPr>
                <w:lang w:val="en"/>
              </w:rPr>
              <w:t>TB</w:t>
            </w:r>
            <w:r w:rsidR="00B856DC">
              <w:rPr>
                <w:lang w:val="en"/>
              </w:rPr>
              <w:t xml:space="preserve"> burden</w:t>
            </w:r>
            <w:r w:rsidRPr="0023526B">
              <w:rPr>
                <w:lang w:val="en"/>
              </w:rPr>
              <w:t xml:space="preserve">) and other partner projects (USAID). This activity will be combined together with active TB detection services and </w:t>
            </w:r>
            <w:r>
              <w:rPr>
                <w:lang w:val="en"/>
              </w:rPr>
              <w:t xml:space="preserve">will be </w:t>
            </w:r>
            <w:r w:rsidRPr="0023526B">
              <w:rPr>
                <w:lang w:val="en"/>
              </w:rPr>
              <w:t>included in a single standardized package of assistance provided by NGOs (the same NGO will provide services in this geographical area throughout the cascade of TB care).</w:t>
            </w:r>
            <w:r w:rsidRPr="0023526B">
              <w:rPr>
                <w:b/>
                <w:bCs/>
                <w:lang w:val="en"/>
              </w:rPr>
              <w:t xml:space="preserve"> </w:t>
            </w:r>
            <w:r w:rsidRPr="00FC074F">
              <w:rPr>
                <w:lang w:val="en"/>
              </w:rPr>
              <w:t xml:space="preserve">A separate set of measures is provided for the category of people released from prison, among whom the risk of loss for follow-up is especially high. This includes the following: </w:t>
            </w:r>
          </w:p>
          <w:p w14:paraId="37FB9AB3" w14:textId="4B2A8ABC" w:rsidR="0052768F" w:rsidRPr="0084166C" w:rsidRDefault="0052768F" w:rsidP="0052768F">
            <w:pPr>
              <w:jc w:val="both"/>
              <w:cnfStyle w:val="000000100000" w:firstRow="0" w:lastRow="0" w:firstColumn="0" w:lastColumn="0" w:oddVBand="0" w:evenVBand="0" w:oddHBand="1" w:evenHBand="0" w:firstRowFirstColumn="0" w:firstRowLastColumn="0" w:lastRowFirstColumn="0" w:lastRowLastColumn="0"/>
            </w:pPr>
            <w:r w:rsidRPr="0084166C">
              <w:rPr>
                <w:lang w:val="en"/>
              </w:rPr>
              <w:t xml:space="preserve">1. Support for temporary centers for people in difficult life situations and TB treatment in Bishkek and Osh </w:t>
            </w:r>
            <w:r w:rsidR="00FC074F" w:rsidRPr="0084166C">
              <w:rPr>
                <w:lang w:val="en"/>
              </w:rPr>
              <w:t>(capacity is</w:t>
            </w:r>
            <w:r w:rsidRPr="0084166C">
              <w:rPr>
                <w:lang w:val="en"/>
              </w:rPr>
              <w:t xml:space="preserve"> 8 people </w:t>
            </w:r>
            <w:r w:rsidR="00FC074F" w:rsidRPr="0084166C">
              <w:rPr>
                <w:lang w:val="en"/>
              </w:rPr>
              <w:t xml:space="preserve">monthly) </w:t>
            </w:r>
            <w:r w:rsidRPr="0084166C">
              <w:rPr>
                <w:lang w:val="en"/>
              </w:rPr>
              <w:t>will improve adherence to treatment for people with TB.</w:t>
            </w:r>
          </w:p>
          <w:p w14:paraId="4A6AA1DD" w14:textId="65AE94A1" w:rsidR="0052768F" w:rsidRPr="0084166C" w:rsidRDefault="0052768F" w:rsidP="0052768F">
            <w:pPr>
              <w:jc w:val="both"/>
              <w:cnfStyle w:val="000000100000" w:firstRow="0" w:lastRow="0" w:firstColumn="0" w:lastColumn="0" w:oddVBand="0" w:evenVBand="0" w:oddHBand="1" w:evenHBand="0" w:firstRowFirstColumn="0" w:firstRowLastColumn="0" w:lastRowFirstColumn="0" w:lastRowLastColumn="0"/>
            </w:pPr>
            <w:r w:rsidRPr="0084166C">
              <w:rPr>
                <w:lang w:val="en"/>
              </w:rPr>
              <w:t>2. Social support to people with TB released from prisons</w:t>
            </w:r>
            <w:r w:rsidR="0084166C" w:rsidRPr="0084166C">
              <w:rPr>
                <w:lang w:val="en"/>
              </w:rPr>
              <w:t>,</w:t>
            </w:r>
            <w:r w:rsidRPr="0084166C">
              <w:rPr>
                <w:lang w:val="en"/>
              </w:rPr>
              <w:t xml:space="preserve"> and active </w:t>
            </w:r>
            <w:r w:rsidR="0084166C" w:rsidRPr="0084166C">
              <w:rPr>
                <w:lang w:val="en"/>
              </w:rPr>
              <w:t>case finding</w:t>
            </w:r>
            <w:r w:rsidRPr="0084166C">
              <w:rPr>
                <w:lang w:val="en"/>
              </w:rPr>
              <w:t xml:space="preserve"> among </w:t>
            </w:r>
            <w:r w:rsidR="0084166C" w:rsidRPr="0084166C">
              <w:rPr>
                <w:lang w:val="en"/>
              </w:rPr>
              <w:t>prisons</w:t>
            </w:r>
            <w:r w:rsidRPr="0084166C">
              <w:rPr>
                <w:lang w:val="en"/>
              </w:rPr>
              <w:t xml:space="preserve"> in </w:t>
            </w:r>
            <w:r w:rsidR="0084166C" w:rsidRPr="0084166C">
              <w:rPr>
                <w:lang w:val="en"/>
              </w:rPr>
              <w:t>colonies-settlements</w:t>
            </w:r>
            <w:r w:rsidRPr="0084166C">
              <w:rPr>
                <w:lang w:val="en"/>
              </w:rPr>
              <w:t>, including probation service.</w:t>
            </w:r>
          </w:p>
          <w:p w14:paraId="1377BACF" w14:textId="3A6ED347" w:rsidR="0052768F" w:rsidRPr="0084166C" w:rsidRDefault="0052768F" w:rsidP="0052768F">
            <w:pPr>
              <w:jc w:val="both"/>
              <w:cnfStyle w:val="000000100000" w:firstRow="0" w:lastRow="0" w:firstColumn="0" w:lastColumn="0" w:oddVBand="0" w:evenVBand="0" w:oddHBand="1" w:evenHBand="0" w:firstRowFirstColumn="0" w:firstRowLastColumn="0" w:lastRowFirstColumn="0" w:lastRowLastColumn="0"/>
            </w:pPr>
            <w:r w:rsidRPr="0084166C">
              <w:rPr>
                <w:lang w:val="en"/>
              </w:rPr>
              <w:t>Training of personnel involved in the treatment of MDR-TB (</w:t>
            </w:r>
            <w:r w:rsidR="0084166C">
              <w:rPr>
                <w:lang w:val="en"/>
              </w:rPr>
              <w:t>TB specialists</w:t>
            </w:r>
            <w:r w:rsidRPr="0084166C">
              <w:rPr>
                <w:lang w:val="en"/>
              </w:rPr>
              <w:t>, PHC doctors involved in outpatient treatment of MDR-TB). The training is conducted for doctors from all regions, including the SIS. It should be noted that all trainings for medical staff will include a module on legal and gender aspects of providing TB care to the population in the Kyrgyz Republic, as well as issues of stigma and discrimination with the development of practical skills and the involvement of experts representing civil society. It also includes training of clinicians at international trainings.</w:t>
            </w:r>
          </w:p>
          <w:p w14:paraId="6B2FDA91" w14:textId="4E48A3F6" w:rsidR="0052768F" w:rsidRDefault="0052768F" w:rsidP="0052768F">
            <w:pPr>
              <w:jc w:val="both"/>
              <w:cnfStyle w:val="000000100000" w:firstRow="0" w:lastRow="0" w:firstColumn="0" w:lastColumn="0" w:oddVBand="0" w:evenVBand="0" w:oddHBand="1" w:evenHBand="0" w:firstRowFirstColumn="0" w:firstRowLastColumn="0" w:lastRowFirstColumn="0" w:lastRowLastColumn="0"/>
              <w:rPr>
                <w:lang w:val="en"/>
              </w:rPr>
            </w:pPr>
            <w:r w:rsidRPr="0023526B">
              <w:rPr>
                <w:lang w:val="en"/>
              </w:rPr>
              <w:t xml:space="preserve">Clinical guidelines/protocols on tuberculosis (2013) did not previously provide for a section on active screening. In this regard, it is necessary to </w:t>
            </w:r>
            <w:r w:rsidRPr="0023526B">
              <w:rPr>
                <w:b/>
                <w:lang w:val="en"/>
              </w:rPr>
              <w:t>update the CG/CP on TB, including CG/CP at the PHC level</w:t>
            </w:r>
            <w:r w:rsidRPr="0023526B">
              <w:rPr>
                <w:lang w:val="en"/>
              </w:rPr>
              <w:t>, with the introduction of the section "Active TB screening, new diagnostic methods and treatment regimens". Updating the CG/CP is planned for 2024 and 2026</w:t>
            </w:r>
            <w:r w:rsidRPr="0023526B">
              <w:rPr>
                <w:b/>
                <w:lang w:val="en"/>
              </w:rPr>
              <w:t xml:space="preserve">. </w:t>
            </w:r>
            <w:r w:rsidRPr="0023526B">
              <w:rPr>
                <w:lang w:val="en"/>
              </w:rPr>
              <w:t xml:space="preserve">It is planned </w:t>
            </w:r>
            <w:r w:rsidRPr="0023526B">
              <w:rPr>
                <w:lang w:val="en"/>
              </w:rPr>
              <w:lastRenderedPageBreak/>
              <w:t xml:space="preserve">to </w:t>
            </w:r>
            <w:r w:rsidRPr="0031089C">
              <w:rPr>
                <w:bCs/>
                <w:lang w:val="en"/>
              </w:rPr>
              <w:t>train medical workers of primary health care and vocational training in</w:t>
            </w:r>
            <w:r w:rsidRPr="0023526B">
              <w:rPr>
                <w:lang w:val="en"/>
              </w:rPr>
              <w:t xml:space="preserve"> order to implement the updated CG/CP on TB screening for medical workers of each region, </w:t>
            </w:r>
            <w:r>
              <w:rPr>
                <w:lang w:val="en"/>
              </w:rPr>
              <w:t xml:space="preserve">as well as in </w:t>
            </w:r>
            <w:r w:rsidRPr="0023526B">
              <w:rPr>
                <w:lang w:val="en"/>
              </w:rPr>
              <w:t>Bishkek and Osh cities.</w:t>
            </w:r>
          </w:p>
          <w:p w14:paraId="53C6F22D" w14:textId="41A55247" w:rsidR="00747101" w:rsidRPr="00747101" w:rsidRDefault="00747101" w:rsidP="0052768F">
            <w:pPr>
              <w:jc w:val="both"/>
              <w:cnfStyle w:val="000000100000" w:firstRow="0" w:lastRow="0" w:firstColumn="0" w:lastColumn="0" w:oddVBand="0" w:evenVBand="0" w:oddHBand="1" w:evenHBand="0" w:firstRowFirstColumn="0" w:firstRowLastColumn="0" w:lastRowFirstColumn="0" w:lastRowLastColumn="0"/>
            </w:pPr>
            <w:r w:rsidRPr="00747101">
              <w:t xml:space="preserve">Provide support for the transport system in case of disruptions in pathological material delivery. Further expand the use of genomic sequencing as part of the national </w:t>
            </w:r>
            <w:proofErr w:type="spellStart"/>
            <w:r w:rsidRPr="00747101">
              <w:t>multipathogen</w:t>
            </w:r>
            <w:proofErr w:type="spellEnd"/>
            <w:r w:rsidRPr="00747101">
              <w:t xml:space="preserve"> laboratory surveillance system, as well as </w:t>
            </w:r>
            <w:r>
              <w:t>DST</w:t>
            </w:r>
            <w:r w:rsidRPr="00747101">
              <w:t>, if approved by WHO.</w:t>
            </w:r>
          </w:p>
          <w:p w14:paraId="41314262" w14:textId="7E74F988" w:rsidR="0052768F" w:rsidRPr="00067490" w:rsidRDefault="0052768F" w:rsidP="0052768F">
            <w:pPr>
              <w:jc w:val="both"/>
              <w:cnfStyle w:val="000000100000" w:firstRow="0" w:lastRow="0" w:firstColumn="0" w:lastColumn="0" w:oddVBand="0" w:evenVBand="0" w:oddHBand="1" w:evenHBand="0" w:firstRowFirstColumn="0" w:firstRowLastColumn="0" w:lastRowFirstColumn="0" w:lastRowLastColumn="0"/>
            </w:pPr>
            <w:r w:rsidRPr="00067490">
              <w:rPr>
                <w:lang w:val="en"/>
              </w:rPr>
              <w:t>The MoH of the Kyrgyz Republic has taken measures to ensure the sustainable functioning of the sputum transportation system from Family Doctors Groups (FDG) and feldsher and midwife stations (FMS) to the appropriate laboratories. Conducting an expert assessment of the results of the transition to domestic funding of sputum transportation mechanisms with the presentation of the results is a very important aspect.</w:t>
            </w:r>
          </w:p>
          <w:p w14:paraId="5344BA72" w14:textId="19CD3C1A" w:rsidR="0052768F" w:rsidRPr="00E769B9" w:rsidRDefault="0052768F" w:rsidP="0052768F">
            <w:pPr>
              <w:jc w:val="both"/>
              <w:cnfStyle w:val="000000100000" w:firstRow="0" w:lastRow="0" w:firstColumn="0" w:lastColumn="0" w:oddVBand="0" w:evenVBand="0" w:oddHBand="1" w:evenHBand="0" w:firstRowFirstColumn="0" w:firstRowLastColumn="0" w:lastRowFirstColumn="0" w:lastRowLastColumn="0"/>
              <w:rPr>
                <w:b/>
                <w:bCs/>
              </w:rPr>
            </w:pPr>
            <w:r w:rsidRPr="0023526B">
              <w:rPr>
                <w:b/>
                <w:bCs/>
                <w:lang w:val="en"/>
              </w:rPr>
              <w:t>Implementation of incentive/motivati</w:t>
            </w:r>
            <w:r>
              <w:rPr>
                <w:b/>
                <w:bCs/>
                <w:lang w:val="en"/>
              </w:rPr>
              <w:t>on</w:t>
            </w:r>
            <w:r w:rsidRPr="0023526B">
              <w:rPr>
                <w:b/>
                <w:bCs/>
                <w:lang w:val="en"/>
              </w:rPr>
              <w:t xml:space="preserve"> payments to medical workers</w:t>
            </w:r>
            <w:r w:rsidRPr="0023526B">
              <w:rPr>
                <w:lang w:val="en"/>
              </w:rPr>
              <w:t xml:space="preserve"> responsible for target indicators (republican coordinators, regional coordinators, laboratory assistants, civilian employees of SIS). </w:t>
            </w:r>
            <w:r w:rsidRPr="00067490">
              <w:rPr>
                <w:iCs/>
                <w:lang w:val="en"/>
              </w:rPr>
              <w:t xml:space="preserve">Payments to medical staff are carried out </w:t>
            </w:r>
            <w:r w:rsidR="005B1BD5">
              <w:rPr>
                <w:iCs/>
                <w:lang w:val="en"/>
              </w:rPr>
              <w:t>In line with</w:t>
            </w:r>
            <w:r w:rsidRPr="00067490">
              <w:rPr>
                <w:iCs/>
                <w:lang w:val="en"/>
              </w:rPr>
              <w:t xml:space="preserve"> national legislation for a successfully treated MDR-TB case and are included in the budget of the MHIF in the amount of 24,000 </w:t>
            </w:r>
            <w:r w:rsidR="00067490">
              <w:rPr>
                <w:iCs/>
                <w:lang w:val="en"/>
              </w:rPr>
              <w:t>KGS</w:t>
            </w:r>
            <w:r w:rsidRPr="00067490">
              <w:rPr>
                <w:iCs/>
                <w:lang w:val="en"/>
              </w:rPr>
              <w:t xml:space="preserve"> ($270).</w:t>
            </w:r>
            <w:r w:rsidR="00067490">
              <w:rPr>
                <w:iCs/>
                <w:lang w:val="en"/>
              </w:rPr>
              <w:t xml:space="preserve"> </w:t>
            </w:r>
            <w:r w:rsidRPr="0023526B">
              <w:rPr>
                <w:bCs/>
                <w:lang w:val="en"/>
              </w:rPr>
              <w:t xml:space="preserve">The payment of 500 </w:t>
            </w:r>
            <w:r w:rsidR="00067490">
              <w:rPr>
                <w:bCs/>
                <w:lang w:val="en"/>
              </w:rPr>
              <w:t>KGS</w:t>
            </w:r>
            <w:r w:rsidRPr="0023526B">
              <w:rPr>
                <w:bCs/>
                <w:lang w:val="en"/>
              </w:rPr>
              <w:t xml:space="preserve"> ($6) previously practiced in the country for an identified case of TB has not justified itself. In this regard, in order to increase the motivation of PHC employees when TB is detected, it is necessary to </w:t>
            </w:r>
            <w:r w:rsidRPr="0023526B">
              <w:rPr>
                <w:b/>
                <w:lang w:val="en"/>
              </w:rPr>
              <w:t xml:space="preserve">develop a mechanism for </w:t>
            </w:r>
            <w:r>
              <w:rPr>
                <w:b/>
                <w:lang w:val="en"/>
              </w:rPr>
              <w:t>incentive</w:t>
            </w:r>
            <w:r w:rsidRPr="0023526B">
              <w:rPr>
                <w:b/>
                <w:lang w:val="en"/>
              </w:rPr>
              <w:t xml:space="preserve"> payments for each identified case</w:t>
            </w:r>
            <w:r w:rsidRPr="0023526B">
              <w:rPr>
                <w:bCs/>
                <w:lang w:val="en"/>
              </w:rPr>
              <w:t xml:space="preserve"> of TB for PHC, followed </w:t>
            </w:r>
            <w:r w:rsidRPr="0023526B">
              <w:rPr>
                <w:b/>
                <w:bCs/>
                <w:lang w:val="en"/>
              </w:rPr>
              <w:t xml:space="preserve">by </w:t>
            </w:r>
            <w:r>
              <w:rPr>
                <w:b/>
                <w:bCs/>
                <w:lang w:val="en"/>
              </w:rPr>
              <w:t>incentive</w:t>
            </w:r>
            <w:r w:rsidRPr="0023526B">
              <w:rPr>
                <w:b/>
                <w:bCs/>
                <w:lang w:val="en"/>
              </w:rPr>
              <w:t xml:space="preserve"> payments to PHC medical workers for each identified case of TB.</w:t>
            </w:r>
          </w:p>
          <w:p w14:paraId="1DFAA7C0" w14:textId="16AF48B6" w:rsidR="0052768F" w:rsidRPr="00E769B9" w:rsidRDefault="0052768F" w:rsidP="000B0008">
            <w:pPr>
              <w:jc w:val="both"/>
              <w:cnfStyle w:val="000000100000" w:firstRow="0" w:lastRow="0" w:firstColumn="0" w:lastColumn="0" w:oddVBand="0" w:evenVBand="0" w:oddHBand="1" w:evenHBand="0" w:firstRowFirstColumn="0" w:firstRowLastColumn="0" w:lastRowFirstColumn="0" w:lastRowLastColumn="0"/>
            </w:pPr>
            <w:r w:rsidRPr="0023526B">
              <w:rPr>
                <w:b/>
                <w:bCs/>
                <w:lang w:val="en"/>
              </w:rPr>
              <w:t>Routine monitoring activities include: (a) an annual review of the national program</w:t>
            </w:r>
            <w:r w:rsidRPr="0023526B">
              <w:rPr>
                <w:bCs/>
                <w:lang w:val="en"/>
              </w:rPr>
              <w:t xml:space="preserve"> with the publication of the results; (b) conducting a mid–term evaluation of the "Tuberculosis 6" Program of the Kyrgyz Republic in 2025; (c) </w:t>
            </w:r>
            <w:r w:rsidRPr="0023526B">
              <w:rPr>
                <w:b/>
                <w:bCs/>
                <w:lang w:val="en"/>
              </w:rPr>
              <w:t>equipping PHC and TB organizations for TB MIS</w:t>
            </w:r>
            <w:r w:rsidRPr="0023526B">
              <w:rPr>
                <w:bCs/>
                <w:lang w:val="en"/>
              </w:rPr>
              <w:t xml:space="preserve"> - in 2024, the purchase of necessary equipment for TB healthcare organizations (barcode scanners, barcode printer, router and digitizers and other components of a set of computers; (d) </w:t>
            </w:r>
            <w:r w:rsidRPr="0023526B">
              <w:rPr>
                <w:b/>
                <w:bCs/>
                <w:lang w:val="en"/>
              </w:rPr>
              <w:t>management of TB MIS.</w:t>
            </w:r>
            <w:r w:rsidRPr="0023526B">
              <w:rPr>
                <w:bCs/>
                <w:lang w:val="en"/>
              </w:rPr>
              <w:t xml:space="preserve"> </w:t>
            </w:r>
            <w:r w:rsidRPr="000B0008">
              <w:rPr>
                <w:lang w:val="en"/>
              </w:rPr>
              <w:t>Also planned:</w:t>
            </w:r>
            <w:r w:rsidR="000B0008">
              <w:rPr>
                <w:lang w:val="en"/>
              </w:rPr>
              <w:t xml:space="preserve"> (a) s</w:t>
            </w:r>
            <w:r w:rsidRPr="000B0008">
              <w:rPr>
                <w:lang w:val="en"/>
              </w:rPr>
              <w:t>upport of WHO missions through the Regional Green Light Committee (</w:t>
            </w:r>
            <w:proofErr w:type="spellStart"/>
            <w:r w:rsidRPr="000B0008">
              <w:rPr>
                <w:lang w:val="en"/>
              </w:rPr>
              <w:t>rGLC</w:t>
            </w:r>
            <w:proofErr w:type="spellEnd"/>
            <w:r w:rsidRPr="000B0008">
              <w:rPr>
                <w:lang w:val="en"/>
              </w:rPr>
              <w:t>) – an annual comprehensive review of the National TB Program</w:t>
            </w:r>
            <w:r w:rsidR="000B0008">
              <w:rPr>
                <w:lang w:val="en"/>
              </w:rPr>
              <w:t xml:space="preserve">; (b) </w:t>
            </w:r>
            <w:r w:rsidR="000B0008" w:rsidRPr="000B0008">
              <w:rPr>
                <w:lang w:val="en"/>
              </w:rPr>
              <w:t xml:space="preserve">WHO </w:t>
            </w:r>
            <w:r w:rsidRPr="000B0008">
              <w:rPr>
                <w:lang w:val="en"/>
              </w:rPr>
              <w:t>technical assistance to conduct an operational study on the introduction of modified short completely injection-free treatment regimens for MDR-TB, data analysis</w:t>
            </w:r>
            <w:r w:rsidR="000B0008">
              <w:rPr>
                <w:lang w:val="en"/>
              </w:rPr>
              <w:t xml:space="preserve">; (c) </w:t>
            </w:r>
            <w:r w:rsidRPr="000B0008">
              <w:rPr>
                <w:lang w:val="en"/>
              </w:rPr>
              <w:t xml:space="preserve">external quality assessment in two reference laboratories (performed on the basis of the NRL with the involvement of specialists from the SNRL </w:t>
            </w:r>
            <w:proofErr w:type="spellStart"/>
            <w:r w:rsidRPr="000B0008">
              <w:rPr>
                <w:lang w:val="en"/>
              </w:rPr>
              <w:t>Gauting</w:t>
            </w:r>
            <w:proofErr w:type="spellEnd"/>
            <w:r w:rsidRPr="000B0008">
              <w:rPr>
                <w:lang w:val="en"/>
              </w:rPr>
              <w:t>).</w:t>
            </w:r>
            <w:r w:rsidRPr="0023526B">
              <w:rPr>
                <w:lang w:val="en"/>
              </w:rPr>
              <w:t xml:space="preserve"> </w:t>
            </w:r>
          </w:p>
          <w:p w14:paraId="00D25700" w14:textId="6375CCE6" w:rsidR="00662E6E" w:rsidRPr="000B0008" w:rsidRDefault="0052768F" w:rsidP="0052768F">
            <w:pPr>
              <w:pStyle w:val="Default"/>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0B0008">
              <w:rPr>
                <w:sz w:val="22"/>
                <w:szCs w:val="22"/>
                <w:lang w:val="en"/>
              </w:rPr>
              <w:t>Monitoring of the response to treatment by clinical and laboratory services for patients undergoing treatment is fully covered by the state budget.</w:t>
            </w:r>
          </w:p>
        </w:tc>
      </w:tr>
      <w:tr w:rsidR="00662E6E" w14:paraId="3ADF22B6" w14:textId="77777777" w:rsidTr="00294243">
        <w:tc>
          <w:tcPr>
            <w:tcW w:w="2547" w:type="dxa"/>
          </w:tcPr>
          <w:p w14:paraId="272B8CF7" w14:textId="77777777" w:rsidR="00662E6E" w:rsidRDefault="00662E6E" w:rsidP="0026062D">
            <w:pPr>
              <w:pStyle w:val="BodyText"/>
              <w:widowControl w:val="0"/>
              <w:spacing w:line="240" w:lineRule="auto"/>
              <w:cnfStyle w:val="001000000000" w:firstRow="0" w:lastRow="0" w:firstColumn="1" w:lastColumn="0" w:oddVBand="0" w:evenVBand="0" w:oddHBand="0" w:evenHBand="0" w:firstRowFirstColumn="0" w:firstRowLastColumn="0" w:lastRowFirstColumn="0" w:lastRowLastColumn="0"/>
            </w:pPr>
            <w:r>
              <w:lastRenderedPageBreak/>
              <w:t>Population, geographies and/or barriers addressed</w:t>
            </w:r>
          </w:p>
        </w:tc>
        <w:tc>
          <w:tcPr>
            <w:tcW w:w="12616" w:type="dxa"/>
          </w:tcPr>
          <w:p w14:paraId="0B29C5D4" w14:textId="7FFA2192" w:rsidR="0066705B" w:rsidRPr="00E769B9" w:rsidRDefault="0066705B" w:rsidP="0066705B">
            <w:pPr>
              <w:pStyle w:val="BodyText"/>
              <w:rPr>
                <w:sz w:val="22"/>
                <w:szCs w:val="20"/>
                <w:lang w:val="en-US"/>
              </w:rPr>
            </w:pPr>
            <w:r>
              <w:rPr>
                <w:sz w:val="22"/>
                <w:szCs w:val="20"/>
                <w:lang w:val="en"/>
              </w:rPr>
              <w:t xml:space="preserve">People with symptoms similar to </w:t>
            </w:r>
            <w:r w:rsidR="00ED603D">
              <w:rPr>
                <w:sz w:val="22"/>
                <w:szCs w:val="20"/>
                <w:lang w:val="en"/>
              </w:rPr>
              <w:t>TB</w:t>
            </w:r>
            <w:r>
              <w:rPr>
                <w:sz w:val="22"/>
                <w:szCs w:val="20"/>
                <w:lang w:val="en"/>
              </w:rPr>
              <w:t xml:space="preserve">, TB contact cases, including MDR-TB, especially children; </w:t>
            </w:r>
            <w:r w:rsidR="00ED603D">
              <w:rPr>
                <w:sz w:val="22"/>
                <w:szCs w:val="20"/>
                <w:lang w:val="en"/>
              </w:rPr>
              <w:t>KPs</w:t>
            </w:r>
            <w:r>
              <w:rPr>
                <w:sz w:val="22"/>
                <w:szCs w:val="20"/>
                <w:lang w:val="en"/>
              </w:rPr>
              <w:t xml:space="preserve"> (PLHIV, people in prison, homeless, migrants, people with diabetes, health workers), people with </w:t>
            </w:r>
            <w:r w:rsidR="00ED603D">
              <w:rPr>
                <w:sz w:val="22"/>
                <w:szCs w:val="20"/>
                <w:lang w:val="en"/>
              </w:rPr>
              <w:t>TB</w:t>
            </w:r>
            <w:r>
              <w:rPr>
                <w:sz w:val="22"/>
                <w:szCs w:val="20"/>
                <w:lang w:val="en"/>
              </w:rPr>
              <w:t xml:space="preserve"> and MDR-TB.</w:t>
            </w:r>
          </w:p>
          <w:p w14:paraId="5C971C4C" w14:textId="77777777" w:rsidR="0066705B" w:rsidRPr="00E769B9" w:rsidRDefault="0066705B" w:rsidP="0066705B">
            <w:pPr>
              <w:pStyle w:val="BodyText"/>
              <w:rPr>
                <w:sz w:val="22"/>
                <w:szCs w:val="20"/>
                <w:lang w:val="en-US"/>
              </w:rPr>
            </w:pPr>
            <w:r w:rsidRPr="00134DF2">
              <w:rPr>
                <w:i/>
                <w:iCs/>
                <w:sz w:val="22"/>
                <w:szCs w:val="20"/>
                <w:lang w:val="en"/>
              </w:rPr>
              <w:t>Screening at the PHC level</w:t>
            </w:r>
            <w:r>
              <w:rPr>
                <w:sz w:val="22"/>
                <w:szCs w:val="20"/>
                <w:lang w:val="en"/>
              </w:rPr>
              <w:t xml:space="preserve">: Kyrgyz Republic, including the penitentiary system. </w:t>
            </w:r>
          </w:p>
          <w:p w14:paraId="2C2577FC" w14:textId="77777777" w:rsidR="0066705B" w:rsidRPr="00E769B9" w:rsidRDefault="0066705B" w:rsidP="0066705B">
            <w:pPr>
              <w:pStyle w:val="BodyText"/>
              <w:rPr>
                <w:sz w:val="22"/>
                <w:szCs w:val="20"/>
                <w:lang w:val="en-US"/>
              </w:rPr>
            </w:pPr>
            <w:r w:rsidRPr="00134DF2">
              <w:rPr>
                <w:i/>
                <w:iCs/>
                <w:sz w:val="22"/>
                <w:szCs w:val="20"/>
                <w:lang w:val="en"/>
              </w:rPr>
              <w:t>Screening at the community level</w:t>
            </w:r>
            <w:r>
              <w:rPr>
                <w:sz w:val="22"/>
                <w:szCs w:val="20"/>
                <w:lang w:val="en"/>
              </w:rPr>
              <w:t>: 3 regions (Issyk-Kul, Osh and Chui).</w:t>
            </w:r>
          </w:p>
          <w:p w14:paraId="3478D95C" w14:textId="71245363" w:rsidR="0066705B" w:rsidRPr="00E769B9" w:rsidRDefault="0066705B" w:rsidP="0066705B">
            <w:pPr>
              <w:pStyle w:val="BodyText"/>
              <w:rPr>
                <w:sz w:val="22"/>
                <w:szCs w:val="20"/>
                <w:lang w:val="en-US"/>
              </w:rPr>
            </w:pPr>
            <w:r w:rsidRPr="00134DF2">
              <w:rPr>
                <w:i/>
                <w:iCs/>
                <w:sz w:val="22"/>
                <w:szCs w:val="20"/>
                <w:lang w:val="en"/>
              </w:rPr>
              <w:t>Diagnostics and DST</w:t>
            </w:r>
            <w:r>
              <w:rPr>
                <w:sz w:val="22"/>
                <w:szCs w:val="20"/>
                <w:lang w:val="en"/>
              </w:rPr>
              <w:t xml:space="preserve">: </w:t>
            </w:r>
            <w:r w:rsidR="00134DF2">
              <w:rPr>
                <w:sz w:val="22"/>
                <w:szCs w:val="20"/>
                <w:lang w:val="en"/>
              </w:rPr>
              <w:t>Kyrgyz Republic</w:t>
            </w:r>
            <w:r>
              <w:rPr>
                <w:sz w:val="22"/>
                <w:szCs w:val="20"/>
                <w:lang w:val="en"/>
              </w:rPr>
              <w:t xml:space="preserve">. </w:t>
            </w:r>
          </w:p>
          <w:p w14:paraId="1B377DF5" w14:textId="77777777" w:rsidR="0066705B" w:rsidRPr="00E769B9" w:rsidRDefault="0066705B" w:rsidP="0066705B">
            <w:pPr>
              <w:pStyle w:val="BodyText"/>
              <w:jc w:val="both"/>
              <w:rPr>
                <w:sz w:val="22"/>
                <w:szCs w:val="20"/>
                <w:lang w:val="en-US"/>
              </w:rPr>
            </w:pPr>
            <w:r w:rsidRPr="008B4333">
              <w:rPr>
                <w:sz w:val="22"/>
                <w:szCs w:val="20"/>
                <w:lang w:val="en"/>
              </w:rPr>
              <w:lastRenderedPageBreak/>
              <w:t>Key gaps and barriers:</w:t>
            </w:r>
          </w:p>
          <w:p w14:paraId="3AE7EA2F" w14:textId="3A081D20" w:rsidR="0066705B" w:rsidRPr="00E769B9" w:rsidRDefault="0066705B" w:rsidP="0066705B">
            <w:pPr>
              <w:pStyle w:val="BodyText"/>
              <w:jc w:val="both"/>
              <w:rPr>
                <w:sz w:val="22"/>
                <w:szCs w:val="20"/>
                <w:lang w:val="en-US"/>
              </w:rPr>
            </w:pPr>
            <w:r w:rsidRPr="00F646FB">
              <w:rPr>
                <w:i/>
                <w:iCs/>
                <w:sz w:val="22"/>
                <w:szCs w:val="20"/>
                <w:lang w:val="en"/>
              </w:rPr>
              <w:t>Screening:</w:t>
            </w:r>
            <w:r w:rsidRPr="008B4333">
              <w:rPr>
                <w:sz w:val="22"/>
                <w:szCs w:val="20"/>
                <w:lang w:val="en"/>
              </w:rPr>
              <w:t xml:space="preserve"> The passive TB detection strategy, mainly used in the Kyrgyz Republic, leads to the fact that a significant proportion of people with TB are not covered by the Kyrgyz healthcare system (treatment coverage in 2021 </w:t>
            </w:r>
            <w:r w:rsidR="00134DF2">
              <w:rPr>
                <w:sz w:val="22"/>
                <w:szCs w:val="20"/>
                <w:lang w:val="en"/>
              </w:rPr>
              <w:t>was</w:t>
            </w:r>
            <w:r w:rsidRPr="008B4333">
              <w:rPr>
                <w:sz w:val="22"/>
                <w:szCs w:val="20"/>
                <w:lang w:val="en"/>
              </w:rPr>
              <w:t xml:space="preserve"> 54%). The coverage of contacts investigation, as well as </w:t>
            </w:r>
            <w:r w:rsidR="00134DF2">
              <w:rPr>
                <w:sz w:val="22"/>
                <w:szCs w:val="20"/>
                <w:lang w:val="en"/>
              </w:rPr>
              <w:t>KPs</w:t>
            </w:r>
            <w:r w:rsidRPr="008B4333">
              <w:rPr>
                <w:sz w:val="22"/>
                <w:szCs w:val="20"/>
                <w:lang w:val="en"/>
              </w:rPr>
              <w:t xml:space="preserve"> who are at risk of </w:t>
            </w:r>
            <w:r w:rsidR="00134DF2">
              <w:rPr>
                <w:sz w:val="22"/>
                <w:szCs w:val="20"/>
                <w:lang w:val="en"/>
              </w:rPr>
              <w:t>TB</w:t>
            </w:r>
            <w:r w:rsidRPr="008B4333">
              <w:rPr>
                <w:sz w:val="22"/>
                <w:szCs w:val="20"/>
                <w:lang w:val="en"/>
              </w:rPr>
              <w:t xml:space="preserve">, but do not seek medical help, is carried out at </w:t>
            </w:r>
            <w:r w:rsidR="004F69C6">
              <w:rPr>
                <w:sz w:val="22"/>
                <w:szCs w:val="20"/>
                <w:lang w:val="en"/>
              </w:rPr>
              <w:t>suboptimal</w:t>
            </w:r>
            <w:r w:rsidRPr="008B4333">
              <w:rPr>
                <w:sz w:val="22"/>
                <w:szCs w:val="20"/>
                <w:lang w:val="en"/>
              </w:rPr>
              <w:t xml:space="preserve"> level. Algorithms for targeted TB screening for various </w:t>
            </w:r>
            <w:r w:rsidR="004F69C6">
              <w:rPr>
                <w:sz w:val="22"/>
                <w:szCs w:val="20"/>
                <w:lang w:val="en"/>
              </w:rPr>
              <w:t>KPs</w:t>
            </w:r>
            <w:r w:rsidRPr="008B4333">
              <w:rPr>
                <w:sz w:val="22"/>
                <w:szCs w:val="20"/>
                <w:lang w:val="en"/>
              </w:rPr>
              <w:t xml:space="preserve"> are not clearly defined. Limited possibilities of PHC in detecting </w:t>
            </w:r>
            <w:r w:rsidR="00AE71C9">
              <w:rPr>
                <w:sz w:val="22"/>
                <w:szCs w:val="20"/>
                <w:lang w:val="en"/>
              </w:rPr>
              <w:t>TB</w:t>
            </w:r>
            <w:r w:rsidRPr="008B4333">
              <w:rPr>
                <w:sz w:val="22"/>
                <w:szCs w:val="20"/>
                <w:lang w:val="en"/>
              </w:rPr>
              <w:t xml:space="preserve"> cases (according to the </w:t>
            </w:r>
            <w:r w:rsidR="00C030AB">
              <w:rPr>
                <w:sz w:val="22"/>
                <w:szCs w:val="20"/>
                <w:lang w:val="en"/>
              </w:rPr>
              <w:t>TB Patient Pathway Analysis (PPA)</w:t>
            </w:r>
            <w:r w:rsidR="00C030AB">
              <w:rPr>
                <w:rStyle w:val="FootnoteReference"/>
                <w:sz w:val="22"/>
                <w:szCs w:val="20"/>
                <w:lang w:val="en"/>
              </w:rPr>
              <w:footnoteReference w:id="36"/>
            </w:r>
            <w:r w:rsidRPr="008B4333">
              <w:rPr>
                <w:sz w:val="22"/>
                <w:szCs w:val="20"/>
                <w:lang w:val="en"/>
              </w:rPr>
              <w:t>, the availability of screening and diagnostic services for TB at the PHC level is no more than 17%, with the exception of the cities of Osh (14-22%) and Bishkek (37-43%)). Mechanisms (incentives) aimed at early detection of TB for providers of TB care are not sufficiently developed. NGOs</w:t>
            </w:r>
            <w:r w:rsidR="00230951">
              <w:rPr>
                <w:sz w:val="22"/>
                <w:szCs w:val="20"/>
                <w:lang w:val="en"/>
              </w:rPr>
              <w:t xml:space="preserve"> capacity is underused</w:t>
            </w:r>
            <w:r w:rsidRPr="008B4333">
              <w:rPr>
                <w:sz w:val="22"/>
                <w:szCs w:val="20"/>
                <w:lang w:val="en"/>
              </w:rPr>
              <w:t xml:space="preserve"> in </w:t>
            </w:r>
            <w:r w:rsidR="00230951">
              <w:rPr>
                <w:sz w:val="22"/>
                <w:szCs w:val="20"/>
                <w:lang w:val="en"/>
              </w:rPr>
              <w:t>TB</w:t>
            </w:r>
            <w:r w:rsidRPr="008B4333">
              <w:rPr>
                <w:sz w:val="22"/>
                <w:szCs w:val="20"/>
                <w:lang w:val="en"/>
              </w:rPr>
              <w:t xml:space="preserve"> screening. Lack of digital tools to support screening and </w:t>
            </w:r>
            <w:r w:rsidR="00AF07C3">
              <w:rPr>
                <w:sz w:val="22"/>
                <w:szCs w:val="20"/>
                <w:lang w:val="en"/>
              </w:rPr>
              <w:t>referral</w:t>
            </w:r>
            <w:r w:rsidRPr="008B4333">
              <w:rPr>
                <w:sz w:val="22"/>
                <w:szCs w:val="20"/>
                <w:lang w:val="en"/>
              </w:rPr>
              <w:t xml:space="preserve">, </w:t>
            </w:r>
            <w:r w:rsidR="00C36A9D">
              <w:rPr>
                <w:sz w:val="22"/>
                <w:szCs w:val="20"/>
                <w:lang w:val="en"/>
              </w:rPr>
              <w:t>limited and unreliable</w:t>
            </w:r>
            <w:r w:rsidRPr="008B4333">
              <w:rPr>
                <w:sz w:val="22"/>
                <w:szCs w:val="20"/>
                <w:lang w:val="en"/>
              </w:rPr>
              <w:t xml:space="preserve"> data. Gender and human rights barriers have not been completely eliminated, especially among women and returning migrant workers. Lack of support for people with suspected </w:t>
            </w:r>
            <w:r w:rsidR="00ED58AA">
              <w:rPr>
                <w:sz w:val="22"/>
                <w:szCs w:val="20"/>
                <w:lang w:val="en"/>
              </w:rPr>
              <w:t>TB</w:t>
            </w:r>
            <w:r w:rsidRPr="008B4333">
              <w:rPr>
                <w:sz w:val="22"/>
                <w:szCs w:val="20"/>
                <w:lang w:val="en"/>
              </w:rPr>
              <w:t xml:space="preserve"> to complete the tuberculosis diagnosis algorithm.</w:t>
            </w:r>
          </w:p>
          <w:p w14:paraId="6E0FE02B" w14:textId="55295192" w:rsidR="0066705B" w:rsidRPr="00E769B9" w:rsidRDefault="0066705B" w:rsidP="0066705B">
            <w:pPr>
              <w:pStyle w:val="BodyText"/>
              <w:jc w:val="both"/>
              <w:rPr>
                <w:sz w:val="22"/>
                <w:szCs w:val="20"/>
                <w:lang w:val="en-US"/>
              </w:rPr>
            </w:pPr>
            <w:r w:rsidRPr="00F646FB">
              <w:rPr>
                <w:i/>
                <w:iCs/>
                <w:sz w:val="22"/>
                <w:szCs w:val="20"/>
                <w:lang w:val="en"/>
              </w:rPr>
              <w:t>Diagnostics:</w:t>
            </w:r>
            <w:r>
              <w:rPr>
                <w:sz w:val="22"/>
                <w:szCs w:val="20"/>
                <w:lang w:val="en"/>
              </w:rPr>
              <w:t xml:space="preserve"> </w:t>
            </w:r>
            <w:r w:rsidR="00456A9C" w:rsidRPr="00456A9C">
              <w:rPr>
                <w:sz w:val="22"/>
                <w:szCs w:val="20"/>
                <w:lang w:val="en"/>
              </w:rPr>
              <w:t xml:space="preserve">Insufficient coverage of </w:t>
            </w:r>
            <w:proofErr w:type="spellStart"/>
            <w:r w:rsidR="00456A9C" w:rsidRPr="00456A9C">
              <w:rPr>
                <w:sz w:val="22"/>
                <w:szCs w:val="20"/>
                <w:lang w:val="en"/>
              </w:rPr>
              <w:t>mWRD</w:t>
            </w:r>
            <w:proofErr w:type="spellEnd"/>
            <w:r w:rsidR="00456A9C" w:rsidRPr="00456A9C">
              <w:rPr>
                <w:sz w:val="22"/>
                <w:szCs w:val="20"/>
                <w:lang w:val="en"/>
              </w:rPr>
              <w:t xml:space="preserve"> testing among people with suspected TB; delays in reporting TB test results to clinicians. The conduct of DST is highly centralized, which leads to delays in processing time for test results. Inadequate internal funding for procurement of laboratory equipment, consumables and maintenance (</w:t>
            </w:r>
            <w:proofErr w:type="spellStart"/>
            <w:r w:rsidR="00456A9C" w:rsidRPr="00456A9C">
              <w:rPr>
                <w:sz w:val="22"/>
                <w:szCs w:val="20"/>
                <w:lang w:val="en"/>
              </w:rPr>
              <w:t>mWRD</w:t>
            </w:r>
            <w:proofErr w:type="spellEnd"/>
            <w:r w:rsidR="00456A9C" w:rsidRPr="00456A9C">
              <w:rPr>
                <w:sz w:val="22"/>
                <w:szCs w:val="20"/>
                <w:lang w:val="en"/>
              </w:rPr>
              <w:t>, DST).</w:t>
            </w:r>
          </w:p>
          <w:p w14:paraId="7217BC51" w14:textId="7BDA7DEB" w:rsidR="0066705B" w:rsidRDefault="007819B4" w:rsidP="0066705B">
            <w:pPr>
              <w:pStyle w:val="BodyText"/>
              <w:rPr>
                <w:sz w:val="22"/>
                <w:szCs w:val="20"/>
                <w:lang w:val="en"/>
              </w:rPr>
            </w:pPr>
            <w:r w:rsidRPr="007819B4">
              <w:rPr>
                <w:i/>
                <w:iCs/>
                <w:sz w:val="22"/>
                <w:szCs w:val="20"/>
                <w:lang w:val="en"/>
              </w:rPr>
              <w:t>Treatment:</w:t>
            </w:r>
            <w:r>
              <w:rPr>
                <w:sz w:val="22"/>
                <w:szCs w:val="20"/>
                <w:lang w:val="en"/>
              </w:rPr>
              <w:t xml:space="preserve"> </w:t>
            </w:r>
            <w:r w:rsidR="0066705B">
              <w:rPr>
                <w:sz w:val="22"/>
                <w:szCs w:val="20"/>
                <w:lang w:val="en"/>
              </w:rPr>
              <w:t>People with DR tuberculosis, including children, vulnerable groups of the population.</w:t>
            </w:r>
          </w:p>
          <w:tbl>
            <w:tblPr>
              <w:tblW w:w="9940" w:type="dxa"/>
              <w:tblLook w:val="04A0" w:firstRow="1" w:lastRow="0" w:firstColumn="1" w:lastColumn="0" w:noHBand="0" w:noVBand="1"/>
            </w:tblPr>
            <w:tblGrid>
              <w:gridCol w:w="3060"/>
              <w:gridCol w:w="1720"/>
              <w:gridCol w:w="1720"/>
              <w:gridCol w:w="1720"/>
              <w:gridCol w:w="1720"/>
            </w:tblGrid>
            <w:tr w:rsidR="007819B4" w14:paraId="7723AC78" w14:textId="77777777" w:rsidTr="00294243">
              <w:trPr>
                <w:trHeight w:val="360"/>
              </w:trPr>
              <w:tc>
                <w:tcPr>
                  <w:tcW w:w="30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696A79E" w14:textId="77777777" w:rsidR="007819B4" w:rsidRPr="00466BD5" w:rsidRDefault="007819B4" w:rsidP="005B1BD5">
                  <w:pPr>
                    <w:framePr w:wrap="around" w:vAnchor="text" w:hAnchor="margin" w:y="1"/>
                    <w:spacing w:after="0" w:line="240" w:lineRule="auto"/>
                    <w:suppressOverlap/>
                    <w:jc w:val="both"/>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Category of patients </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1CA92BB9"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2024</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20FF0B16"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2025</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73590B47"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2026</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3A129D27"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2027</w:t>
                  </w:r>
                </w:p>
              </w:tc>
            </w:tr>
            <w:tr w:rsidR="007819B4" w14:paraId="50924D7A"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BDD7EE"/>
                  <w:vAlign w:val="center"/>
                  <w:hideMark/>
                </w:tcPr>
                <w:p w14:paraId="2E9C667D" w14:textId="77777777" w:rsidR="007819B4" w:rsidRPr="00466BD5" w:rsidRDefault="007819B4" w:rsidP="005B1BD5">
                  <w:pPr>
                    <w:framePr w:wrap="around" w:vAnchor="text" w:hAnchor="margin" w:y="1"/>
                    <w:spacing w:after="0" w:line="240" w:lineRule="auto"/>
                    <w:suppressOverlap/>
                    <w:jc w:val="both"/>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Total number of patients</w:t>
                  </w:r>
                </w:p>
              </w:tc>
              <w:tc>
                <w:tcPr>
                  <w:tcW w:w="1720" w:type="dxa"/>
                  <w:tcBorders>
                    <w:top w:val="nil"/>
                    <w:left w:val="nil"/>
                    <w:bottom w:val="single" w:sz="8" w:space="0" w:color="auto"/>
                    <w:right w:val="single" w:sz="8" w:space="0" w:color="auto"/>
                  </w:tcBorders>
                  <w:shd w:val="clear" w:color="000000" w:fill="BDD7EE"/>
                  <w:vAlign w:val="center"/>
                  <w:hideMark/>
                </w:tcPr>
                <w:p w14:paraId="41149CA8"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1,200</w:t>
                  </w:r>
                </w:p>
              </w:tc>
              <w:tc>
                <w:tcPr>
                  <w:tcW w:w="1720" w:type="dxa"/>
                  <w:tcBorders>
                    <w:top w:val="nil"/>
                    <w:left w:val="nil"/>
                    <w:bottom w:val="single" w:sz="8" w:space="0" w:color="auto"/>
                    <w:right w:val="single" w:sz="8" w:space="0" w:color="auto"/>
                  </w:tcBorders>
                  <w:shd w:val="clear" w:color="000000" w:fill="BDD7EE"/>
                  <w:vAlign w:val="center"/>
                  <w:hideMark/>
                </w:tcPr>
                <w:p w14:paraId="4ECAAB4D"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1,200</w:t>
                  </w:r>
                </w:p>
              </w:tc>
              <w:tc>
                <w:tcPr>
                  <w:tcW w:w="1720" w:type="dxa"/>
                  <w:tcBorders>
                    <w:top w:val="nil"/>
                    <w:left w:val="nil"/>
                    <w:bottom w:val="single" w:sz="8" w:space="0" w:color="auto"/>
                    <w:right w:val="single" w:sz="8" w:space="0" w:color="auto"/>
                  </w:tcBorders>
                  <w:shd w:val="clear" w:color="000000" w:fill="BDD7EE"/>
                  <w:vAlign w:val="center"/>
                  <w:hideMark/>
                </w:tcPr>
                <w:p w14:paraId="501A93BF"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1,200</w:t>
                  </w:r>
                </w:p>
              </w:tc>
              <w:tc>
                <w:tcPr>
                  <w:tcW w:w="1720" w:type="dxa"/>
                  <w:tcBorders>
                    <w:top w:val="nil"/>
                    <w:left w:val="nil"/>
                    <w:bottom w:val="single" w:sz="8" w:space="0" w:color="auto"/>
                    <w:right w:val="single" w:sz="8" w:space="0" w:color="auto"/>
                  </w:tcBorders>
                  <w:shd w:val="clear" w:color="000000" w:fill="BDD7EE"/>
                  <w:vAlign w:val="center"/>
                  <w:hideMark/>
                </w:tcPr>
                <w:p w14:paraId="26A2DA02"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1,200</w:t>
                  </w:r>
                </w:p>
              </w:tc>
            </w:tr>
            <w:tr w:rsidR="007819B4" w14:paraId="5969678B"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17B3177E" w14:textId="77777777" w:rsidR="007819B4" w:rsidRPr="00466BD5" w:rsidRDefault="007819B4" w:rsidP="005B1BD5">
                  <w:pPr>
                    <w:framePr w:wrap="around" w:vAnchor="text" w:hAnchor="margin" w:y="1"/>
                    <w:spacing w:after="0" w:line="240" w:lineRule="auto"/>
                    <w:suppressOverlap/>
                    <w:jc w:val="both"/>
                    <w:rPr>
                      <w:rFonts w:ascii="Arial" w:eastAsia="Times New Roman" w:hAnsi="Arial" w:cs="Arial"/>
                      <w:color w:val="000000"/>
                      <w:lang w:val="ru-RU" w:eastAsia="ru-RU"/>
                    </w:rPr>
                  </w:pPr>
                  <w:r w:rsidRPr="00466BD5">
                    <w:rPr>
                      <w:rFonts w:ascii="Arial" w:eastAsia="Times New Roman" w:hAnsi="Arial" w:cs="Arial"/>
                      <w:color w:val="000000"/>
                      <w:lang w:val="en" w:eastAsia="ru-RU"/>
                    </w:rPr>
                    <w:t>- short regimens</w:t>
                  </w:r>
                </w:p>
              </w:tc>
              <w:tc>
                <w:tcPr>
                  <w:tcW w:w="1720" w:type="dxa"/>
                  <w:tcBorders>
                    <w:top w:val="nil"/>
                    <w:left w:val="nil"/>
                    <w:bottom w:val="single" w:sz="8" w:space="0" w:color="auto"/>
                    <w:right w:val="single" w:sz="8" w:space="0" w:color="auto"/>
                  </w:tcBorders>
                  <w:shd w:val="clear" w:color="000000" w:fill="FFFFFF"/>
                  <w:vAlign w:val="center"/>
                  <w:hideMark/>
                </w:tcPr>
                <w:p w14:paraId="4C98EBE7"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540</w:t>
                  </w:r>
                </w:p>
              </w:tc>
              <w:tc>
                <w:tcPr>
                  <w:tcW w:w="1720" w:type="dxa"/>
                  <w:tcBorders>
                    <w:top w:val="nil"/>
                    <w:left w:val="nil"/>
                    <w:bottom w:val="single" w:sz="8" w:space="0" w:color="auto"/>
                    <w:right w:val="single" w:sz="8" w:space="0" w:color="auto"/>
                  </w:tcBorders>
                  <w:shd w:val="clear" w:color="000000" w:fill="FFFFFF"/>
                  <w:vAlign w:val="center"/>
                  <w:hideMark/>
                </w:tcPr>
                <w:p w14:paraId="219EE06D"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67147177"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660</w:t>
                  </w:r>
                </w:p>
              </w:tc>
              <w:tc>
                <w:tcPr>
                  <w:tcW w:w="1720" w:type="dxa"/>
                  <w:tcBorders>
                    <w:top w:val="nil"/>
                    <w:left w:val="nil"/>
                    <w:bottom w:val="single" w:sz="8" w:space="0" w:color="auto"/>
                    <w:right w:val="single" w:sz="8" w:space="0" w:color="auto"/>
                  </w:tcBorders>
                  <w:shd w:val="clear" w:color="000000" w:fill="FFFFFF"/>
                  <w:vAlign w:val="center"/>
                  <w:hideMark/>
                </w:tcPr>
                <w:p w14:paraId="1651C118"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720</w:t>
                  </w:r>
                </w:p>
              </w:tc>
            </w:tr>
            <w:tr w:rsidR="007819B4" w14:paraId="77C86ABA"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3BB637AF" w14:textId="77777777" w:rsidR="007819B4" w:rsidRPr="00466BD5" w:rsidRDefault="007819B4" w:rsidP="005B1BD5">
                  <w:pPr>
                    <w:framePr w:wrap="around" w:vAnchor="text" w:hAnchor="margin" w:y="1"/>
                    <w:spacing w:after="0" w:line="240" w:lineRule="auto"/>
                    <w:suppressOverlap/>
                    <w:jc w:val="both"/>
                    <w:rPr>
                      <w:rFonts w:ascii="Arial" w:eastAsia="Times New Roman" w:hAnsi="Arial" w:cs="Arial"/>
                      <w:color w:val="000000"/>
                      <w:lang w:val="ru-RU" w:eastAsia="ru-RU"/>
                    </w:rPr>
                  </w:pPr>
                  <w:r w:rsidRPr="00466BD5">
                    <w:rPr>
                      <w:rFonts w:ascii="Arial" w:eastAsia="Times New Roman" w:hAnsi="Arial" w:cs="Arial"/>
                      <w:color w:val="000000"/>
                      <w:lang w:eastAsia="ru-RU"/>
                    </w:rPr>
                    <w:t> </w:t>
                  </w:r>
                </w:p>
              </w:tc>
              <w:tc>
                <w:tcPr>
                  <w:tcW w:w="1720" w:type="dxa"/>
                  <w:tcBorders>
                    <w:top w:val="nil"/>
                    <w:left w:val="nil"/>
                    <w:bottom w:val="single" w:sz="8" w:space="0" w:color="auto"/>
                    <w:right w:val="single" w:sz="8" w:space="0" w:color="auto"/>
                  </w:tcBorders>
                  <w:shd w:val="clear" w:color="000000" w:fill="FFFFFF"/>
                  <w:vAlign w:val="center"/>
                  <w:hideMark/>
                </w:tcPr>
                <w:p w14:paraId="5882F589"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45%</w:t>
                  </w:r>
                </w:p>
              </w:tc>
              <w:tc>
                <w:tcPr>
                  <w:tcW w:w="1720" w:type="dxa"/>
                  <w:tcBorders>
                    <w:top w:val="nil"/>
                    <w:left w:val="nil"/>
                    <w:bottom w:val="single" w:sz="8" w:space="0" w:color="auto"/>
                    <w:right w:val="single" w:sz="8" w:space="0" w:color="auto"/>
                  </w:tcBorders>
                  <w:shd w:val="clear" w:color="000000" w:fill="FFFFFF"/>
                  <w:vAlign w:val="center"/>
                  <w:hideMark/>
                </w:tcPr>
                <w:p w14:paraId="3312751E"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50%</w:t>
                  </w:r>
                </w:p>
              </w:tc>
              <w:tc>
                <w:tcPr>
                  <w:tcW w:w="1720" w:type="dxa"/>
                  <w:tcBorders>
                    <w:top w:val="nil"/>
                    <w:left w:val="nil"/>
                    <w:bottom w:val="single" w:sz="8" w:space="0" w:color="auto"/>
                    <w:right w:val="single" w:sz="8" w:space="0" w:color="auto"/>
                  </w:tcBorders>
                  <w:shd w:val="clear" w:color="000000" w:fill="FFFFFF"/>
                  <w:vAlign w:val="center"/>
                  <w:hideMark/>
                </w:tcPr>
                <w:p w14:paraId="6623CC66"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55%</w:t>
                  </w:r>
                </w:p>
              </w:tc>
              <w:tc>
                <w:tcPr>
                  <w:tcW w:w="1720" w:type="dxa"/>
                  <w:tcBorders>
                    <w:top w:val="nil"/>
                    <w:left w:val="nil"/>
                    <w:bottom w:val="single" w:sz="8" w:space="0" w:color="auto"/>
                    <w:right w:val="single" w:sz="8" w:space="0" w:color="auto"/>
                  </w:tcBorders>
                  <w:shd w:val="clear" w:color="000000" w:fill="FFFFFF"/>
                  <w:vAlign w:val="center"/>
                  <w:hideMark/>
                </w:tcPr>
                <w:p w14:paraId="0665505B"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60%</w:t>
                  </w:r>
                </w:p>
              </w:tc>
            </w:tr>
            <w:tr w:rsidR="007819B4" w14:paraId="1CAD1304"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EB36033" w14:textId="77777777" w:rsidR="007819B4" w:rsidRPr="00466BD5" w:rsidRDefault="007819B4" w:rsidP="005B1BD5">
                  <w:pPr>
                    <w:framePr w:wrap="around" w:vAnchor="text" w:hAnchor="margin" w:y="1"/>
                    <w:spacing w:after="0" w:line="240" w:lineRule="auto"/>
                    <w:suppressOverlap/>
                    <w:rPr>
                      <w:rFonts w:ascii="Arial" w:eastAsia="Times New Roman" w:hAnsi="Arial" w:cs="Arial"/>
                      <w:color w:val="000000"/>
                      <w:lang w:val="ru-RU" w:eastAsia="ru-RU"/>
                    </w:rPr>
                  </w:pPr>
                  <w:r w:rsidRPr="00466BD5">
                    <w:rPr>
                      <w:rFonts w:ascii="Arial" w:eastAsia="Times New Roman" w:hAnsi="Arial" w:cs="Arial"/>
                      <w:color w:val="000000"/>
                      <w:lang w:val="en" w:eastAsia="ru-RU"/>
                    </w:rPr>
                    <w:t>- individual regimens</w:t>
                  </w:r>
                </w:p>
              </w:tc>
              <w:tc>
                <w:tcPr>
                  <w:tcW w:w="1720" w:type="dxa"/>
                  <w:tcBorders>
                    <w:top w:val="nil"/>
                    <w:left w:val="nil"/>
                    <w:bottom w:val="single" w:sz="8" w:space="0" w:color="auto"/>
                    <w:right w:val="single" w:sz="8" w:space="0" w:color="auto"/>
                  </w:tcBorders>
                  <w:shd w:val="clear" w:color="000000" w:fill="FFFFFF"/>
                  <w:vAlign w:val="center"/>
                  <w:hideMark/>
                </w:tcPr>
                <w:p w14:paraId="227E5D78"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660</w:t>
                  </w:r>
                </w:p>
              </w:tc>
              <w:tc>
                <w:tcPr>
                  <w:tcW w:w="1720" w:type="dxa"/>
                  <w:tcBorders>
                    <w:top w:val="nil"/>
                    <w:left w:val="nil"/>
                    <w:bottom w:val="single" w:sz="8" w:space="0" w:color="auto"/>
                    <w:right w:val="single" w:sz="8" w:space="0" w:color="auto"/>
                  </w:tcBorders>
                  <w:shd w:val="clear" w:color="000000" w:fill="FFFFFF"/>
                  <w:vAlign w:val="center"/>
                  <w:hideMark/>
                </w:tcPr>
                <w:p w14:paraId="64D48F5F"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498D13FE"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540</w:t>
                  </w:r>
                </w:p>
              </w:tc>
              <w:tc>
                <w:tcPr>
                  <w:tcW w:w="1720" w:type="dxa"/>
                  <w:tcBorders>
                    <w:top w:val="nil"/>
                    <w:left w:val="nil"/>
                    <w:bottom w:val="single" w:sz="8" w:space="0" w:color="auto"/>
                    <w:right w:val="single" w:sz="8" w:space="0" w:color="auto"/>
                  </w:tcBorders>
                  <w:shd w:val="clear" w:color="000000" w:fill="FFFFFF"/>
                  <w:vAlign w:val="center"/>
                  <w:hideMark/>
                </w:tcPr>
                <w:p w14:paraId="4444C101"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480</w:t>
                  </w:r>
                </w:p>
              </w:tc>
            </w:tr>
            <w:tr w:rsidR="007819B4" w14:paraId="59730D51"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36BF3727" w14:textId="77777777" w:rsidR="007819B4" w:rsidRPr="00466BD5" w:rsidRDefault="007819B4" w:rsidP="005B1BD5">
                  <w:pPr>
                    <w:framePr w:wrap="around" w:vAnchor="text" w:hAnchor="margin" w:y="1"/>
                    <w:spacing w:after="0" w:line="240" w:lineRule="auto"/>
                    <w:suppressOverlap/>
                    <w:jc w:val="both"/>
                    <w:rPr>
                      <w:rFonts w:ascii="Arial" w:eastAsia="Times New Roman" w:hAnsi="Arial" w:cs="Arial"/>
                      <w:color w:val="000000"/>
                      <w:lang w:val="ru-RU" w:eastAsia="ru-RU"/>
                    </w:rPr>
                  </w:pPr>
                  <w:r w:rsidRPr="00466BD5">
                    <w:rPr>
                      <w:rFonts w:ascii="Arial" w:eastAsia="Times New Roman" w:hAnsi="Arial" w:cs="Arial"/>
                      <w:color w:val="000000"/>
                      <w:lang w:eastAsia="ru-RU"/>
                    </w:rPr>
                    <w:t> </w:t>
                  </w:r>
                </w:p>
              </w:tc>
              <w:tc>
                <w:tcPr>
                  <w:tcW w:w="1720" w:type="dxa"/>
                  <w:tcBorders>
                    <w:top w:val="nil"/>
                    <w:left w:val="nil"/>
                    <w:bottom w:val="single" w:sz="8" w:space="0" w:color="auto"/>
                    <w:right w:val="single" w:sz="8" w:space="0" w:color="auto"/>
                  </w:tcBorders>
                  <w:shd w:val="clear" w:color="000000" w:fill="FFFFFF"/>
                  <w:vAlign w:val="center"/>
                  <w:hideMark/>
                </w:tcPr>
                <w:p w14:paraId="60B39D92"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55%</w:t>
                  </w:r>
                </w:p>
              </w:tc>
              <w:tc>
                <w:tcPr>
                  <w:tcW w:w="1720" w:type="dxa"/>
                  <w:tcBorders>
                    <w:top w:val="nil"/>
                    <w:left w:val="nil"/>
                    <w:bottom w:val="single" w:sz="8" w:space="0" w:color="auto"/>
                    <w:right w:val="single" w:sz="8" w:space="0" w:color="auto"/>
                  </w:tcBorders>
                  <w:shd w:val="clear" w:color="000000" w:fill="FFFFFF"/>
                  <w:vAlign w:val="center"/>
                  <w:hideMark/>
                </w:tcPr>
                <w:p w14:paraId="65B0D20A"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50%</w:t>
                  </w:r>
                </w:p>
              </w:tc>
              <w:tc>
                <w:tcPr>
                  <w:tcW w:w="1720" w:type="dxa"/>
                  <w:tcBorders>
                    <w:top w:val="nil"/>
                    <w:left w:val="nil"/>
                    <w:bottom w:val="single" w:sz="8" w:space="0" w:color="auto"/>
                    <w:right w:val="single" w:sz="8" w:space="0" w:color="auto"/>
                  </w:tcBorders>
                  <w:shd w:val="clear" w:color="000000" w:fill="FFFFFF"/>
                  <w:vAlign w:val="center"/>
                  <w:hideMark/>
                </w:tcPr>
                <w:p w14:paraId="4B76A7F8"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45%</w:t>
                  </w:r>
                </w:p>
              </w:tc>
              <w:tc>
                <w:tcPr>
                  <w:tcW w:w="1720" w:type="dxa"/>
                  <w:tcBorders>
                    <w:top w:val="nil"/>
                    <w:left w:val="nil"/>
                    <w:bottom w:val="single" w:sz="8" w:space="0" w:color="auto"/>
                    <w:right w:val="single" w:sz="8" w:space="0" w:color="auto"/>
                  </w:tcBorders>
                  <w:shd w:val="clear" w:color="000000" w:fill="FFFFFF"/>
                  <w:vAlign w:val="center"/>
                  <w:hideMark/>
                </w:tcPr>
                <w:p w14:paraId="2216A2DF"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40%</w:t>
                  </w:r>
                </w:p>
              </w:tc>
            </w:tr>
            <w:tr w:rsidR="007819B4" w14:paraId="2F6C8765"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DDEBF7"/>
                  <w:vAlign w:val="center"/>
                  <w:hideMark/>
                </w:tcPr>
                <w:p w14:paraId="2DD2C121" w14:textId="77777777" w:rsidR="007819B4" w:rsidRPr="00E769B9" w:rsidRDefault="007819B4" w:rsidP="005B1BD5">
                  <w:pPr>
                    <w:framePr w:wrap="around" w:vAnchor="text" w:hAnchor="margin" w:y="1"/>
                    <w:spacing w:after="0" w:line="240" w:lineRule="auto"/>
                    <w:suppressOverlap/>
                    <w:jc w:val="both"/>
                    <w:rPr>
                      <w:rFonts w:ascii="Arial" w:eastAsia="Times New Roman" w:hAnsi="Arial" w:cs="Arial"/>
                      <w:b/>
                      <w:bCs/>
                      <w:color w:val="000000"/>
                      <w:lang w:eastAsia="ru-RU"/>
                    </w:rPr>
                  </w:pPr>
                  <w:r w:rsidRPr="00466BD5">
                    <w:rPr>
                      <w:rFonts w:ascii="Arial" w:eastAsia="Times New Roman" w:hAnsi="Arial" w:cs="Arial"/>
                      <w:b/>
                      <w:bCs/>
                      <w:color w:val="000000"/>
                      <w:lang w:val="en" w:eastAsia="ru-RU"/>
                    </w:rPr>
                    <w:t>MDR/RR-TB sensitivity FH</w:t>
                  </w:r>
                </w:p>
              </w:tc>
              <w:tc>
                <w:tcPr>
                  <w:tcW w:w="1720" w:type="dxa"/>
                  <w:tcBorders>
                    <w:top w:val="nil"/>
                    <w:left w:val="nil"/>
                    <w:bottom w:val="single" w:sz="8" w:space="0" w:color="auto"/>
                    <w:right w:val="single" w:sz="8" w:space="0" w:color="auto"/>
                  </w:tcBorders>
                  <w:shd w:val="clear" w:color="000000" w:fill="DDEBF7"/>
                  <w:vAlign w:val="center"/>
                  <w:hideMark/>
                </w:tcPr>
                <w:p w14:paraId="0947EDA0"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1,030</w:t>
                  </w:r>
                </w:p>
              </w:tc>
              <w:tc>
                <w:tcPr>
                  <w:tcW w:w="1720" w:type="dxa"/>
                  <w:tcBorders>
                    <w:top w:val="nil"/>
                    <w:left w:val="nil"/>
                    <w:bottom w:val="single" w:sz="8" w:space="0" w:color="auto"/>
                    <w:right w:val="single" w:sz="8" w:space="0" w:color="auto"/>
                  </w:tcBorders>
                  <w:shd w:val="clear" w:color="000000" w:fill="DDEBF7"/>
                  <w:vAlign w:val="center"/>
                  <w:hideMark/>
                </w:tcPr>
                <w:p w14:paraId="2773D66A"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1,020</w:t>
                  </w:r>
                </w:p>
              </w:tc>
              <w:tc>
                <w:tcPr>
                  <w:tcW w:w="1720" w:type="dxa"/>
                  <w:tcBorders>
                    <w:top w:val="nil"/>
                    <w:left w:val="nil"/>
                    <w:bottom w:val="single" w:sz="8" w:space="0" w:color="auto"/>
                    <w:right w:val="single" w:sz="8" w:space="0" w:color="auto"/>
                  </w:tcBorders>
                  <w:shd w:val="clear" w:color="000000" w:fill="DDEBF7"/>
                  <w:vAlign w:val="center"/>
                  <w:hideMark/>
                </w:tcPr>
                <w:p w14:paraId="21F55855"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1,020</w:t>
                  </w:r>
                </w:p>
              </w:tc>
              <w:tc>
                <w:tcPr>
                  <w:tcW w:w="1720" w:type="dxa"/>
                  <w:tcBorders>
                    <w:top w:val="nil"/>
                    <w:left w:val="nil"/>
                    <w:bottom w:val="single" w:sz="8" w:space="0" w:color="auto"/>
                    <w:right w:val="single" w:sz="8" w:space="0" w:color="auto"/>
                  </w:tcBorders>
                  <w:shd w:val="clear" w:color="000000" w:fill="DDEBF7"/>
                  <w:vAlign w:val="center"/>
                  <w:hideMark/>
                </w:tcPr>
                <w:p w14:paraId="5C4A74B7"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b/>
                      <w:bCs/>
                      <w:color w:val="000000"/>
                      <w:lang w:val="ru-RU" w:eastAsia="ru-RU"/>
                    </w:rPr>
                  </w:pPr>
                  <w:r w:rsidRPr="00466BD5">
                    <w:rPr>
                      <w:rFonts w:ascii="Arial" w:eastAsia="Times New Roman" w:hAnsi="Arial" w:cs="Arial"/>
                      <w:b/>
                      <w:bCs/>
                      <w:color w:val="000000"/>
                      <w:lang w:val="en" w:eastAsia="ru-RU"/>
                    </w:rPr>
                    <w:t>1,020</w:t>
                  </w:r>
                </w:p>
              </w:tc>
            </w:tr>
            <w:tr w:rsidR="007819B4" w14:paraId="07259664"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7192EB48" w14:textId="77777777" w:rsidR="007819B4" w:rsidRPr="00466BD5" w:rsidRDefault="007819B4" w:rsidP="005B1BD5">
                  <w:pPr>
                    <w:framePr w:wrap="around" w:vAnchor="text" w:hAnchor="margin" w:y="1"/>
                    <w:spacing w:after="0" w:line="240" w:lineRule="auto"/>
                    <w:suppressOverlap/>
                    <w:jc w:val="both"/>
                    <w:rPr>
                      <w:rFonts w:ascii="Arial" w:eastAsia="Times New Roman" w:hAnsi="Arial" w:cs="Arial"/>
                      <w:color w:val="000000"/>
                      <w:lang w:val="ru-RU" w:eastAsia="ru-RU"/>
                    </w:rPr>
                  </w:pPr>
                  <w:r w:rsidRPr="00466BD5">
                    <w:rPr>
                      <w:rFonts w:ascii="Arial" w:eastAsia="Times New Roman" w:hAnsi="Arial" w:cs="Arial"/>
                      <w:color w:val="000000"/>
                      <w:lang w:val="en" w:eastAsia="ru-RU"/>
                    </w:rPr>
                    <w:t xml:space="preserve">- </w:t>
                  </w:r>
                  <w:proofErr w:type="spellStart"/>
                  <w:r w:rsidRPr="00466BD5">
                    <w:rPr>
                      <w:rFonts w:ascii="Arial" w:eastAsia="Times New Roman" w:hAnsi="Arial" w:cs="Arial"/>
                      <w:color w:val="000000"/>
                      <w:lang w:val="en" w:eastAsia="ru-RU"/>
                    </w:rPr>
                    <w:t>BPaLM</w:t>
                  </w:r>
                  <w:proofErr w:type="spellEnd"/>
                </w:p>
              </w:tc>
              <w:tc>
                <w:tcPr>
                  <w:tcW w:w="1720" w:type="dxa"/>
                  <w:tcBorders>
                    <w:top w:val="nil"/>
                    <w:left w:val="nil"/>
                    <w:bottom w:val="single" w:sz="8" w:space="0" w:color="auto"/>
                    <w:right w:val="single" w:sz="8" w:space="0" w:color="auto"/>
                  </w:tcBorders>
                  <w:shd w:val="clear" w:color="000000" w:fill="FFFFFF"/>
                  <w:vAlign w:val="center"/>
                  <w:hideMark/>
                </w:tcPr>
                <w:p w14:paraId="2C590ED6"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270</w:t>
                  </w:r>
                </w:p>
              </w:tc>
              <w:tc>
                <w:tcPr>
                  <w:tcW w:w="1720" w:type="dxa"/>
                  <w:tcBorders>
                    <w:top w:val="nil"/>
                    <w:left w:val="nil"/>
                    <w:bottom w:val="single" w:sz="8" w:space="0" w:color="auto"/>
                    <w:right w:val="single" w:sz="8" w:space="0" w:color="auto"/>
                  </w:tcBorders>
                  <w:shd w:val="clear" w:color="000000" w:fill="FFFFFF"/>
                  <w:vAlign w:val="center"/>
                  <w:hideMark/>
                </w:tcPr>
                <w:p w14:paraId="6F9AEDF3"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330</w:t>
                  </w:r>
                </w:p>
              </w:tc>
              <w:tc>
                <w:tcPr>
                  <w:tcW w:w="1720" w:type="dxa"/>
                  <w:tcBorders>
                    <w:top w:val="nil"/>
                    <w:left w:val="nil"/>
                    <w:bottom w:val="single" w:sz="8" w:space="0" w:color="auto"/>
                    <w:right w:val="single" w:sz="8" w:space="0" w:color="auto"/>
                  </w:tcBorders>
                  <w:shd w:val="clear" w:color="000000" w:fill="FFFFFF"/>
                  <w:vAlign w:val="center"/>
                  <w:hideMark/>
                </w:tcPr>
                <w:p w14:paraId="25A764B0"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390</w:t>
                  </w:r>
                </w:p>
              </w:tc>
              <w:tc>
                <w:tcPr>
                  <w:tcW w:w="1720" w:type="dxa"/>
                  <w:tcBorders>
                    <w:top w:val="nil"/>
                    <w:left w:val="nil"/>
                    <w:bottom w:val="single" w:sz="8" w:space="0" w:color="auto"/>
                    <w:right w:val="single" w:sz="8" w:space="0" w:color="auto"/>
                  </w:tcBorders>
                  <w:shd w:val="clear" w:color="000000" w:fill="FFFFFF"/>
                  <w:vAlign w:val="center"/>
                  <w:hideMark/>
                </w:tcPr>
                <w:p w14:paraId="21CE6C83" w14:textId="77777777" w:rsidR="007819B4" w:rsidRPr="00466BD5" w:rsidRDefault="007819B4" w:rsidP="005B1BD5">
                  <w:pPr>
                    <w:framePr w:wrap="around" w:vAnchor="text" w:hAnchor="margin" w:y="1"/>
                    <w:spacing w:after="0" w:line="240" w:lineRule="auto"/>
                    <w:suppressOverlap/>
                    <w:jc w:val="center"/>
                    <w:rPr>
                      <w:rFonts w:ascii="Arial" w:eastAsia="Times New Roman" w:hAnsi="Arial" w:cs="Arial"/>
                      <w:color w:val="000000"/>
                      <w:lang w:val="ru-RU" w:eastAsia="ru-RU"/>
                    </w:rPr>
                  </w:pPr>
                  <w:r w:rsidRPr="00466BD5">
                    <w:rPr>
                      <w:rFonts w:ascii="Arial" w:eastAsia="Times New Roman" w:hAnsi="Arial" w:cs="Arial"/>
                      <w:color w:val="000000"/>
                      <w:lang w:val="en" w:eastAsia="ru-RU"/>
                    </w:rPr>
                    <w:t>420</w:t>
                  </w:r>
                </w:p>
              </w:tc>
            </w:tr>
            <w:tr w:rsidR="007819B4" w14:paraId="1AA24858"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4A35E75" w14:textId="1CA50280" w:rsidR="007819B4" w:rsidRPr="00E769B9" w:rsidRDefault="007819B4" w:rsidP="005B1BD5">
                  <w:pPr>
                    <w:framePr w:wrap="around" w:vAnchor="text" w:hAnchor="margin" w:y="1"/>
                    <w:spacing w:after="0" w:line="240" w:lineRule="auto"/>
                    <w:suppressOverlap/>
                    <w:jc w:val="both"/>
                    <w:rPr>
                      <w:rFonts w:ascii="Arial" w:eastAsia="Times New Roman" w:hAnsi="Arial" w:cs="Arial"/>
                      <w:color w:val="000000"/>
                      <w:lang w:eastAsia="ru-RU"/>
                    </w:rPr>
                  </w:pPr>
                  <w:r>
                    <w:rPr>
                      <w:rFonts w:ascii="Arial" w:eastAsia="Times New Roman" w:hAnsi="Arial" w:cs="Arial"/>
                      <w:color w:val="000000"/>
                      <w:lang w:val="en" w:eastAsia="ru-RU"/>
                    </w:rPr>
                    <w:t>-</w:t>
                  </w:r>
                  <w:r w:rsidRPr="00466BD5">
                    <w:rPr>
                      <w:rFonts w:ascii="Arial" w:eastAsia="Times New Roman" w:hAnsi="Arial" w:cs="Arial"/>
                      <w:color w:val="000000"/>
                      <w:lang w:val="en" w:eastAsia="ru-RU"/>
                    </w:rPr>
                    <w:t>Short-term</w:t>
                  </w:r>
                  <w:r>
                    <w:rPr>
                      <w:rFonts w:ascii="Arial" w:eastAsia="Times New Roman" w:hAnsi="Arial" w:cs="Arial"/>
                      <w:color w:val="000000"/>
                      <w:lang w:val="en" w:eastAsia="ru-RU"/>
                    </w:rPr>
                    <w:t> </w:t>
                  </w:r>
                  <w:r w:rsidRPr="00466BD5">
                    <w:rPr>
                      <w:rFonts w:ascii="Arial" w:eastAsia="Times New Roman" w:hAnsi="Arial" w:cs="Arial"/>
                      <w:color w:val="000000"/>
                      <w:lang w:val="en" w:eastAsia="ru-RU"/>
                    </w:rPr>
                    <w:t>treatment</w:t>
                  </w:r>
                  <w:r>
                    <w:rPr>
                      <w:rFonts w:ascii="Arial" w:eastAsia="Times New Roman" w:hAnsi="Arial" w:cs="Arial"/>
                      <w:color w:val="000000"/>
                      <w:lang w:val="en" w:eastAsia="ru-RU"/>
                    </w:rPr>
                    <w:t xml:space="preserve"> </w:t>
                  </w:r>
                  <w:r w:rsidRPr="00466BD5">
                    <w:rPr>
                      <w:rFonts w:ascii="Arial" w:eastAsia="Times New Roman" w:hAnsi="Arial" w:cs="Arial"/>
                      <w:color w:val="000000"/>
                      <w:lang w:val="en" w:eastAsia="ru-RU"/>
                    </w:rPr>
                    <w:t>regimen (STR) (9 months)</w:t>
                  </w:r>
                </w:p>
              </w:tc>
              <w:tc>
                <w:tcPr>
                  <w:tcW w:w="1720" w:type="dxa"/>
                  <w:tcBorders>
                    <w:top w:val="nil"/>
                    <w:left w:val="nil"/>
                    <w:bottom w:val="single" w:sz="8" w:space="0" w:color="auto"/>
                    <w:right w:val="single" w:sz="8" w:space="0" w:color="auto"/>
                  </w:tcBorders>
                  <w:shd w:val="clear" w:color="000000" w:fill="FFFFFF"/>
                  <w:vAlign w:val="center"/>
                  <w:hideMark/>
                </w:tcPr>
                <w:p w14:paraId="1A6B9755"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2C994FC7"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10964C1A"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70F24DDF"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r>
            <w:tr w:rsidR="007819B4" w14:paraId="09ED8B12"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EBE13D6" w14:textId="77777777" w:rsidR="007819B4" w:rsidRPr="00E769B9" w:rsidRDefault="007819B4" w:rsidP="005B1BD5">
                  <w:pPr>
                    <w:framePr w:wrap="around" w:vAnchor="text" w:hAnchor="margin" w:y="1"/>
                    <w:spacing w:after="0" w:line="240" w:lineRule="auto"/>
                    <w:suppressOverlap/>
                    <w:jc w:val="both"/>
                    <w:rPr>
                      <w:rFonts w:ascii="Arial" w:eastAsia="Times New Roman" w:hAnsi="Arial" w:cs="Arial"/>
                      <w:color w:val="000000"/>
                      <w:lang w:eastAsia="ru-RU"/>
                    </w:rPr>
                  </w:pPr>
                  <w:r w:rsidRPr="00466BD5">
                    <w:rPr>
                      <w:rFonts w:ascii="Arial" w:eastAsia="Times New Roman" w:hAnsi="Arial" w:cs="Arial"/>
                      <w:color w:val="000000"/>
                      <w:lang w:val="en" w:eastAsia="ru-RU"/>
                    </w:rPr>
                    <w:t>- children under 25 kg</w:t>
                  </w:r>
                </w:p>
              </w:tc>
              <w:tc>
                <w:tcPr>
                  <w:tcW w:w="1720" w:type="dxa"/>
                  <w:tcBorders>
                    <w:top w:val="nil"/>
                    <w:left w:val="nil"/>
                    <w:bottom w:val="single" w:sz="8" w:space="0" w:color="auto"/>
                    <w:right w:val="single" w:sz="8" w:space="0" w:color="auto"/>
                  </w:tcBorders>
                  <w:shd w:val="clear" w:color="000000" w:fill="FFFFFF"/>
                  <w:vAlign w:val="center"/>
                  <w:hideMark/>
                </w:tcPr>
                <w:p w14:paraId="3D0BD79A"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0A5B0724"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612D9B89"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2DB4BE19"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w:t>
                  </w:r>
                </w:p>
              </w:tc>
            </w:tr>
            <w:tr w:rsidR="007819B4" w14:paraId="6D48646F"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78FCD7AD" w14:textId="50FDDA0F" w:rsidR="007819B4" w:rsidRPr="00E769B9" w:rsidRDefault="007819B4" w:rsidP="005B1BD5">
                  <w:pPr>
                    <w:framePr w:wrap="around" w:vAnchor="text" w:hAnchor="margin" w:y="1"/>
                    <w:spacing w:after="0" w:line="240" w:lineRule="auto"/>
                    <w:suppressOverlap/>
                    <w:jc w:val="both"/>
                    <w:rPr>
                      <w:rFonts w:ascii="Arial" w:eastAsia="Times New Roman" w:hAnsi="Arial" w:cs="Arial"/>
                      <w:color w:val="000000"/>
                      <w:lang w:eastAsia="ru-RU"/>
                    </w:rPr>
                  </w:pPr>
                  <w:r w:rsidRPr="00466BD5">
                    <w:rPr>
                      <w:rFonts w:ascii="Arial" w:eastAsia="Times New Roman" w:hAnsi="Arial" w:cs="Arial"/>
                      <w:color w:val="000000"/>
                      <w:lang w:val="en" w:eastAsia="ru-RU"/>
                    </w:rPr>
                    <w:lastRenderedPageBreak/>
                    <w:t xml:space="preserve">- </w:t>
                  </w:r>
                  <w:proofErr w:type="spellStart"/>
                  <w:r w:rsidRPr="00466BD5">
                    <w:rPr>
                      <w:rFonts w:ascii="Arial" w:eastAsia="Times New Roman" w:hAnsi="Arial" w:cs="Arial"/>
                      <w:color w:val="000000"/>
                      <w:lang w:val="en" w:eastAsia="ru-RU"/>
                    </w:rPr>
                    <w:t>mSTR</w:t>
                  </w:r>
                  <w:proofErr w:type="spellEnd"/>
                  <w:r w:rsidRPr="00466BD5">
                    <w:rPr>
                      <w:rFonts w:ascii="Arial" w:eastAsia="Times New Roman" w:hAnsi="Arial" w:cs="Arial"/>
                      <w:color w:val="000000"/>
                      <w:lang w:val="en" w:eastAsia="ru-RU"/>
                    </w:rPr>
                    <w:t>*</w:t>
                  </w:r>
                </w:p>
              </w:tc>
              <w:tc>
                <w:tcPr>
                  <w:tcW w:w="1720" w:type="dxa"/>
                  <w:tcBorders>
                    <w:top w:val="nil"/>
                    <w:left w:val="nil"/>
                    <w:bottom w:val="single" w:sz="8" w:space="0" w:color="auto"/>
                    <w:right w:val="single" w:sz="8" w:space="0" w:color="auto"/>
                  </w:tcBorders>
                  <w:shd w:val="clear" w:color="000000" w:fill="FFFFFF"/>
                  <w:vAlign w:val="center"/>
                  <w:hideMark/>
                </w:tcPr>
                <w:p w14:paraId="16EAF326"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4E7EB07A"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6D451095"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0D9A2349"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170</w:t>
                  </w:r>
                </w:p>
              </w:tc>
            </w:tr>
            <w:tr w:rsidR="007819B4" w14:paraId="3084AE9C"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0D41EA04" w14:textId="3382D45F" w:rsidR="007819B4" w:rsidRPr="00E769B9" w:rsidRDefault="007819B4" w:rsidP="005B1BD5">
                  <w:pPr>
                    <w:framePr w:wrap="around" w:vAnchor="text" w:hAnchor="margin" w:y="1"/>
                    <w:spacing w:after="0" w:line="240" w:lineRule="auto"/>
                    <w:suppressOverlap/>
                    <w:jc w:val="both"/>
                    <w:rPr>
                      <w:rFonts w:ascii="Arial" w:eastAsia="Times New Roman" w:hAnsi="Arial" w:cs="Arial"/>
                      <w:color w:val="000000"/>
                      <w:lang w:eastAsia="ru-RU"/>
                    </w:rPr>
                  </w:pPr>
                  <w:r w:rsidRPr="00466BD5">
                    <w:rPr>
                      <w:rFonts w:ascii="Arial" w:eastAsia="Times New Roman" w:hAnsi="Arial" w:cs="Arial"/>
                      <w:color w:val="000000"/>
                      <w:lang w:val="en" w:eastAsia="ru-RU"/>
                    </w:rPr>
                    <w:t xml:space="preserve">- </w:t>
                  </w:r>
                  <w:proofErr w:type="spellStart"/>
                  <w:r w:rsidRPr="00466BD5">
                    <w:rPr>
                      <w:rFonts w:ascii="Arial" w:eastAsia="Times New Roman" w:hAnsi="Arial" w:cs="Arial"/>
                      <w:color w:val="000000"/>
                      <w:lang w:val="en" w:eastAsia="ru-RU"/>
                    </w:rPr>
                    <w:t>m</w:t>
                  </w:r>
                  <w:r>
                    <w:rPr>
                      <w:rFonts w:ascii="Arial" w:eastAsia="Times New Roman" w:hAnsi="Arial" w:cs="Arial"/>
                      <w:color w:val="000000"/>
                      <w:lang w:val="en" w:eastAsia="ru-RU"/>
                    </w:rPr>
                    <w:t>STR</w:t>
                  </w:r>
                  <w:proofErr w:type="spellEnd"/>
                  <w:r w:rsidRPr="00466BD5">
                    <w:rPr>
                      <w:rFonts w:ascii="Arial" w:eastAsia="Times New Roman" w:hAnsi="Arial" w:cs="Arial"/>
                      <w:color w:val="000000"/>
                      <w:lang w:val="en" w:eastAsia="ru-RU"/>
                    </w:rPr>
                    <w:t>* up to 25 kg</w:t>
                  </w:r>
                </w:p>
              </w:tc>
              <w:tc>
                <w:tcPr>
                  <w:tcW w:w="1720" w:type="dxa"/>
                  <w:tcBorders>
                    <w:top w:val="nil"/>
                    <w:left w:val="nil"/>
                    <w:bottom w:val="single" w:sz="8" w:space="0" w:color="auto"/>
                    <w:right w:val="single" w:sz="8" w:space="0" w:color="auto"/>
                  </w:tcBorders>
                  <w:shd w:val="clear" w:color="000000" w:fill="FFFFFF"/>
                  <w:vAlign w:val="center"/>
                  <w:hideMark/>
                </w:tcPr>
                <w:p w14:paraId="34BB6050"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136AB422"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7F8D325F"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66D2654A"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10</w:t>
                  </w:r>
                </w:p>
              </w:tc>
            </w:tr>
            <w:tr w:rsidR="007819B4" w14:paraId="52878E28"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6D2B71A2" w14:textId="77777777" w:rsidR="007819B4" w:rsidRPr="00E769B9" w:rsidRDefault="007819B4" w:rsidP="005B1BD5">
                  <w:pPr>
                    <w:framePr w:wrap="around" w:vAnchor="text" w:hAnchor="margin" w:y="1"/>
                    <w:spacing w:after="0" w:line="240" w:lineRule="auto"/>
                    <w:suppressOverlap/>
                    <w:jc w:val="both"/>
                    <w:rPr>
                      <w:rFonts w:ascii="Arial" w:eastAsia="Times New Roman" w:hAnsi="Arial" w:cs="Arial"/>
                      <w:color w:val="000000"/>
                      <w:lang w:eastAsia="ru-RU"/>
                    </w:rPr>
                  </w:pPr>
                  <w:r w:rsidRPr="00466BD5">
                    <w:rPr>
                      <w:rFonts w:ascii="Arial" w:eastAsia="Times New Roman" w:hAnsi="Arial" w:cs="Arial"/>
                      <w:color w:val="000000"/>
                      <w:lang w:val="en" w:eastAsia="ru-RU"/>
                    </w:rPr>
                    <w:t>- individual regimens</w:t>
                  </w:r>
                </w:p>
              </w:tc>
              <w:tc>
                <w:tcPr>
                  <w:tcW w:w="1720" w:type="dxa"/>
                  <w:tcBorders>
                    <w:top w:val="nil"/>
                    <w:left w:val="nil"/>
                    <w:bottom w:val="single" w:sz="8" w:space="0" w:color="auto"/>
                    <w:right w:val="single" w:sz="8" w:space="0" w:color="auto"/>
                  </w:tcBorders>
                  <w:shd w:val="clear" w:color="000000" w:fill="FFFFFF"/>
                  <w:vAlign w:val="center"/>
                  <w:hideMark/>
                </w:tcPr>
                <w:p w14:paraId="36B34153"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15DDCF2B"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530</w:t>
                  </w:r>
                </w:p>
              </w:tc>
              <w:tc>
                <w:tcPr>
                  <w:tcW w:w="1720" w:type="dxa"/>
                  <w:tcBorders>
                    <w:top w:val="nil"/>
                    <w:left w:val="nil"/>
                    <w:bottom w:val="single" w:sz="8" w:space="0" w:color="auto"/>
                    <w:right w:val="single" w:sz="8" w:space="0" w:color="auto"/>
                  </w:tcBorders>
                  <w:shd w:val="clear" w:color="000000" w:fill="FFFFFF"/>
                  <w:vAlign w:val="center"/>
                  <w:hideMark/>
                </w:tcPr>
                <w:p w14:paraId="79615911"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470</w:t>
                  </w:r>
                </w:p>
              </w:tc>
              <w:tc>
                <w:tcPr>
                  <w:tcW w:w="1720" w:type="dxa"/>
                  <w:tcBorders>
                    <w:top w:val="nil"/>
                    <w:left w:val="nil"/>
                    <w:bottom w:val="single" w:sz="8" w:space="0" w:color="auto"/>
                    <w:right w:val="single" w:sz="8" w:space="0" w:color="auto"/>
                  </w:tcBorders>
                  <w:shd w:val="clear" w:color="000000" w:fill="FFFFFF"/>
                  <w:vAlign w:val="center"/>
                  <w:hideMark/>
                </w:tcPr>
                <w:p w14:paraId="26A2E713"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410</w:t>
                  </w:r>
                </w:p>
              </w:tc>
            </w:tr>
            <w:tr w:rsidR="007819B4" w14:paraId="4615AFAC"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DDEBF7"/>
                  <w:vAlign w:val="center"/>
                  <w:hideMark/>
                </w:tcPr>
                <w:p w14:paraId="35656E99" w14:textId="77777777" w:rsidR="007819B4" w:rsidRPr="00E769B9" w:rsidRDefault="007819B4" w:rsidP="005B1BD5">
                  <w:pPr>
                    <w:framePr w:wrap="around" w:vAnchor="text" w:hAnchor="margin" w:y="1"/>
                    <w:spacing w:after="0" w:line="240" w:lineRule="auto"/>
                    <w:suppressOverlap/>
                    <w:jc w:val="both"/>
                    <w:rPr>
                      <w:rFonts w:ascii="Arial" w:eastAsia="Times New Roman" w:hAnsi="Arial" w:cs="Arial"/>
                      <w:b/>
                      <w:bCs/>
                      <w:color w:val="000000"/>
                      <w:lang w:eastAsia="ru-RU"/>
                    </w:rPr>
                  </w:pPr>
                  <w:r w:rsidRPr="00466BD5">
                    <w:rPr>
                      <w:rFonts w:ascii="Arial" w:eastAsia="Times New Roman" w:hAnsi="Arial" w:cs="Arial"/>
                      <w:b/>
                      <w:bCs/>
                      <w:color w:val="000000"/>
                      <w:lang w:val="en" w:eastAsia="ru-RU"/>
                    </w:rPr>
                    <w:t>Pre-XDR/XDR-TB</w:t>
                  </w:r>
                </w:p>
              </w:tc>
              <w:tc>
                <w:tcPr>
                  <w:tcW w:w="1720" w:type="dxa"/>
                  <w:tcBorders>
                    <w:top w:val="nil"/>
                    <w:left w:val="nil"/>
                    <w:bottom w:val="single" w:sz="8" w:space="0" w:color="auto"/>
                    <w:right w:val="single" w:sz="8" w:space="0" w:color="auto"/>
                  </w:tcBorders>
                  <w:shd w:val="clear" w:color="000000" w:fill="DDEBF7"/>
                  <w:vAlign w:val="center"/>
                  <w:hideMark/>
                </w:tcPr>
                <w:p w14:paraId="0F50A3CD"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b/>
                      <w:bCs/>
                      <w:color w:val="000000"/>
                      <w:lang w:eastAsia="ru-RU"/>
                    </w:rPr>
                  </w:pPr>
                  <w:r w:rsidRPr="00466BD5">
                    <w:rPr>
                      <w:rFonts w:ascii="Arial" w:eastAsia="Times New Roman" w:hAnsi="Arial" w:cs="Arial"/>
                      <w:b/>
                      <w:bCs/>
                      <w:color w:val="000000"/>
                      <w:lang w:val="en" w:eastAsia="ru-RU"/>
                    </w:rPr>
                    <w:t>170</w:t>
                  </w:r>
                </w:p>
              </w:tc>
              <w:tc>
                <w:tcPr>
                  <w:tcW w:w="1720" w:type="dxa"/>
                  <w:tcBorders>
                    <w:top w:val="nil"/>
                    <w:left w:val="nil"/>
                    <w:bottom w:val="single" w:sz="8" w:space="0" w:color="auto"/>
                    <w:right w:val="single" w:sz="8" w:space="0" w:color="auto"/>
                  </w:tcBorders>
                  <w:shd w:val="clear" w:color="000000" w:fill="DDEBF7"/>
                  <w:vAlign w:val="center"/>
                  <w:hideMark/>
                </w:tcPr>
                <w:p w14:paraId="23A89623"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b/>
                      <w:bCs/>
                      <w:color w:val="000000"/>
                      <w:lang w:eastAsia="ru-RU"/>
                    </w:rPr>
                  </w:pPr>
                  <w:r w:rsidRPr="00466BD5">
                    <w:rPr>
                      <w:rFonts w:ascii="Arial" w:eastAsia="Times New Roman" w:hAnsi="Arial" w:cs="Arial"/>
                      <w:b/>
                      <w:bCs/>
                      <w:color w:val="000000"/>
                      <w:lang w:val="en" w:eastAsia="ru-RU"/>
                    </w:rPr>
                    <w:t>180</w:t>
                  </w:r>
                </w:p>
              </w:tc>
              <w:tc>
                <w:tcPr>
                  <w:tcW w:w="1720" w:type="dxa"/>
                  <w:tcBorders>
                    <w:top w:val="nil"/>
                    <w:left w:val="nil"/>
                    <w:bottom w:val="single" w:sz="8" w:space="0" w:color="auto"/>
                    <w:right w:val="single" w:sz="8" w:space="0" w:color="auto"/>
                  </w:tcBorders>
                  <w:shd w:val="clear" w:color="000000" w:fill="DDEBF7"/>
                  <w:vAlign w:val="center"/>
                  <w:hideMark/>
                </w:tcPr>
                <w:p w14:paraId="15948C11"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b/>
                      <w:bCs/>
                      <w:color w:val="000000"/>
                      <w:lang w:eastAsia="ru-RU"/>
                    </w:rPr>
                  </w:pPr>
                  <w:r w:rsidRPr="00466BD5">
                    <w:rPr>
                      <w:rFonts w:ascii="Arial" w:eastAsia="Times New Roman" w:hAnsi="Arial" w:cs="Arial"/>
                      <w:b/>
                      <w:bCs/>
                      <w:color w:val="000000"/>
                      <w:lang w:val="en" w:eastAsia="ru-RU"/>
                    </w:rPr>
                    <w:t>180</w:t>
                  </w:r>
                </w:p>
              </w:tc>
              <w:tc>
                <w:tcPr>
                  <w:tcW w:w="1720" w:type="dxa"/>
                  <w:tcBorders>
                    <w:top w:val="nil"/>
                    <w:left w:val="nil"/>
                    <w:bottom w:val="single" w:sz="8" w:space="0" w:color="auto"/>
                    <w:right w:val="single" w:sz="8" w:space="0" w:color="auto"/>
                  </w:tcBorders>
                  <w:shd w:val="clear" w:color="000000" w:fill="DDEBF7"/>
                  <w:vAlign w:val="center"/>
                  <w:hideMark/>
                </w:tcPr>
                <w:p w14:paraId="7ECE295C"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b/>
                      <w:bCs/>
                      <w:color w:val="000000"/>
                      <w:lang w:eastAsia="ru-RU"/>
                    </w:rPr>
                  </w:pPr>
                  <w:r w:rsidRPr="00466BD5">
                    <w:rPr>
                      <w:rFonts w:ascii="Arial" w:eastAsia="Times New Roman" w:hAnsi="Arial" w:cs="Arial"/>
                      <w:b/>
                      <w:bCs/>
                      <w:color w:val="000000"/>
                      <w:lang w:val="en" w:eastAsia="ru-RU"/>
                    </w:rPr>
                    <w:t>180</w:t>
                  </w:r>
                </w:p>
              </w:tc>
            </w:tr>
            <w:tr w:rsidR="007819B4" w14:paraId="5E7BDAF0" w14:textId="77777777" w:rsidTr="00294243">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49014010" w14:textId="77777777" w:rsidR="007819B4" w:rsidRPr="00E769B9" w:rsidRDefault="007819B4" w:rsidP="005B1BD5">
                  <w:pPr>
                    <w:framePr w:wrap="around" w:vAnchor="text" w:hAnchor="margin" w:y="1"/>
                    <w:spacing w:after="0" w:line="240" w:lineRule="auto"/>
                    <w:suppressOverlap/>
                    <w:jc w:val="both"/>
                    <w:rPr>
                      <w:rFonts w:ascii="Arial" w:eastAsia="Times New Roman" w:hAnsi="Arial" w:cs="Arial"/>
                      <w:color w:val="000000"/>
                      <w:lang w:eastAsia="ru-RU"/>
                    </w:rPr>
                  </w:pPr>
                  <w:r w:rsidRPr="00466BD5">
                    <w:rPr>
                      <w:rFonts w:ascii="Arial" w:eastAsia="Times New Roman" w:hAnsi="Arial" w:cs="Arial"/>
                      <w:color w:val="000000"/>
                      <w:lang w:val="en" w:eastAsia="ru-RU"/>
                    </w:rPr>
                    <w:t xml:space="preserve">- of them </w:t>
                  </w:r>
                  <w:proofErr w:type="spellStart"/>
                  <w:r w:rsidRPr="00466BD5">
                    <w:rPr>
                      <w:rFonts w:ascii="Arial" w:eastAsia="Times New Roman" w:hAnsi="Arial" w:cs="Arial"/>
                      <w:color w:val="000000"/>
                      <w:lang w:val="en" w:eastAsia="ru-RU"/>
                    </w:rPr>
                    <w:t>BPaL</w:t>
                  </w:r>
                  <w:proofErr w:type="spellEnd"/>
                </w:p>
              </w:tc>
              <w:tc>
                <w:tcPr>
                  <w:tcW w:w="1720" w:type="dxa"/>
                  <w:tcBorders>
                    <w:top w:val="nil"/>
                    <w:left w:val="nil"/>
                    <w:bottom w:val="single" w:sz="8" w:space="0" w:color="auto"/>
                    <w:right w:val="single" w:sz="8" w:space="0" w:color="auto"/>
                  </w:tcBorders>
                  <w:shd w:val="clear" w:color="000000" w:fill="FFFFFF"/>
                  <w:vAlign w:val="center"/>
                  <w:hideMark/>
                </w:tcPr>
                <w:p w14:paraId="500372D7"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2F597175"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156256B2"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78A49F30" w14:textId="77777777" w:rsidR="007819B4" w:rsidRPr="00E769B9" w:rsidRDefault="007819B4" w:rsidP="005B1BD5">
                  <w:pPr>
                    <w:framePr w:wrap="around" w:vAnchor="text" w:hAnchor="margin" w:y="1"/>
                    <w:spacing w:after="0" w:line="240" w:lineRule="auto"/>
                    <w:suppressOverlap/>
                    <w:jc w:val="center"/>
                    <w:rPr>
                      <w:rFonts w:ascii="Arial" w:eastAsia="Times New Roman" w:hAnsi="Arial" w:cs="Arial"/>
                      <w:color w:val="000000"/>
                      <w:lang w:eastAsia="ru-RU"/>
                    </w:rPr>
                  </w:pPr>
                  <w:r w:rsidRPr="00466BD5">
                    <w:rPr>
                      <w:rFonts w:ascii="Arial" w:eastAsia="Times New Roman" w:hAnsi="Arial" w:cs="Arial"/>
                      <w:color w:val="000000"/>
                      <w:lang w:val="en" w:eastAsia="ru-RU"/>
                    </w:rPr>
                    <w:t>110</w:t>
                  </w:r>
                </w:p>
              </w:tc>
            </w:tr>
          </w:tbl>
          <w:p w14:paraId="508B159C" w14:textId="43D943BD" w:rsidR="007819B4" w:rsidRPr="00E769B9" w:rsidRDefault="007819B4" w:rsidP="007819B4">
            <w:pPr>
              <w:pStyle w:val="ListParagraph"/>
              <w:jc w:val="both"/>
              <w:rPr>
                <w:sz w:val="24"/>
                <w:szCs w:val="24"/>
              </w:rPr>
            </w:pPr>
            <w:r>
              <w:rPr>
                <w:sz w:val="24"/>
                <w:szCs w:val="24"/>
                <w:lang w:val="en"/>
              </w:rPr>
              <w:t xml:space="preserve">* </w:t>
            </w:r>
            <w:proofErr w:type="spellStart"/>
            <w:r>
              <w:rPr>
                <w:sz w:val="24"/>
                <w:szCs w:val="24"/>
                <w:lang w:val="en"/>
              </w:rPr>
              <w:t>mSTR</w:t>
            </w:r>
            <w:proofErr w:type="spellEnd"/>
            <w:r>
              <w:rPr>
                <w:sz w:val="24"/>
                <w:szCs w:val="24"/>
                <w:lang w:val="en"/>
              </w:rPr>
              <w:t xml:space="preserve"> are used </w:t>
            </w:r>
            <w:r w:rsidR="00CA092A">
              <w:rPr>
                <w:sz w:val="24"/>
                <w:szCs w:val="24"/>
                <w:lang w:val="en"/>
              </w:rPr>
              <w:t>under</w:t>
            </w:r>
            <w:r>
              <w:rPr>
                <w:sz w:val="24"/>
                <w:szCs w:val="24"/>
                <w:lang w:val="en"/>
              </w:rPr>
              <w:t xml:space="preserve"> the conditions of operational research</w:t>
            </w:r>
          </w:p>
          <w:p w14:paraId="02C8D525" w14:textId="1C4057D5" w:rsidR="007819B4" w:rsidRPr="00E769B9" w:rsidRDefault="007819B4" w:rsidP="007819B4">
            <w:pPr>
              <w:pStyle w:val="BodyText"/>
              <w:jc w:val="both"/>
              <w:rPr>
                <w:sz w:val="22"/>
                <w:szCs w:val="20"/>
                <w:lang w:val="en-US"/>
              </w:rPr>
            </w:pPr>
            <w:r>
              <w:rPr>
                <w:sz w:val="22"/>
                <w:szCs w:val="20"/>
                <w:lang w:val="en"/>
              </w:rPr>
              <w:t xml:space="preserve">Effectiveness of MDR-TB treatment in the Kyrgyz Republic is 71.7% (goal: 80% by 2025). Main problems </w:t>
            </w:r>
            <w:r w:rsidR="00CA092A">
              <w:rPr>
                <w:sz w:val="22"/>
                <w:szCs w:val="20"/>
                <w:lang w:val="en"/>
              </w:rPr>
              <w:t>are</w:t>
            </w:r>
            <w:r>
              <w:rPr>
                <w:sz w:val="22"/>
                <w:szCs w:val="20"/>
                <w:lang w:val="en"/>
              </w:rPr>
              <w:t xml:space="preserve"> the slow expansion of the model of care focused on the needs of people </w:t>
            </w:r>
            <w:r w:rsidR="00CA092A">
              <w:rPr>
                <w:sz w:val="22"/>
                <w:szCs w:val="20"/>
                <w:lang w:val="en"/>
              </w:rPr>
              <w:t>–</w:t>
            </w:r>
            <w:r>
              <w:rPr>
                <w:sz w:val="22"/>
                <w:szCs w:val="20"/>
                <w:lang w:val="en"/>
              </w:rPr>
              <w:t xml:space="preserve"> the transition to outpatient treatment (8.1% in 2021), the low capacity at the PHC level. Insufficient support for patients at the outpatient stage (currently, MDR-TB patients receive 1,000 </w:t>
            </w:r>
            <w:r w:rsidR="006010C2">
              <w:rPr>
                <w:sz w:val="22"/>
                <w:szCs w:val="20"/>
                <w:lang w:val="en"/>
              </w:rPr>
              <w:t>KGS</w:t>
            </w:r>
            <w:r>
              <w:rPr>
                <w:sz w:val="22"/>
                <w:szCs w:val="20"/>
                <w:lang w:val="en"/>
              </w:rPr>
              <w:t xml:space="preserve">, or about $13). The government does not include </w:t>
            </w:r>
            <w:r w:rsidR="00BD4F1A">
              <w:rPr>
                <w:sz w:val="22"/>
                <w:szCs w:val="20"/>
                <w:lang w:val="en"/>
              </w:rPr>
              <w:t>incentives</w:t>
            </w:r>
            <w:r>
              <w:rPr>
                <w:sz w:val="22"/>
                <w:szCs w:val="20"/>
                <w:lang w:val="en"/>
              </w:rPr>
              <w:t xml:space="preserve"> for MDR-TB patients in the </w:t>
            </w:r>
            <w:r w:rsidR="00285053">
              <w:rPr>
                <w:sz w:val="22"/>
                <w:szCs w:val="20"/>
                <w:lang w:val="en"/>
              </w:rPr>
              <w:t>SGBP</w:t>
            </w:r>
            <w:r>
              <w:rPr>
                <w:sz w:val="22"/>
                <w:szCs w:val="20"/>
                <w:lang w:val="en"/>
              </w:rPr>
              <w:t xml:space="preserve">. </w:t>
            </w:r>
          </w:p>
          <w:p w14:paraId="6DA5AD40" w14:textId="77777777" w:rsidR="007819B4" w:rsidRPr="00E769B9" w:rsidRDefault="007819B4" w:rsidP="007819B4">
            <w:pPr>
              <w:pStyle w:val="BodyText"/>
              <w:rPr>
                <w:sz w:val="22"/>
                <w:szCs w:val="20"/>
                <w:lang w:val="en-US"/>
              </w:rPr>
            </w:pPr>
            <w:r>
              <w:rPr>
                <w:sz w:val="22"/>
                <w:szCs w:val="20"/>
                <w:lang w:val="en"/>
              </w:rPr>
              <w:t xml:space="preserve">The case management system is implemented only with the support of international organizations. </w:t>
            </w:r>
          </w:p>
          <w:p w14:paraId="6F71003A" w14:textId="1412E48F" w:rsidR="004A7D24" w:rsidRPr="004A7D24" w:rsidRDefault="007819B4" w:rsidP="007819B4">
            <w:pPr>
              <w:pStyle w:val="BodyText"/>
              <w:rPr>
                <w:sz w:val="22"/>
                <w:szCs w:val="20"/>
                <w:lang w:val="en-US"/>
              </w:rPr>
            </w:pPr>
            <w:r>
              <w:rPr>
                <w:sz w:val="22"/>
                <w:szCs w:val="20"/>
                <w:lang w:val="en"/>
              </w:rPr>
              <w:t>The state budget cover</w:t>
            </w:r>
            <w:r w:rsidR="00E16211">
              <w:rPr>
                <w:sz w:val="22"/>
                <w:szCs w:val="20"/>
                <w:lang w:val="en"/>
              </w:rPr>
              <w:t>s</w:t>
            </w:r>
            <w:r>
              <w:rPr>
                <w:sz w:val="22"/>
                <w:szCs w:val="20"/>
                <w:lang w:val="en"/>
              </w:rPr>
              <w:t xml:space="preserve"> </w:t>
            </w:r>
            <w:r w:rsidR="00E16211">
              <w:rPr>
                <w:sz w:val="22"/>
                <w:szCs w:val="20"/>
                <w:lang w:val="en"/>
              </w:rPr>
              <w:t>only small proportion</w:t>
            </w:r>
            <w:r>
              <w:rPr>
                <w:sz w:val="22"/>
                <w:szCs w:val="20"/>
                <w:lang w:val="en"/>
              </w:rPr>
              <w:t xml:space="preserve"> of </w:t>
            </w:r>
            <w:r w:rsidR="00E16211">
              <w:rPr>
                <w:sz w:val="22"/>
                <w:szCs w:val="20"/>
                <w:lang w:val="en"/>
              </w:rPr>
              <w:t>SLD</w:t>
            </w:r>
            <w:r>
              <w:rPr>
                <w:sz w:val="22"/>
                <w:szCs w:val="20"/>
                <w:lang w:val="en"/>
              </w:rPr>
              <w:t>.</w:t>
            </w:r>
          </w:p>
          <w:p w14:paraId="4CCBA0A8" w14:textId="77777777" w:rsidR="00662E6E" w:rsidRPr="0066705B" w:rsidRDefault="00662E6E" w:rsidP="0026062D">
            <w:pPr>
              <w:pStyle w:val="BodyText"/>
              <w:widowControl w:val="0"/>
              <w:spacing w:line="240" w:lineRule="auto"/>
              <w:jc w:val="both"/>
              <w:rPr>
                <w:sz w:val="22"/>
                <w:lang w:val="en-US"/>
              </w:rPr>
            </w:pPr>
          </w:p>
        </w:tc>
      </w:tr>
      <w:tr w:rsidR="00662E6E" w14:paraId="22859DC2" w14:textId="77777777" w:rsidTr="0029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4381D3" w14:textId="77777777" w:rsidR="00662E6E" w:rsidRDefault="00662E6E" w:rsidP="0026062D">
            <w:pPr>
              <w:pStyle w:val="BodyText"/>
              <w:widowControl w:val="0"/>
              <w:spacing w:line="240" w:lineRule="auto"/>
            </w:pPr>
            <w:r>
              <w:lastRenderedPageBreak/>
              <w:t>Amount requested</w:t>
            </w:r>
          </w:p>
        </w:tc>
        <w:tc>
          <w:tcPr>
            <w:tcW w:w="12616" w:type="dxa"/>
          </w:tcPr>
          <w:p w14:paraId="41D85019" w14:textId="20CCE081" w:rsidR="00662E6E" w:rsidRPr="00771958" w:rsidRDefault="00AC0FBA" w:rsidP="0026062D">
            <w:pPr>
              <w:pStyle w:val="BodyText"/>
              <w:widowControl w:val="0"/>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$10,211,009</w:t>
            </w:r>
          </w:p>
        </w:tc>
      </w:tr>
      <w:tr w:rsidR="00662E6E" w14:paraId="4DDB39FF" w14:textId="77777777" w:rsidTr="00294243">
        <w:tc>
          <w:tcPr>
            <w:cnfStyle w:val="001000000000" w:firstRow="0" w:lastRow="0" w:firstColumn="1" w:lastColumn="0" w:oddVBand="0" w:evenVBand="0" w:oddHBand="0" w:evenHBand="0" w:firstRowFirstColumn="0" w:firstRowLastColumn="0" w:lastRowFirstColumn="0" w:lastRowLastColumn="0"/>
            <w:tcW w:w="2547" w:type="dxa"/>
          </w:tcPr>
          <w:p w14:paraId="7B01EAAC" w14:textId="77777777" w:rsidR="00662E6E" w:rsidRDefault="00662E6E" w:rsidP="0026062D">
            <w:pPr>
              <w:pStyle w:val="BodyText"/>
              <w:widowControl w:val="0"/>
              <w:spacing w:line="240" w:lineRule="auto"/>
            </w:pPr>
            <w:r>
              <w:t>Expected outcome</w:t>
            </w:r>
          </w:p>
        </w:tc>
        <w:tc>
          <w:tcPr>
            <w:tcW w:w="12616" w:type="dxa"/>
          </w:tcPr>
          <w:p w14:paraId="106EDAFE" w14:textId="2D699A0C" w:rsidR="00196B05" w:rsidRPr="00196B05" w:rsidRDefault="00196B05" w:rsidP="00196B05">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sidRPr="00196B05">
              <w:rPr>
                <w:sz w:val="22"/>
                <w:lang w:val="en-US"/>
              </w:rPr>
              <w:t xml:space="preserve">Expanded screening programs with increased TB detection among </w:t>
            </w:r>
            <w:r w:rsidR="00ED1FF2">
              <w:rPr>
                <w:sz w:val="22"/>
                <w:lang w:val="en-US"/>
              </w:rPr>
              <w:t>KPs</w:t>
            </w:r>
            <w:r w:rsidRPr="00196B05">
              <w:rPr>
                <w:sz w:val="22"/>
                <w:lang w:val="en-US"/>
              </w:rPr>
              <w:t xml:space="preserve">; expanded contact investigations, including with NGOs (in three regions); introduction of new AI-guided X-ray technology. </w:t>
            </w:r>
          </w:p>
          <w:p w14:paraId="07D3FCB9" w14:textId="2DD00850" w:rsidR="00196B05" w:rsidRPr="00196B05" w:rsidRDefault="00196B05" w:rsidP="00196B05">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sidRPr="00196B05">
              <w:rPr>
                <w:sz w:val="22"/>
                <w:lang w:val="en-US"/>
              </w:rPr>
              <w:t xml:space="preserve">All people screened positive for TB are tested with </w:t>
            </w:r>
            <w:proofErr w:type="spellStart"/>
            <w:r w:rsidRPr="00196B05">
              <w:rPr>
                <w:sz w:val="22"/>
                <w:lang w:val="en-US"/>
              </w:rPr>
              <w:t>Xpert</w:t>
            </w:r>
            <w:proofErr w:type="spellEnd"/>
            <w:r w:rsidRPr="00196B05">
              <w:rPr>
                <w:sz w:val="22"/>
                <w:lang w:val="en-US"/>
              </w:rPr>
              <w:t xml:space="preserve">; </w:t>
            </w:r>
            <w:r w:rsidR="00A467E1">
              <w:rPr>
                <w:sz w:val="22"/>
                <w:lang w:val="en-US"/>
              </w:rPr>
              <w:t>98%</w:t>
            </w:r>
            <w:r w:rsidRPr="00196B05">
              <w:rPr>
                <w:sz w:val="22"/>
                <w:lang w:val="en-US"/>
              </w:rPr>
              <w:t xml:space="preserve"> people with TB have test results for rifampicin, </w:t>
            </w:r>
            <w:r w:rsidR="00A467E1">
              <w:rPr>
                <w:sz w:val="22"/>
                <w:lang w:val="en-US"/>
              </w:rPr>
              <w:t>85%</w:t>
            </w:r>
            <w:r w:rsidRPr="00196B05">
              <w:rPr>
                <w:sz w:val="22"/>
                <w:lang w:val="en-US"/>
              </w:rPr>
              <w:t xml:space="preserve"> people with MDR-TB have test results for fluoroquinolone</w:t>
            </w:r>
            <w:r w:rsidR="00A467E1">
              <w:rPr>
                <w:sz w:val="22"/>
                <w:lang w:val="en-US"/>
              </w:rPr>
              <w:t xml:space="preserve"> by 2026</w:t>
            </w:r>
            <w:r w:rsidRPr="00196B05">
              <w:rPr>
                <w:sz w:val="22"/>
                <w:lang w:val="en-US"/>
              </w:rPr>
              <w:t xml:space="preserve">. All MDR-TB patients have test results for all drugs used in the treatment regimen. </w:t>
            </w:r>
          </w:p>
          <w:p w14:paraId="6A92EC64" w14:textId="51750195" w:rsidR="00196B05" w:rsidRPr="00196B05" w:rsidRDefault="00A467E1" w:rsidP="00196B05">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Pr>
                <w:sz w:val="22"/>
                <w:lang w:val="en-US"/>
              </w:rPr>
              <w:t>98%</w:t>
            </w:r>
            <w:r w:rsidR="00196B05" w:rsidRPr="00196B05">
              <w:rPr>
                <w:sz w:val="22"/>
                <w:lang w:val="en-US"/>
              </w:rPr>
              <w:t xml:space="preserve"> MDR-TB patients receive effective treatment with quality-assured </w:t>
            </w:r>
            <w:r>
              <w:rPr>
                <w:sz w:val="22"/>
                <w:lang w:val="en-US"/>
              </w:rPr>
              <w:t>SLD</w:t>
            </w:r>
            <w:r w:rsidR="00196B05" w:rsidRPr="00196B05">
              <w:rPr>
                <w:sz w:val="22"/>
                <w:lang w:val="en-US"/>
              </w:rPr>
              <w:t xml:space="preserve"> (including in prison), including gradual transition to new shorter MDR-TB treatment regimens recommended by WHO. Children are provided with </w:t>
            </w:r>
            <w:proofErr w:type="spellStart"/>
            <w:r w:rsidR="00196B05" w:rsidRPr="00196B05">
              <w:rPr>
                <w:sz w:val="22"/>
                <w:lang w:val="en-US"/>
              </w:rPr>
              <w:t>paediatric</w:t>
            </w:r>
            <w:proofErr w:type="spellEnd"/>
            <w:r w:rsidR="00196B05" w:rsidRPr="00196B05">
              <w:rPr>
                <w:sz w:val="22"/>
                <w:lang w:val="en-US"/>
              </w:rPr>
              <w:t xml:space="preserve"> doses of TB drugs </w:t>
            </w:r>
          </w:p>
          <w:p w14:paraId="2183B875" w14:textId="427A0334" w:rsidR="00196B05" w:rsidRPr="00196B05" w:rsidRDefault="00196B05" w:rsidP="00196B05">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sidRPr="00196B05">
              <w:rPr>
                <w:sz w:val="22"/>
                <w:lang w:val="en-US"/>
              </w:rPr>
              <w:t xml:space="preserve">The use of the MDR-TB people-centered care model is being expanded: </w:t>
            </w:r>
            <w:r w:rsidR="00A467E1">
              <w:rPr>
                <w:sz w:val="22"/>
                <w:lang w:val="en-US"/>
              </w:rPr>
              <w:t>VST</w:t>
            </w:r>
            <w:r w:rsidRPr="00196B05">
              <w:rPr>
                <w:sz w:val="22"/>
                <w:lang w:val="en-US"/>
              </w:rPr>
              <w:t xml:space="preserve"> for 40-60% of patients</w:t>
            </w:r>
            <w:r w:rsidR="00615E55">
              <w:rPr>
                <w:sz w:val="22"/>
                <w:lang w:val="en-US"/>
              </w:rPr>
              <w:t>.</w:t>
            </w:r>
          </w:p>
          <w:p w14:paraId="263BD85D" w14:textId="77777777" w:rsidR="00662E6E" w:rsidRDefault="00196B05" w:rsidP="00196B05">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sidRPr="00196B05">
              <w:rPr>
                <w:sz w:val="22"/>
                <w:lang w:val="en-US"/>
              </w:rPr>
              <w:t>MDR-TB treatment efficacy reach</w:t>
            </w:r>
            <w:r w:rsidR="00615E55">
              <w:rPr>
                <w:sz w:val="22"/>
                <w:lang w:val="en-US"/>
              </w:rPr>
              <w:t>es</w:t>
            </w:r>
            <w:r w:rsidRPr="00196B05">
              <w:rPr>
                <w:sz w:val="22"/>
                <w:lang w:val="en-US"/>
              </w:rPr>
              <w:t xml:space="preserve"> 80%, in line with the goals of the WHO Regional TB Plan for Europe.</w:t>
            </w:r>
          </w:p>
          <w:p w14:paraId="1394C877" w14:textId="37EAD6E4" w:rsidR="00615E55" w:rsidRPr="00196B05" w:rsidRDefault="00615E55" w:rsidP="00196B05">
            <w:pPr>
              <w:pStyle w:val="BodyText"/>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lang w:val="en-US"/>
              </w:rPr>
            </w:pPr>
            <w:r>
              <w:rPr>
                <w:sz w:val="22"/>
                <w:szCs w:val="20"/>
                <w:lang w:val="en"/>
              </w:rPr>
              <w:t>The share of state funding for the procurement of SLD increases to 26%</w:t>
            </w:r>
            <w:r w:rsidR="00963624">
              <w:rPr>
                <w:sz w:val="22"/>
                <w:szCs w:val="20"/>
                <w:lang w:val="en"/>
              </w:rPr>
              <w:t>.</w:t>
            </w:r>
          </w:p>
        </w:tc>
      </w:tr>
    </w:tbl>
    <w:p w14:paraId="2FC19CEF" w14:textId="0E1D7574" w:rsidR="00DC7A8E" w:rsidRDefault="00DC7A8E" w:rsidP="0026062D">
      <w:pPr>
        <w:pStyle w:val="BodyText"/>
        <w:widowControl w:val="0"/>
        <w:spacing w:line="240" w:lineRule="auto"/>
        <w:rPr>
          <w:i/>
          <w:iCs/>
          <w:sz w:val="20"/>
          <w:szCs w:val="20"/>
        </w:rPr>
      </w:pPr>
    </w:p>
    <w:p w14:paraId="37D91092" w14:textId="77777777" w:rsidR="00175304" w:rsidRPr="002F225D" w:rsidRDefault="00175304" w:rsidP="0026062D">
      <w:pPr>
        <w:pStyle w:val="BodyText"/>
        <w:widowControl w:val="0"/>
        <w:spacing w:line="240" w:lineRule="auto"/>
        <w:rPr>
          <w:sz w:val="20"/>
          <w:szCs w:val="20"/>
          <w:lang w:val="en-US"/>
        </w:rPr>
      </w:pPr>
    </w:p>
    <w:p w14:paraId="2312465A" w14:textId="3FD87BDF" w:rsidR="007E2465" w:rsidRDefault="007E2465" w:rsidP="0026062D">
      <w:pPr>
        <w:pStyle w:val="BodyText"/>
        <w:widowControl w:val="0"/>
        <w:spacing w:line="240" w:lineRule="auto"/>
        <w:rPr>
          <w:i/>
          <w:iCs/>
        </w:rPr>
        <w:sectPr w:rsidR="007E2465" w:rsidSect="00BC09CD">
          <w:headerReference w:type="first" r:id="rId25"/>
          <w:footerReference w:type="first" r:id="rId26"/>
          <w:pgSz w:w="16838" w:h="11906" w:orient="landscape" w:code="9"/>
          <w:pgMar w:top="851" w:right="851" w:bottom="1871" w:left="851" w:header="288" w:footer="288" w:gutter="0"/>
          <w:cols w:space="708"/>
          <w:titlePg/>
          <w:docGrid w:linePitch="360"/>
        </w:sectPr>
      </w:pPr>
    </w:p>
    <w:p w14:paraId="08FCA0F7" w14:textId="1AB879CD" w:rsidR="00EC37CA" w:rsidRDefault="00EC37CA" w:rsidP="0026062D">
      <w:pPr>
        <w:pStyle w:val="BodyText"/>
        <w:widowControl w:val="0"/>
        <w:numPr>
          <w:ilvl w:val="0"/>
          <w:numId w:val="28"/>
        </w:numPr>
        <w:spacing w:before="240" w:line="240" w:lineRule="auto"/>
        <w:rPr>
          <w:color w:val="000000" w:themeColor="text1"/>
        </w:rPr>
      </w:pPr>
      <w:r w:rsidRPr="00C8692C">
        <w:rPr>
          <w:rFonts w:ascii="Arial" w:eastAsia="Arial" w:hAnsi="Arial" w:cs="Arial"/>
          <w:color w:val="000000" w:themeColor="text1"/>
        </w:rPr>
        <w:lastRenderedPageBreak/>
        <w:t xml:space="preserve">If </w:t>
      </w:r>
      <w:r>
        <w:rPr>
          <w:rFonts w:ascii="Arial" w:eastAsia="Arial" w:hAnsi="Arial" w:cs="Arial"/>
          <w:color w:val="000000" w:themeColor="text1"/>
        </w:rPr>
        <w:t>you are using a Payment for Results modality to receive funding from</w:t>
      </w:r>
      <w:r w:rsidRPr="00C8692C">
        <w:rPr>
          <w:rFonts w:ascii="Arial" w:eastAsia="Arial" w:hAnsi="Arial" w:cs="Arial"/>
          <w:color w:val="000000" w:themeColor="text1"/>
        </w:rPr>
        <w:t xml:space="preserve"> the </w:t>
      </w:r>
      <w:r>
        <w:rPr>
          <w:rFonts w:ascii="Arial" w:eastAsia="Arial" w:hAnsi="Arial" w:cs="Arial"/>
          <w:color w:val="000000" w:themeColor="text1"/>
        </w:rPr>
        <w:t>Global Fund</w:t>
      </w:r>
      <w:r>
        <w:t>, provide information on the performance indicators / milestones, targets and amounts that are proposed</w:t>
      </w:r>
      <w:r>
        <w:rPr>
          <w:rFonts w:ascii="Arial" w:eastAsia="Arial" w:hAnsi="Arial" w:cs="Arial"/>
          <w:color w:val="000000" w:themeColor="text1"/>
        </w:rPr>
        <w:t>.</w:t>
      </w:r>
      <w:r w:rsidRPr="00D33685">
        <w:rPr>
          <w:rFonts w:ascii="Arial" w:eastAsia="Times New Roman" w:hAnsi="Arial" w:cs="Arial"/>
          <w:szCs w:val="24"/>
          <w:lang w:eastAsia="es-ES"/>
        </w:rPr>
        <w:t xml:space="preserve"> </w:t>
      </w:r>
      <w:r w:rsidRPr="00187546">
        <w:rPr>
          <w:rFonts w:ascii="Arial" w:eastAsia="Times New Roman" w:hAnsi="Arial" w:cs="Arial"/>
          <w:szCs w:val="24"/>
          <w:lang w:eastAsia="es-ES"/>
        </w:rPr>
        <w:t>Specify how the accuracy and reliability of the reported results will be ensured</w:t>
      </w:r>
      <w:r>
        <w:rPr>
          <w:rFonts w:ascii="Arial" w:eastAsia="Times New Roman" w:hAnsi="Arial" w:cs="Arial"/>
          <w:szCs w:val="24"/>
          <w:lang w:eastAsia="es-ES"/>
        </w:rPr>
        <w:t>.</w:t>
      </w:r>
    </w:p>
    <w:tbl>
      <w:tblPr>
        <w:tblpPr w:leftFromText="180" w:rightFromText="180" w:vertAnchor="text" w:horzAnchor="margin" w:tblpYSpec="outside"/>
        <w:tblW w:w="151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17"/>
        <w:gridCol w:w="786"/>
        <w:gridCol w:w="655"/>
        <w:gridCol w:w="655"/>
        <w:gridCol w:w="656"/>
        <w:gridCol w:w="3145"/>
        <w:gridCol w:w="1253"/>
        <w:gridCol w:w="5037"/>
      </w:tblGrid>
      <w:tr w:rsidR="007E2465" w:rsidRPr="000262F9" w14:paraId="4D15A3F1" w14:textId="77777777" w:rsidTr="007E2465">
        <w:trPr>
          <w:trHeight w:val="365"/>
          <w:tblHeader/>
        </w:trPr>
        <w:tc>
          <w:tcPr>
            <w:tcW w:w="2917" w:type="dxa"/>
            <w:vMerge w:val="restart"/>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1323975C"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sz w:val="20"/>
                <w:szCs w:val="20"/>
                <w:lang w:eastAsia="es-ES"/>
              </w:rPr>
              <w:t>Performance indicator or milestone</w:t>
            </w:r>
          </w:p>
        </w:tc>
        <w:tc>
          <w:tcPr>
            <w:tcW w:w="2752" w:type="dxa"/>
            <w:gridSpan w:val="4"/>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57725E7D"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sz w:val="20"/>
                <w:szCs w:val="20"/>
                <w:lang w:eastAsia="es-ES"/>
              </w:rPr>
              <w:t>Target</w:t>
            </w:r>
          </w:p>
        </w:tc>
        <w:tc>
          <w:tcPr>
            <w:tcW w:w="3145" w:type="dxa"/>
            <w:vMerge w:val="restart"/>
            <w:tcBorders>
              <w:top w:val="single" w:sz="6" w:space="0" w:color="808080"/>
              <w:left w:val="single" w:sz="6" w:space="0" w:color="808080"/>
              <w:right w:val="single" w:sz="6" w:space="0" w:color="808080"/>
            </w:tcBorders>
            <w:shd w:val="clear" w:color="auto" w:fill="F9FBFD"/>
            <w:vAlign w:val="center"/>
            <w:hideMark/>
          </w:tcPr>
          <w:p w14:paraId="599FD8D8"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eastAsia="es-ES"/>
              </w:rPr>
            </w:pPr>
            <w:r w:rsidRPr="000262F9">
              <w:rPr>
                <w:rFonts w:ascii="Arial" w:eastAsia="Times New Roman" w:hAnsi="Arial" w:cs="Arial"/>
                <w:sz w:val="20"/>
                <w:szCs w:val="20"/>
                <w:lang w:eastAsia="es-ES"/>
              </w:rPr>
              <w:t>Rationale for selection</w:t>
            </w:r>
            <w:r w:rsidRPr="000262F9">
              <w:rPr>
                <w:rFonts w:ascii="Arial" w:eastAsia="Times New Roman" w:hAnsi="Arial" w:cs="Arial"/>
                <w:sz w:val="20"/>
                <w:szCs w:val="20"/>
                <w:lang w:eastAsia="es-ES"/>
              </w:rPr>
              <w:br/>
              <w:t>of the indicator/milestone</w:t>
            </w:r>
            <w:r w:rsidRPr="000262F9">
              <w:rPr>
                <w:rFonts w:ascii="Arial" w:eastAsia="Times New Roman" w:hAnsi="Arial" w:cs="Arial"/>
                <w:sz w:val="20"/>
                <w:szCs w:val="20"/>
                <w:lang w:eastAsia="es-ES"/>
              </w:rPr>
              <w:br/>
            </w:r>
          </w:p>
        </w:tc>
        <w:tc>
          <w:tcPr>
            <w:tcW w:w="1253" w:type="dxa"/>
            <w:vMerge w:val="restart"/>
            <w:tcBorders>
              <w:top w:val="single" w:sz="6" w:space="0" w:color="808080"/>
              <w:left w:val="single" w:sz="6" w:space="0" w:color="808080"/>
              <w:right w:val="single" w:sz="6" w:space="0" w:color="808080"/>
            </w:tcBorders>
            <w:shd w:val="clear" w:color="auto" w:fill="F9FBFD"/>
            <w:vAlign w:val="center"/>
          </w:tcPr>
          <w:p w14:paraId="644EC4D6" w14:textId="77777777" w:rsidR="007E2465" w:rsidRPr="00406193" w:rsidRDefault="007E2465" w:rsidP="0026062D">
            <w:pPr>
              <w:widowControl w:val="0"/>
              <w:spacing w:after="0" w:line="240" w:lineRule="auto"/>
              <w:jc w:val="center"/>
              <w:textAlignment w:val="baseline"/>
              <w:rPr>
                <w:rFonts w:ascii="Arial" w:eastAsia="Times New Roman" w:hAnsi="Arial" w:cs="Arial"/>
                <w:sz w:val="20"/>
                <w:szCs w:val="20"/>
                <w:lang w:eastAsia="es-ES"/>
              </w:rPr>
            </w:pPr>
            <w:r>
              <w:rPr>
                <w:rFonts w:ascii="Arial" w:eastAsia="Times New Roman" w:hAnsi="Arial" w:cs="Arial"/>
                <w:sz w:val="20"/>
                <w:szCs w:val="20"/>
                <w:lang w:eastAsia="es-ES"/>
              </w:rPr>
              <w:t xml:space="preserve">Amount requested </w:t>
            </w:r>
          </w:p>
        </w:tc>
        <w:tc>
          <w:tcPr>
            <w:tcW w:w="5037" w:type="dxa"/>
            <w:vMerge w:val="restart"/>
            <w:tcBorders>
              <w:top w:val="single" w:sz="6" w:space="0" w:color="808080"/>
              <w:left w:val="single" w:sz="6" w:space="0" w:color="808080"/>
              <w:right w:val="single" w:sz="6" w:space="0" w:color="808080"/>
            </w:tcBorders>
            <w:shd w:val="clear" w:color="auto" w:fill="F9FBFD"/>
            <w:vAlign w:val="center"/>
          </w:tcPr>
          <w:p w14:paraId="3CE234F0" w14:textId="77777777" w:rsidR="007E2465" w:rsidRPr="00406193" w:rsidRDefault="007E2465" w:rsidP="0026062D">
            <w:pPr>
              <w:widowControl w:val="0"/>
              <w:spacing w:after="0" w:line="240" w:lineRule="auto"/>
              <w:jc w:val="center"/>
              <w:textAlignment w:val="baseline"/>
              <w:rPr>
                <w:sz w:val="20"/>
                <w:szCs w:val="18"/>
              </w:rPr>
            </w:pPr>
            <w:r w:rsidRPr="00406193">
              <w:rPr>
                <w:rFonts w:ascii="Arial" w:eastAsia="Times New Roman" w:hAnsi="Arial" w:cs="Arial"/>
                <w:sz w:val="20"/>
                <w:szCs w:val="20"/>
                <w:lang w:eastAsia="es-ES"/>
              </w:rPr>
              <w:t>Expected outcome</w:t>
            </w:r>
          </w:p>
        </w:tc>
      </w:tr>
      <w:tr w:rsidR="007E2465" w:rsidRPr="000262F9" w14:paraId="64713CFF" w14:textId="77777777" w:rsidTr="007E2465">
        <w:trPr>
          <w:trHeight w:val="365"/>
          <w:tblHeader/>
        </w:trPr>
        <w:tc>
          <w:tcPr>
            <w:tcW w:w="2917"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23F3CB3" w14:textId="77777777" w:rsidR="007E2465" w:rsidRPr="000262F9" w:rsidRDefault="007E2465" w:rsidP="0026062D">
            <w:pPr>
              <w:widowControl w:val="0"/>
              <w:spacing w:after="0" w:line="240" w:lineRule="auto"/>
              <w:jc w:val="center"/>
              <w:rPr>
                <w:rFonts w:ascii="Times New Roman" w:eastAsia="Times New Roman" w:hAnsi="Times New Roman" w:cs="Times New Roman"/>
                <w:sz w:val="24"/>
                <w:szCs w:val="24"/>
                <w:lang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5F088B4C"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sz w:val="20"/>
                <w:szCs w:val="20"/>
                <w:lang w:eastAsia="es-ES"/>
              </w:rPr>
              <w:t>Baseline</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65D4CE81"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sz w:val="20"/>
                <w:szCs w:val="20"/>
                <w:lang w:eastAsia="es-ES"/>
              </w:rPr>
              <w:t>Y1</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30031A48"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sz w:val="20"/>
                <w:szCs w:val="20"/>
                <w:lang w:eastAsia="es-ES"/>
              </w:rPr>
              <w:t>Y2</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021419D2"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sz w:val="20"/>
                <w:szCs w:val="20"/>
                <w:lang w:eastAsia="es-ES"/>
              </w:rPr>
              <w:t>Y3</w:t>
            </w:r>
          </w:p>
        </w:tc>
        <w:tc>
          <w:tcPr>
            <w:tcW w:w="3145" w:type="dxa"/>
            <w:vMerge/>
            <w:tcBorders>
              <w:left w:val="single" w:sz="6" w:space="0" w:color="808080"/>
              <w:bottom w:val="single" w:sz="6" w:space="0" w:color="808080"/>
              <w:right w:val="single" w:sz="6" w:space="0" w:color="808080"/>
            </w:tcBorders>
            <w:shd w:val="clear" w:color="auto" w:fill="auto"/>
            <w:vAlign w:val="center"/>
            <w:hideMark/>
          </w:tcPr>
          <w:p w14:paraId="582F42B6" w14:textId="77777777" w:rsidR="007E2465" w:rsidRPr="000262F9" w:rsidRDefault="007E2465" w:rsidP="0026062D">
            <w:pPr>
              <w:widowControl w:val="0"/>
              <w:spacing w:after="0" w:line="240" w:lineRule="auto"/>
              <w:jc w:val="center"/>
              <w:rPr>
                <w:rFonts w:ascii="Times New Roman" w:eastAsia="Times New Roman" w:hAnsi="Times New Roman" w:cs="Times New Roman"/>
                <w:sz w:val="24"/>
                <w:szCs w:val="24"/>
                <w:lang w:val="es-ES" w:eastAsia="es-ES"/>
              </w:rPr>
            </w:pPr>
          </w:p>
        </w:tc>
        <w:tc>
          <w:tcPr>
            <w:tcW w:w="1253" w:type="dxa"/>
            <w:vMerge/>
            <w:tcBorders>
              <w:left w:val="single" w:sz="6" w:space="0" w:color="808080"/>
              <w:bottom w:val="single" w:sz="6" w:space="0" w:color="808080"/>
              <w:right w:val="single" w:sz="6" w:space="0" w:color="808080"/>
            </w:tcBorders>
          </w:tcPr>
          <w:p w14:paraId="281F2D84" w14:textId="77777777" w:rsidR="007E2465" w:rsidRPr="007B07AB" w:rsidRDefault="007E2465" w:rsidP="0026062D">
            <w:pPr>
              <w:widowControl w:val="0"/>
              <w:spacing w:after="0" w:line="240" w:lineRule="auto"/>
              <w:jc w:val="center"/>
              <w:rPr>
                <w:rFonts w:ascii="Arial" w:eastAsia="Times New Roman" w:hAnsi="Arial" w:cs="Arial"/>
                <w:sz w:val="20"/>
                <w:szCs w:val="20"/>
                <w:lang w:val="es-ES" w:eastAsia="es-ES"/>
              </w:rPr>
            </w:pPr>
          </w:p>
        </w:tc>
        <w:tc>
          <w:tcPr>
            <w:tcW w:w="5037" w:type="dxa"/>
            <w:vMerge/>
            <w:tcBorders>
              <w:left w:val="single" w:sz="6" w:space="0" w:color="808080"/>
              <w:bottom w:val="single" w:sz="6" w:space="0" w:color="808080"/>
              <w:right w:val="single" w:sz="6" w:space="0" w:color="808080"/>
            </w:tcBorders>
          </w:tcPr>
          <w:p w14:paraId="4F21F2ED" w14:textId="77777777" w:rsidR="007E2465" w:rsidRPr="007B07AB" w:rsidRDefault="007E2465" w:rsidP="0026062D">
            <w:pPr>
              <w:widowControl w:val="0"/>
              <w:spacing w:after="0" w:line="240" w:lineRule="auto"/>
              <w:jc w:val="center"/>
              <w:rPr>
                <w:rFonts w:ascii="Arial" w:eastAsia="Times New Roman" w:hAnsi="Arial" w:cs="Arial"/>
                <w:sz w:val="20"/>
                <w:szCs w:val="20"/>
                <w:lang w:val="es-ES" w:eastAsia="es-ES"/>
              </w:rPr>
            </w:pPr>
          </w:p>
        </w:tc>
      </w:tr>
      <w:tr w:rsidR="007E2465" w:rsidRPr="000262F9" w14:paraId="0ABE0EB2" w14:textId="77777777" w:rsidTr="007E2465">
        <w:trPr>
          <w:trHeight w:val="452"/>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73DE6BD" w14:textId="77777777" w:rsidR="007E2465" w:rsidRPr="000262F9" w:rsidRDefault="007E2465" w:rsidP="0026062D">
            <w:pPr>
              <w:widowControl w:val="0"/>
              <w:spacing w:after="0" w:line="240" w:lineRule="auto"/>
              <w:ind w:left="60" w:righ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CC9D446"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5E165AE"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306C5C3"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5DDA5EE"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3335800" w14:textId="77777777" w:rsidR="007E2465" w:rsidRPr="000262F9" w:rsidRDefault="007E2465" w:rsidP="0026062D">
            <w:pPr>
              <w:widowControl w:val="0"/>
              <w:spacing w:after="0" w:line="240" w:lineRule="auto"/>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13C3EF37" w14:textId="77777777" w:rsidR="007E2465" w:rsidRPr="000262F9" w:rsidRDefault="007E2465" w:rsidP="0026062D">
            <w:pPr>
              <w:widowControl w:val="0"/>
              <w:spacing w:after="0" w:line="240" w:lineRule="auto"/>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5EBCC428" w14:textId="77777777" w:rsidR="007E2465" w:rsidRPr="000262F9" w:rsidRDefault="007E2465" w:rsidP="0026062D">
            <w:pPr>
              <w:widowControl w:val="0"/>
              <w:spacing w:after="0" w:line="240" w:lineRule="auto"/>
              <w:jc w:val="center"/>
              <w:textAlignment w:val="baseline"/>
              <w:rPr>
                <w:rFonts w:ascii="Arial" w:eastAsia="Times New Roman" w:hAnsi="Arial" w:cs="Arial"/>
                <w:sz w:val="20"/>
                <w:szCs w:val="20"/>
                <w:lang w:val="es-ES" w:eastAsia="es-ES"/>
              </w:rPr>
            </w:pPr>
          </w:p>
        </w:tc>
      </w:tr>
      <w:tr w:rsidR="007E2465" w:rsidRPr="000262F9" w14:paraId="123589CE" w14:textId="77777777" w:rsidTr="007E2465">
        <w:trPr>
          <w:trHeight w:val="400"/>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846862D" w14:textId="77777777" w:rsidR="007E2465" w:rsidRPr="000262F9" w:rsidRDefault="007E2465" w:rsidP="0026062D">
            <w:pPr>
              <w:widowControl w:val="0"/>
              <w:spacing w:after="0" w:line="240" w:lineRule="auto"/>
              <w:ind w:lef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4963914"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121867BF"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D50B5B2"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C57470E"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B4DB250"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5EBE72D0" w14:textId="77777777" w:rsidR="007E2465" w:rsidRPr="000262F9" w:rsidRDefault="007E2465" w:rsidP="0026062D">
            <w:pPr>
              <w:widowControl w:val="0"/>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4B4787E7" w14:textId="77777777" w:rsidR="007E2465" w:rsidRPr="000262F9" w:rsidRDefault="007E2465" w:rsidP="0026062D">
            <w:pPr>
              <w:widowControl w:val="0"/>
              <w:spacing w:after="0" w:line="240" w:lineRule="auto"/>
              <w:ind w:right="-60"/>
              <w:jc w:val="center"/>
              <w:textAlignment w:val="baseline"/>
              <w:rPr>
                <w:rFonts w:ascii="Arial" w:eastAsia="Times New Roman" w:hAnsi="Arial" w:cs="Arial"/>
                <w:sz w:val="20"/>
                <w:szCs w:val="20"/>
                <w:lang w:val="es-ES" w:eastAsia="es-ES"/>
              </w:rPr>
            </w:pPr>
          </w:p>
        </w:tc>
      </w:tr>
      <w:tr w:rsidR="007E2465" w:rsidRPr="000262F9" w14:paraId="753A0EE7" w14:textId="77777777" w:rsidTr="007E2465">
        <w:trPr>
          <w:trHeight w:val="400"/>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AF451FE" w14:textId="77777777" w:rsidR="007E2465" w:rsidRPr="000262F9" w:rsidRDefault="007E2465" w:rsidP="0026062D">
            <w:pPr>
              <w:widowControl w:val="0"/>
              <w:spacing w:after="0" w:line="240" w:lineRule="auto"/>
              <w:ind w:lef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9FA52EA"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134BCC74"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5DEF31EA"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C5ACB8E"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23FCF7F"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6507E47F" w14:textId="77777777" w:rsidR="007E2465" w:rsidRPr="000262F9" w:rsidRDefault="007E2465" w:rsidP="0026062D">
            <w:pPr>
              <w:widowControl w:val="0"/>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7AD5C02A" w14:textId="77777777" w:rsidR="007E2465" w:rsidRPr="000262F9" w:rsidRDefault="007E2465" w:rsidP="0026062D">
            <w:pPr>
              <w:widowControl w:val="0"/>
              <w:spacing w:after="0" w:line="240" w:lineRule="auto"/>
              <w:ind w:right="-60"/>
              <w:jc w:val="center"/>
              <w:textAlignment w:val="baseline"/>
              <w:rPr>
                <w:rFonts w:ascii="Arial" w:eastAsia="Times New Roman" w:hAnsi="Arial" w:cs="Arial"/>
                <w:sz w:val="20"/>
                <w:szCs w:val="20"/>
                <w:lang w:val="es-ES" w:eastAsia="es-ES"/>
              </w:rPr>
            </w:pPr>
          </w:p>
        </w:tc>
      </w:tr>
      <w:tr w:rsidR="007E2465" w:rsidRPr="000262F9" w14:paraId="1A622541" w14:textId="77777777" w:rsidTr="007E2465">
        <w:trPr>
          <w:trHeight w:val="313"/>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F5AB9AA" w14:textId="77777777" w:rsidR="007E2465" w:rsidRPr="000262F9" w:rsidRDefault="007E2465" w:rsidP="0026062D">
            <w:pPr>
              <w:widowControl w:val="0"/>
              <w:spacing w:after="0" w:line="240" w:lineRule="auto"/>
              <w:ind w:left="60"/>
              <w:jc w:val="center"/>
              <w:textAlignment w:val="baseline"/>
              <w:rPr>
                <w:rFonts w:ascii="Times New Roman" w:eastAsia="Times New Roman" w:hAnsi="Times New Roman" w:cs="Times New Roman"/>
                <w:sz w:val="24"/>
                <w:szCs w:val="24"/>
                <w:lang w:val="es-ES" w:eastAsia="es-ES"/>
              </w:rPr>
            </w:pPr>
            <w:r w:rsidRPr="000262F9">
              <w:rPr>
                <w:rFonts w:ascii="Arial" w:eastAsia="Times New Roman" w:hAnsi="Arial" w:cs="Arial"/>
                <w:i/>
                <w:iCs/>
                <w:sz w:val="18"/>
                <w:szCs w:val="18"/>
                <w:lang w:eastAsia="es-ES"/>
              </w:rPr>
              <w:t>Add rows as relevant</w:t>
            </w: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6919170"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98557FD"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B8D911B"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1046697"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0E08805" w14:textId="77777777" w:rsidR="007E2465" w:rsidRPr="000262F9" w:rsidRDefault="007E2465" w:rsidP="0026062D">
            <w:pPr>
              <w:widowControl w:val="0"/>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30CF0780" w14:textId="77777777" w:rsidR="007E2465" w:rsidRPr="000262F9" w:rsidRDefault="007E2465" w:rsidP="0026062D">
            <w:pPr>
              <w:widowControl w:val="0"/>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115F919E" w14:textId="77777777" w:rsidR="007E2465" w:rsidRPr="000262F9" w:rsidRDefault="007E2465" w:rsidP="0026062D">
            <w:pPr>
              <w:widowControl w:val="0"/>
              <w:spacing w:after="0" w:line="240" w:lineRule="auto"/>
              <w:ind w:right="-60"/>
              <w:jc w:val="center"/>
              <w:textAlignment w:val="baseline"/>
              <w:rPr>
                <w:rFonts w:ascii="Arial" w:eastAsia="Times New Roman" w:hAnsi="Arial" w:cs="Arial"/>
                <w:sz w:val="20"/>
                <w:szCs w:val="20"/>
                <w:lang w:val="es-ES" w:eastAsia="es-ES"/>
              </w:rPr>
            </w:pPr>
          </w:p>
        </w:tc>
      </w:tr>
    </w:tbl>
    <w:p w14:paraId="108BA645" w14:textId="3677C5E5" w:rsidR="00F40BA5" w:rsidRDefault="00540E8C" w:rsidP="0026062D">
      <w:pPr>
        <w:pStyle w:val="BodyText"/>
        <w:widowControl w:val="0"/>
        <w:spacing w:line="240" w:lineRule="auto"/>
        <w:rPr>
          <w:i/>
          <w:iCs/>
          <w:sz w:val="20"/>
          <w:szCs w:val="18"/>
        </w:rPr>
      </w:pPr>
      <w:r w:rsidRPr="005F716E">
        <w:rPr>
          <w:i/>
          <w:iCs/>
          <w:sz w:val="20"/>
          <w:szCs w:val="18"/>
        </w:rPr>
        <w:t xml:space="preserve">Countries should discuss with their country teams if they are considering the use of </w:t>
      </w:r>
      <w:r>
        <w:rPr>
          <w:i/>
          <w:iCs/>
          <w:sz w:val="20"/>
          <w:szCs w:val="18"/>
        </w:rPr>
        <w:t>a Payment for Results</w:t>
      </w:r>
      <w:r w:rsidRPr="005F716E">
        <w:rPr>
          <w:i/>
          <w:iCs/>
          <w:sz w:val="20"/>
          <w:szCs w:val="18"/>
        </w:rPr>
        <w:t xml:space="preserve"> modalit</w:t>
      </w:r>
      <w:r>
        <w:rPr>
          <w:i/>
          <w:iCs/>
          <w:sz w:val="20"/>
          <w:szCs w:val="18"/>
        </w:rPr>
        <w:t>y</w:t>
      </w:r>
      <w:r w:rsidRPr="005F716E">
        <w:rPr>
          <w:i/>
          <w:iCs/>
          <w:sz w:val="20"/>
          <w:szCs w:val="18"/>
        </w:rPr>
        <w:t xml:space="preserve"> as the basis of the funding request.</w:t>
      </w:r>
    </w:p>
    <w:p w14:paraId="1915F73E" w14:textId="77777777" w:rsidR="00435F64" w:rsidRDefault="00435F64" w:rsidP="001A2FC2">
      <w:pPr>
        <w:pStyle w:val="BodyText"/>
        <w:widowControl w:val="0"/>
        <w:spacing w:line="240" w:lineRule="auto"/>
        <w:jc w:val="both"/>
        <w:rPr>
          <w:szCs w:val="24"/>
        </w:rPr>
      </w:pPr>
    </w:p>
    <w:p w14:paraId="4AF2970B" w14:textId="77777777" w:rsidR="00435F64" w:rsidRDefault="00435F64" w:rsidP="001A2FC2">
      <w:pPr>
        <w:pStyle w:val="BodyText"/>
        <w:widowControl w:val="0"/>
        <w:spacing w:line="240" w:lineRule="auto"/>
        <w:jc w:val="both"/>
        <w:rPr>
          <w:szCs w:val="24"/>
        </w:rPr>
      </w:pPr>
    </w:p>
    <w:p w14:paraId="390063A5" w14:textId="0E32B912" w:rsidR="005E569E" w:rsidRPr="005E569E" w:rsidRDefault="0024217B" w:rsidP="001A2FC2">
      <w:pPr>
        <w:pStyle w:val="BodyText"/>
        <w:widowControl w:val="0"/>
        <w:spacing w:line="240" w:lineRule="auto"/>
        <w:jc w:val="both"/>
        <w:rPr>
          <w:rFonts w:ascii="Arial" w:eastAsia="Arial" w:hAnsi="Arial" w:cs="Arial"/>
          <w:color w:val="000000" w:themeColor="text1"/>
          <w:szCs w:val="24"/>
        </w:rPr>
      </w:pPr>
      <w:r w:rsidRPr="005E569E">
        <w:rPr>
          <w:szCs w:val="24"/>
        </w:rPr>
        <w:t xml:space="preserve">Kyrgyzstan does not use </w:t>
      </w:r>
      <w:r w:rsidRPr="005E569E">
        <w:rPr>
          <w:rFonts w:ascii="Arial" w:eastAsia="Arial" w:hAnsi="Arial" w:cs="Arial"/>
          <w:color w:val="000000" w:themeColor="text1"/>
          <w:szCs w:val="24"/>
        </w:rPr>
        <w:t xml:space="preserve">Payment for Results modality to receive funding from the Global Fund, </w:t>
      </w:r>
      <w:r w:rsidR="005E569E" w:rsidRPr="005E569E">
        <w:rPr>
          <w:rFonts w:ascii="Arial" w:eastAsia="Arial" w:hAnsi="Arial" w:cs="Arial"/>
          <w:color w:val="000000" w:themeColor="text1"/>
          <w:szCs w:val="24"/>
        </w:rPr>
        <w:t>but use Payment for Results approach to achieve better program results.</w:t>
      </w:r>
    </w:p>
    <w:p w14:paraId="2BEFC519" w14:textId="564E13D7" w:rsidR="00963624" w:rsidRPr="005E569E" w:rsidRDefault="005E569E" w:rsidP="001A2FC2">
      <w:pPr>
        <w:pStyle w:val="BodyText"/>
        <w:widowControl w:val="0"/>
        <w:spacing w:line="240" w:lineRule="auto"/>
        <w:jc w:val="both"/>
        <w:rPr>
          <w:szCs w:val="24"/>
        </w:rPr>
      </w:pPr>
      <w:r w:rsidRPr="005E569E">
        <w:rPr>
          <w:rFonts w:ascii="Arial" w:hAnsi="Arial" w:cs="Arial"/>
          <w:color w:val="222222"/>
          <w:szCs w:val="24"/>
          <w:shd w:val="clear" w:color="auto" w:fill="FFFFFF"/>
        </w:rPr>
        <w:t xml:space="preserve">In the current grant cycle, Kyrgyz Republic will continue to increase the share of remuneration of employees involved in the implementation of results-based activities. In the current allocation, the percentage of such payments is 10%, in the first year of the </w:t>
      </w:r>
      <w:r w:rsidR="001A2FC2">
        <w:rPr>
          <w:rFonts w:ascii="Arial" w:hAnsi="Arial" w:cs="Arial"/>
          <w:color w:val="222222"/>
          <w:szCs w:val="24"/>
          <w:shd w:val="clear" w:color="auto" w:fill="FFFFFF"/>
        </w:rPr>
        <w:t>proposed FR</w:t>
      </w:r>
      <w:r w:rsidRPr="005E569E">
        <w:rPr>
          <w:rFonts w:ascii="Arial" w:hAnsi="Arial" w:cs="Arial"/>
          <w:color w:val="222222"/>
          <w:szCs w:val="24"/>
          <w:shd w:val="clear" w:color="auto" w:fill="FFFFFF"/>
        </w:rPr>
        <w:t xml:space="preserve"> (2024) this share will be more than 15%. Payments to staff of government medical and non-governmental organizations directly involved in the provision of care, treatment and support services for </w:t>
      </w:r>
      <w:r w:rsidR="007E6472">
        <w:rPr>
          <w:rFonts w:ascii="Arial" w:hAnsi="Arial" w:cs="Arial"/>
          <w:color w:val="222222"/>
          <w:szCs w:val="24"/>
          <w:shd w:val="clear" w:color="auto" w:fill="FFFFFF"/>
        </w:rPr>
        <w:t>PL</w:t>
      </w:r>
      <w:r w:rsidRPr="005E569E">
        <w:rPr>
          <w:rFonts w:ascii="Arial" w:hAnsi="Arial" w:cs="Arial"/>
          <w:color w:val="222222"/>
          <w:szCs w:val="24"/>
          <w:shd w:val="clear" w:color="auto" w:fill="FFFFFF"/>
        </w:rPr>
        <w:t xml:space="preserve">HIV and </w:t>
      </w:r>
      <w:r w:rsidR="007E6472">
        <w:rPr>
          <w:rFonts w:ascii="Arial" w:hAnsi="Arial" w:cs="Arial"/>
          <w:color w:val="222222"/>
          <w:szCs w:val="24"/>
          <w:shd w:val="clear" w:color="auto" w:fill="FFFFFF"/>
        </w:rPr>
        <w:t>people</w:t>
      </w:r>
      <w:r w:rsidRPr="005E569E">
        <w:rPr>
          <w:rFonts w:ascii="Arial" w:hAnsi="Arial" w:cs="Arial"/>
          <w:color w:val="222222"/>
          <w:szCs w:val="24"/>
          <w:shd w:val="clear" w:color="auto" w:fill="FFFFFF"/>
        </w:rPr>
        <w:t xml:space="preserve"> with </w:t>
      </w:r>
      <w:r w:rsidR="007E6472">
        <w:rPr>
          <w:rFonts w:ascii="Arial" w:hAnsi="Arial" w:cs="Arial"/>
          <w:color w:val="222222"/>
          <w:szCs w:val="24"/>
          <w:shd w:val="clear" w:color="auto" w:fill="FFFFFF"/>
        </w:rPr>
        <w:t>TB</w:t>
      </w:r>
      <w:r w:rsidRPr="005E569E">
        <w:rPr>
          <w:rFonts w:ascii="Arial" w:hAnsi="Arial" w:cs="Arial"/>
          <w:color w:val="222222"/>
          <w:szCs w:val="24"/>
          <w:shd w:val="clear" w:color="auto" w:fill="FFFFFF"/>
        </w:rPr>
        <w:t xml:space="preserve">, as well as representatives of </w:t>
      </w:r>
      <w:r w:rsidR="007E6472">
        <w:rPr>
          <w:rFonts w:ascii="Arial" w:hAnsi="Arial" w:cs="Arial"/>
          <w:color w:val="222222"/>
          <w:szCs w:val="24"/>
          <w:shd w:val="clear" w:color="auto" w:fill="FFFFFF"/>
        </w:rPr>
        <w:t>KPs</w:t>
      </w:r>
      <w:r w:rsidRPr="005E569E">
        <w:rPr>
          <w:rFonts w:ascii="Arial" w:hAnsi="Arial" w:cs="Arial"/>
          <w:color w:val="222222"/>
          <w:szCs w:val="24"/>
          <w:shd w:val="clear" w:color="auto" w:fill="FFFFFF"/>
        </w:rPr>
        <w:t xml:space="preserve">, will </w:t>
      </w:r>
      <w:proofErr w:type="gramStart"/>
      <w:r w:rsidRPr="005E569E">
        <w:rPr>
          <w:rFonts w:ascii="Arial" w:hAnsi="Arial" w:cs="Arial"/>
          <w:color w:val="222222"/>
          <w:szCs w:val="24"/>
          <w:shd w:val="clear" w:color="auto" w:fill="FFFFFF"/>
        </w:rPr>
        <w:t>be tied</w:t>
      </w:r>
      <w:proofErr w:type="gramEnd"/>
      <w:r w:rsidRPr="005E569E">
        <w:rPr>
          <w:rFonts w:ascii="Arial" w:hAnsi="Arial" w:cs="Arial"/>
          <w:color w:val="222222"/>
          <w:szCs w:val="24"/>
          <w:shd w:val="clear" w:color="auto" w:fill="FFFFFF"/>
        </w:rPr>
        <w:t xml:space="preserve"> to their achievement of personal targets, as well as organizational goals, which eventually will ensure the performance of the declared country indicators.</w:t>
      </w:r>
    </w:p>
    <w:p w14:paraId="20EA2674" w14:textId="77777777" w:rsidR="00F40BA5" w:rsidRDefault="00F40BA5" w:rsidP="0026062D">
      <w:pPr>
        <w:widowControl w:val="0"/>
        <w:spacing w:after="200" w:line="240" w:lineRule="auto"/>
        <w:rPr>
          <w:i/>
          <w:iCs/>
          <w:sz w:val="20"/>
          <w:szCs w:val="18"/>
          <w:lang w:val="en-GB"/>
        </w:rPr>
      </w:pPr>
      <w:r>
        <w:rPr>
          <w:i/>
          <w:iCs/>
          <w:sz w:val="20"/>
          <w:szCs w:val="18"/>
        </w:rPr>
        <w:br w:type="page"/>
      </w:r>
    </w:p>
    <w:p w14:paraId="6B9E4603" w14:textId="35BC80A1" w:rsidR="00C8692C" w:rsidRPr="00D33685" w:rsidRDefault="00C8692C" w:rsidP="0026062D">
      <w:pPr>
        <w:widowControl w:val="0"/>
        <w:spacing w:after="0" w:line="240" w:lineRule="auto"/>
        <w:rPr>
          <w:rFonts w:ascii="Arial" w:hAnsi="Arial" w:cs="Arial"/>
          <w:color w:val="000000" w:themeColor="text1"/>
        </w:rPr>
        <w:sectPr w:rsidR="00C8692C" w:rsidRPr="00D33685" w:rsidSect="00BC09CD">
          <w:pgSz w:w="16838" w:h="11906" w:orient="landscape" w:code="9"/>
          <w:pgMar w:top="851" w:right="851" w:bottom="1871" w:left="851" w:header="288" w:footer="288" w:gutter="0"/>
          <w:cols w:space="708"/>
          <w:titlePg/>
          <w:docGrid w:linePitch="360"/>
        </w:sectPr>
      </w:pPr>
    </w:p>
    <w:p w14:paraId="7E80A99A" w14:textId="13EB0D35" w:rsidR="00C74C44" w:rsidRDefault="007B700A" w:rsidP="0026062D">
      <w:pPr>
        <w:pStyle w:val="BodyText"/>
        <w:widowControl w:val="0"/>
        <w:numPr>
          <w:ilvl w:val="1"/>
          <w:numId w:val="22"/>
        </w:numPr>
        <w:spacing w:line="240" w:lineRule="auto"/>
        <w:jc w:val="both"/>
        <w:rPr>
          <w:color w:val="000000" w:themeColor="text1"/>
        </w:rPr>
      </w:pPr>
      <w:r>
        <w:rPr>
          <w:b/>
          <w:bCs/>
          <w:color w:val="000000" w:themeColor="text1"/>
        </w:rPr>
        <w:lastRenderedPageBreak/>
        <w:t>Rationale</w:t>
      </w:r>
      <w:r w:rsidR="00C74C44" w:rsidRPr="0023775F">
        <w:rPr>
          <w:b/>
          <w:bCs/>
          <w:color w:val="000000" w:themeColor="text1"/>
        </w:rPr>
        <w:t xml:space="preserve">: </w:t>
      </w:r>
      <w:r w:rsidR="00C74C44" w:rsidRPr="00FF6127">
        <w:rPr>
          <w:color w:val="000000" w:themeColor="text1"/>
        </w:rPr>
        <w:t>Provide a short summary of the relevant epidemiological context and</w:t>
      </w:r>
      <w:r w:rsidR="00C74C44" w:rsidRPr="00367409">
        <w:rPr>
          <w:color w:val="000000" w:themeColor="text1"/>
        </w:rPr>
        <w:t xml:space="preserve"> trends, </w:t>
      </w:r>
      <w:r w:rsidR="00C74C44">
        <w:rPr>
          <w:color w:val="000000" w:themeColor="text1"/>
        </w:rPr>
        <w:t xml:space="preserve">health </w:t>
      </w:r>
      <w:r w:rsidR="00C74C44" w:rsidRPr="00B57B62">
        <w:rPr>
          <w:color w:val="000000" w:themeColor="text1"/>
        </w:rPr>
        <w:t>systems</w:t>
      </w:r>
      <w:r w:rsidR="00C74C44" w:rsidRPr="0090480D">
        <w:rPr>
          <w:color w:val="000000" w:themeColor="text1"/>
        </w:rPr>
        <w:t>,</w:t>
      </w:r>
      <w:r w:rsidR="00C74C44" w:rsidRPr="00B57B62">
        <w:rPr>
          <w:color w:val="000000" w:themeColor="text1"/>
        </w:rPr>
        <w:t xml:space="preserve"> and community needs</w:t>
      </w:r>
      <w:r w:rsidR="00C74C44" w:rsidRPr="68E99E54">
        <w:rPr>
          <w:color w:val="000000" w:themeColor="text1"/>
        </w:rPr>
        <w:t xml:space="preserve"> that justifies the </w:t>
      </w:r>
      <w:r w:rsidR="00710A61" w:rsidRPr="68E99E54">
        <w:rPr>
          <w:color w:val="000000" w:themeColor="text1"/>
        </w:rPr>
        <w:t xml:space="preserve">above </w:t>
      </w:r>
      <w:r w:rsidR="00C74C44" w:rsidRPr="68E99E54">
        <w:rPr>
          <w:color w:val="000000" w:themeColor="text1"/>
        </w:rPr>
        <w:t>request</w:t>
      </w:r>
      <w:r w:rsidR="00C74C44">
        <w:rPr>
          <w:color w:val="000000" w:themeColor="text1"/>
        </w:rPr>
        <w:t>.</w:t>
      </w:r>
    </w:p>
    <w:p w14:paraId="6815BB10" w14:textId="77777777" w:rsidR="005525AC" w:rsidRPr="00E769B9" w:rsidRDefault="005525AC" w:rsidP="005525AC">
      <w:pPr>
        <w:pStyle w:val="BodyText"/>
        <w:widowControl w:val="0"/>
        <w:spacing w:line="240" w:lineRule="auto"/>
        <w:jc w:val="both"/>
        <w:rPr>
          <w:b/>
          <w:bCs/>
          <w:color w:val="000000" w:themeColor="text1"/>
          <w:lang w:val="en-US"/>
        </w:rPr>
      </w:pPr>
      <w:r>
        <w:rPr>
          <w:b/>
          <w:bCs/>
          <w:color w:val="000000" w:themeColor="text1"/>
          <w:lang w:val="en"/>
        </w:rPr>
        <w:t>HIV</w:t>
      </w:r>
    </w:p>
    <w:p w14:paraId="44E2CE98" w14:textId="77777777" w:rsidR="00C3155E" w:rsidRPr="00C3155E" w:rsidRDefault="00C3155E" w:rsidP="00C3155E">
      <w:pPr>
        <w:tabs>
          <w:tab w:val="left" w:pos="9639"/>
          <w:tab w:val="left" w:pos="10773"/>
        </w:tabs>
        <w:jc w:val="both"/>
        <w:rPr>
          <w:sz w:val="24"/>
          <w:szCs w:val="24"/>
          <w:lang w:val="en"/>
        </w:rPr>
      </w:pPr>
      <w:r w:rsidRPr="00C3155E">
        <w:rPr>
          <w:sz w:val="24"/>
          <w:szCs w:val="24"/>
          <w:lang w:val="en"/>
        </w:rPr>
        <w:t>Eastern Europe &amp; Central Asia, where the Kyrgyz Republic is situated, has the fastest growing HIV epidemic in the world with an estimated 160,000 (130,000-180,000) new HIV infections in 2021 coupled with an increase in the number of AIDS-related deaths since 2010.</w:t>
      </w:r>
      <w:r w:rsidRPr="00C3155E">
        <w:rPr>
          <w:rStyle w:val="FootnoteReference"/>
          <w:sz w:val="24"/>
          <w:szCs w:val="24"/>
          <w:lang w:val="en"/>
        </w:rPr>
        <w:footnoteReference w:id="37"/>
      </w:r>
      <w:r w:rsidRPr="00C3155E">
        <w:rPr>
          <w:sz w:val="24"/>
          <w:szCs w:val="24"/>
          <w:lang w:val="en"/>
        </w:rPr>
        <w:t xml:space="preserve"> </w:t>
      </w:r>
    </w:p>
    <w:p w14:paraId="7DF479A5" w14:textId="263099C2" w:rsidR="005525AC" w:rsidRPr="00C3155E" w:rsidRDefault="00C3155E" w:rsidP="00C3155E">
      <w:pPr>
        <w:widowControl w:val="0"/>
        <w:spacing w:line="240" w:lineRule="auto"/>
        <w:jc w:val="both"/>
        <w:rPr>
          <w:sz w:val="24"/>
          <w:szCs w:val="24"/>
        </w:rPr>
      </w:pPr>
      <w:r w:rsidRPr="00C3155E">
        <w:rPr>
          <w:sz w:val="24"/>
          <w:szCs w:val="24"/>
          <w:lang w:val="en"/>
        </w:rPr>
        <w:t xml:space="preserve">In the Kyrgyz Republic, new HIV infections have remained steady or slightly decreased over the decade with the number of PLHIV increasing from 5,300 (4,900-5,900) in 2010 to 10,000 (9,300-11,000) in 2021. While progress has been made in program coverage and performance, key ‘epidemic transition metrics’ </w:t>
      </w:r>
      <w:r w:rsidR="007D5449" w:rsidRPr="003D28CC">
        <w:rPr>
          <w:lang w:val="en"/>
        </w:rPr>
        <w:t>(2021)</w:t>
      </w:r>
      <w:r w:rsidR="007D5449">
        <w:rPr>
          <w:rStyle w:val="FootnoteReference"/>
          <w:sz w:val="20"/>
          <w:lang w:val="en"/>
        </w:rPr>
        <w:footnoteReference w:id="38"/>
      </w:r>
      <w:r w:rsidR="007D5449">
        <w:rPr>
          <w:lang w:val="en"/>
        </w:rPr>
        <w:t xml:space="preserve"> </w:t>
      </w:r>
      <w:r w:rsidRPr="00C3155E">
        <w:rPr>
          <w:sz w:val="24"/>
          <w:szCs w:val="24"/>
          <w:lang w:val="en"/>
        </w:rPr>
        <w:t>indicate stagnation</w:t>
      </w:r>
      <w:r w:rsidR="007D5449">
        <w:rPr>
          <w:sz w:val="24"/>
          <w:szCs w:val="24"/>
          <w:lang w:val="en"/>
        </w:rPr>
        <w:t>:</w:t>
      </w:r>
    </w:p>
    <w:p w14:paraId="3985BD61" w14:textId="77777777" w:rsidR="005525AC" w:rsidRDefault="005525AC" w:rsidP="005525AC">
      <w:pPr>
        <w:widowControl w:val="0"/>
        <w:tabs>
          <w:tab w:val="left" w:pos="9639"/>
          <w:tab w:val="left" w:pos="10773"/>
        </w:tabs>
        <w:spacing w:line="240" w:lineRule="auto"/>
        <w:jc w:val="both"/>
        <w:rPr>
          <w:sz w:val="20"/>
          <w:lang w:val="en"/>
        </w:rPr>
      </w:pPr>
      <w:r w:rsidRPr="00932419">
        <w:rPr>
          <w:noProof/>
          <w:sz w:val="20"/>
          <w:lang w:val="ru-RU" w:eastAsia="ru-RU"/>
        </w:rPr>
        <w:drawing>
          <wp:inline distT="0" distB="0" distL="0" distR="0" wp14:anchorId="4F6F31D3" wp14:editId="77D75488">
            <wp:extent cx="2622433" cy="1393811"/>
            <wp:effectExtent l="25400" t="25400" r="19685" b="292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2162" name=""/>
                    <pic:cNvPicPr/>
                  </pic:nvPicPr>
                  <pic:blipFill>
                    <a:blip r:embed="rId27"/>
                    <a:stretch>
                      <a:fillRect/>
                    </a:stretch>
                  </pic:blipFill>
                  <pic:spPr>
                    <a:xfrm>
                      <a:off x="0" y="0"/>
                      <a:ext cx="2745104" cy="1459010"/>
                    </a:xfrm>
                    <a:prstGeom prst="rect">
                      <a:avLst/>
                    </a:prstGeom>
                    <a:ln w="15875">
                      <a:solidFill>
                        <a:schemeClr val="accent1"/>
                      </a:solidFill>
                    </a:ln>
                  </pic:spPr>
                </pic:pic>
              </a:graphicData>
            </a:graphic>
          </wp:inline>
        </w:drawing>
      </w:r>
    </w:p>
    <w:p w14:paraId="5ABF10F2" w14:textId="747F16CE" w:rsidR="005525AC" w:rsidRPr="00BA069A" w:rsidRDefault="005525AC" w:rsidP="005525AC">
      <w:pPr>
        <w:widowControl w:val="0"/>
        <w:spacing w:line="240" w:lineRule="auto"/>
        <w:jc w:val="both"/>
        <w:rPr>
          <w:sz w:val="24"/>
          <w:szCs w:val="24"/>
        </w:rPr>
      </w:pPr>
      <w:r w:rsidRPr="00BA069A">
        <w:rPr>
          <w:sz w:val="24"/>
          <w:szCs w:val="24"/>
          <w:lang w:val="en"/>
        </w:rPr>
        <w:t xml:space="preserve">Diagnosis of HIV infection is carried out on the basis of orders, instructions, and clinical protocols approved by the </w:t>
      </w:r>
      <w:r w:rsidR="007D5449" w:rsidRPr="00BA069A">
        <w:rPr>
          <w:sz w:val="24"/>
          <w:szCs w:val="24"/>
          <w:lang w:val="en"/>
        </w:rPr>
        <w:t>MoH</w:t>
      </w:r>
      <w:r w:rsidRPr="00BA069A">
        <w:rPr>
          <w:sz w:val="24"/>
          <w:szCs w:val="24"/>
          <w:lang w:val="en"/>
        </w:rPr>
        <w:t xml:space="preserve">. The country has a simplified algorithm for HIV testing (without the use of the immune blotting method), </w:t>
      </w:r>
      <w:r w:rsidR="005B1BD5">
        <w:rPr>
          <w:sz w:val="24"/>
          <w:szCs w:val="24"/>
          <w:lang w:val="en"/>
        </w:rPr>
        <w:t>In line with</w:t>
      </w:r>
      <w:r w:rsidRPr="00BA069A">
        <w:rPr>
          <w:sz w:val="24"/>
          <w:szCs w:val="24"/>
          <w:lang w:val="en"/>
        </w:rPr>
        <w:t xml:space="preserve"> WHO recommendations.</w:t>
      </w:r>
    </w:p>
    <w:p w14:paraId="6EFA0487" w14:textId="0CFB6C16" w:rsidR="005525AC" w:rsidRPr="00BA069A" w:rsidRDefault="005525AC" w:rsidP="005525AC">
      <w:pPr>
        <w:widowControl w:val="0"/>
        <w:spacing w:line="240" w:lineRule="auto"/>
        <w:jc w:val="both"/>
        <w:rPr>
          <w:sz w:val="24"/>
          <w:szCs w:val="24"/>
        </w:rPr>
      </w:pPr>
      <w:r w:rsidRPr="00BA069A">
        <w:rPr>
          <w:sz w:val="24"/>
          <w:szCs w:val="24"/>
          <w:lang w:val="en"/>
        </w:rPr>
        <w:t xml:space="preserve">In 2020, due to the COVID-19 pandemic, HIV testing levels </w:t>
      </w:r>
      <w:r w:rsidR="00ED7071" w:rsidRPr="00BA069A">
        <w:rPr>
          <w:sz w:val="24"/>
          <w:szCs w:val="24"/>
          <w:lang w:val="en"/>
        </w:rPr>
        <w:t>dropped</w:t>
      </w:r>
      <w:r w:rsidRPr="00BA069A">
        <w:rPr>
          <w:sz w:val="24"/>
          <w:szCs w:val="24"/>
          <w:lang w:val="en"/>
        </w:rPr>
        <w:t xml:space="preserve"> down </w:t>
      </w:r>
      <w:r w:rsidR="00ED7071" w:rsidRPr="00BA069A">
        <w:rPr>
          <w:sz w:val="24"/>
          <w:szCs w:val="24"/>
          <w:lang w:val="en"/>
        </w:rPr>
        <w:t xml:space="preserve">by </w:t>
      </w:r>
      <w:r w:rsidRPr="00BA069A">
        <w:rPr>
          <w:sz w:val="24"/>
          <w:szCs w:val="24"/>
          <w:lang w:val="en"/>
        </w:rPr>
        <w:t xml:space="preserve">12% </w:t>
      </w:r>
      <w:r w:rsidR="00ED7071" w:rsidRPr="00BA069A">
        <w:rPr>
          <w:sz w:val="24"/>
          <w:szCs w:val="24"/>
          <w:lang w:val="en"/>
        </w:rPr>
        <w:t>compared</w:t>
      </w:r>
      <w:r w:rsidRPr="00BA069A">
        <w:rPr>
          <w:sz w:val="24"/>
          <w:szCs w:val="24"/>
          <w:lang w:val="en"/>
        </w:rPr>
        <w:t xml:space="preserve"> to 2019. However, in 2021 and 2022, the country was able to increase testing levels, resulting in an increase in detected cases (2020 </w:t>
      </w:r>
      <w:r w:rsidR="00C3155E" w:rsidRPr="00BA069A">
        <w:rPr>
          <w:sz w:val="24"/>
          <w:szCs w:val="24"/>
          <w:lang w:val="en"/>
        </w:rPr>
        <w:t>–</w:t>
      </w:r>
      <w:r w:rsidRPr="00BA069A">
        <w:rPr>
          <w:sz w:val="24"/>
          <w:szCs w:val="24"/>
          <w:lang w:val="en"/>
        </w:rPr>
        <w:t xml:space="preserve"> 665, 2021 </w:t>
      </w:r>
      <w:r w:rsidR="00C3155E" w:rsidRPr="00BA069A">
        <w:rPr>
          <w:sz w:val="24"/>
          <w:szCs w:val="24"/>
          <w:lang w:val="en"/>
        </w:rPr>
        <w:t>–</w:t>
      </w:r>
      <w:r w:rsidRPr="00BA069A">
        <w:rPr>
          <w:sz w:val="24"/>
          <w:szCs w:val="24"/>
          <w:lang w:val="en"/>
        </w:rPr>
        <w:t xml:space="preserve"> 835, 2022 </w:t>
      </w:r>
      <w:r w:rsidR="00C3155E" w:rsidRPr="00BA069A">
        <w:rPr>
          <w:sz w:val="24"/>
          <w:szCs w:val="24"/>
          <w:lang w:val="en"/>
        </w:rPr>
        <w:t>–</w:t>
      </w:r>
      <w:r w:rsidRPr="00BA069A">
        <w:rPr>
          <w:sz w:val="24"/>
          <w:szCs w:val="24"/>
          <w:lang w:val="en"/>
        </w:rPr>
        <w:t xml:space="preserve"> 1,098 cases). In 2022, over 663,000 ELISA tests and over rapid 60,000 tests were conducted (mainly among KPs, clients of mobile sites, and patients with clinical indications). Self-testing services have been implemented since 2021, with more than 1,700 individuals examined in 2022.</w:t>
      </w:r>
    </w:p>
    <w:p w14:paraId="088CAF79" w14:textId="3ADF9834" w:rsidR="005525AC" w:rsidRPr="00BA069A" w:rsidRDefault="005525AC" w:rsidP="005525AC">
      <w:pPr>
        <w:widowControl w:val="0"/>
        <w:spacing w:line="240" w:lineRule="auto"/>
        <w:jc w:val="both"/>
        <w:rPr>
          <w:sz w:val="24"/>
          <w:szCs w:val="24"/>
        </w:rPr>
      </w:pPr>
      <w:r w:rsidRPr="00BA069A">
        <w:rPr>
          <w:sz w:val="24"/>
          <w:szCs w:val="24"/>
          <w:lang w:val="en"/>
        </w:rPr>
        <w:t>HIV testing services are available at all levels of care, as well as in the penitentiary system, community-based organizations, and mobile outlets. There are 34 laboratories that provide HIV diagnosis by enzyme immunoassay (ELISA) and more than 230 sites that conduct rapid HIV testing, including 23 NGO-based sites.</w:t>
      </w:r>
    </w:p>
    <w:p w14:paraId="59D61292" w14:textId="64B5071D" w:rsidR="00BA069A" w:rsidRPr="00BA069A" w:rsidRDefault="00BA069A" w:rsidP="00BA069A">
      <w:pPr>
        <w:pStyle w:val="Default"/>
        <w:widowControl w:val="0"/>
        <w:tabs>
          <w:tab w:val="left" w:pos="9639"/>
          <w:tab w:val="left" w:pos="10773"/>
        </w:tabs>
        <w:spacing w:after="120"/>
        <w:jc w:val="both"/>
        <w:rPr>
          <w:lang w:val="en"/>
        </w:rPr>
      </w:pPr>
      <w:r w:rsidRPr="00BA069A">
        <w:rPr>
          <w:lang w:val="en"/>
        </w:rPr>
        <w:t>The number of officially reported cases of HIV infection in the country has increased 1.5 times in the last 5 years, from 7,948 at the beginning of 2018 to 1,231 at the end of 2022, of which 3,089 died of various causes.</w:t>
      </w:r>
      <w:r w:rsidRPr="00BA069A">
        <w:rPr>
          <w:vertAlign w:val="superscript"/>
          <w:lang w:val="ru"/>
        </w:rPr>
        <w:footnoteReference w:id="39"/>
      </w:r>
      <w:r w:rsidRPr="00BA069A">
        <w:rPr>
          <w:lang w:val="en"/>
        </w:rPr>
        <w:t xml:space="preserve"> The estimated number of </w:t>
      </w:r>
      <w:r>
        <w:rPr>
          <w:lang w:val="en"/>
        </w:rPr>
        <w:t>PL</w:t>
      </w:r>
      <w:r w:rsidRPr="00BA069A">
        <w:rPr>
          <w:lang w:val="en"/>
        </w:rPr>
        <w:t>HIV is 10,000</w:t>
      </w:r>
      <w:r w:rsidRPr="00BA069A">
        <w:rPr>
          <w:vertAlign w:val="superscript"/>
          <w:lang w:val="ru"/>
        </w:rPr>
        <w:footnoteReference w:id="40"/>
      </w:r>
      <w:r>
        <w:rPr>
          <w:lang w:val="en"/>
        </w:rPr>
        <w:t xml:space="preserve"> </w:t>
      </w:r>
      <w:r w:rsidRPr="00BA069A">
        <w:rPr>
          <w:lang w:val="en"/>
        </w:rPr>
        <w:t>and the prevalence of HIV was 1.7 per 1,000 people as of December 31, 2022</w:t>
      </w:r>
      <w:r w:rsidRPr="00BA069A">
        <w:rPr>
          <w:vertAlign w:val="superscript"/>
          <w:lang w:val="ru"/>
        </w:rPr>
        <w:footnoteReference w:id="41"/>
      </w:r>
      <w:r w:rsidRPr="00BA069A">
        <w:rPr>
          <w:lang w:val="en"/>
        </w:rPr>
        <w:t>.</w:t>
      </w:r>
    </w:p>
    <w:p w14:paraId="18347553" w14:textId="344F0156" w:rsidR="005525AC" w:rsidRPr="00BA069A" w:rsidRDefault="00BA069A" w:rsidP="005525AC">
      <w:pPr>
        <w:pStyle w:val="Default"/>
        <w:widowControl w:val="0"/>
        <w:tabs>
          <w:tab w:val="left" w:pos="9639"/>
          <w:tab w:val="left" w:pos="10773"/>
        </w:tabs>
        <w:ind w:right="-2"/>
        <w:jc w:val="both"/>
        <w:rPr>
          <w:rFonts w:asciiTheme="minorHAnsi" w:hAnsiTheme="minorHAnsi" w:cstheme="minorHAnsi"/>
          <w:lang w:val="en-US"/>
        </w:rPr>
      </w:pPr>
      <w:r>
        <w:rPr>
          <w:rFonts w:asciiTheme="minorHAnsi" w:hAnsiTheme="minorHAnsi" w:cstheme="minorHAnsi"/>
          <w:lang w:val="en"/>
        </w:rPr>
        <w:t>Out of 10,000 of PLHIV</w:t>
      </w:r>
      <w:r w:rsidR="005525AC" w:rsidRPr="00BA069A">
        <w:rPr>
          <w:rFonts w:asciiTheme="minorHAnsi" w:hAnsiTheme="minorHAnsi" w:cstheme="minorHAnsi"/>
          <w:lang w:val="en"/>
        </w:rPr>
        <w:t xml:space="preserve">, 83% (76% in 2019) were diagnosed, 69% of those diagnosed were on ART (63% in 2019), and 90% of PLHIV on treatment had viral suppression (80% in 2019). </w:t>
      </w:r>
      <w:r w:rsidR="005525AC" w:rsidRPr="00BA069A">
        <w:rPr>
          <w:rFonts w:asciiTheme="minorHAnsi" w:hAnsiTheme="minorHAnsi" w:cstheme="minorHAnsi"/>
          <w:vertAlign w:val="superscript"/>
          <w:lang w:val="ru-RU"/>
        </w:rPr>
        <w:footnoteReference w:id="42"/>
      </w:r>
      <w:r w:rsidR="005525AC" w:rsidRPr="00BA069A">
        <w:rPr>
          <w:rFonts w:asciiTheme="minorHAnsi" w:hAnsiTheme="minorHAnsi" w:cstheme="minorHAnsi"/>
          <w:lang w:val="en"/>
        </w:rPr>
        <w:t>This progress, while insufficient, was made possible by a set of measures to improve treatment coverage and adherence to HIV treatment.</w:t>
      </w:r>
    </w:p>
    <w:p w14:paraId="2F85A5C1" w14:textId="77777777" w:rsidR="005525AC" w:rsidRDefault="005525AC" w:rsidP="005525AC">
      <w:pPr>
        <w:widowControl w:val="0"/>
        <w:tabs>
          <w:tab w:val="left" w:pos="9639"/>
          <w:tab w:val="left" w:pos="10773"/>
        </w:tabs>
        <w:spacing w:line="240" w:lineRule="auto"/>
        <w:jc w:val="both"/>
        <w:rPr>
          <w:sz w:val="20"/>
        </w:rPr>
      </w:pPr>
      <w:r w:rsidRPr="004F4345">
        <w:rPr>
          <w:noProof/>
          <w:sz w:val="20"/>
          <w:lang w:val="ru-RU" w:eastAsia="ru-RU"/>
        </w:rPr>
        <w:lastRenderedPageBreak/>
        <w:drawing>
          <wp:inline distT="0" distB="0" distL="0" distR="0" wp14:anchorId="1AD2D4D4" wp14:editId="253B8064">
            <wp:extent cx="5621020" cy="16774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12869" name=""/>
                    <pic:cNvPicPr/>
                  </pic:nvPicPr>
                  <pic:blipFill>
                    <a:blip r:embed="rId28"/>
                    <a:stretch>
                      <a:fillRect/>
                    </a:stretch>
                  </pic:blipFill>
                  <pic:spPr>
                    <a:xfrm>
                      <a:off x="0" y="0"/>
                      <a:ext cx="5709684" cy="1703948"/>
                    </a:xfrm>
                    <a:prstGeom prst="rect">
                      <a:avLst/>
                    </a:prstGeom>
                  </pic:spPr>
                </pic:pic>
              </a:graphicData>
            </a:graphic>
          </wp:inline>
        </w:drawing>
      </w:r>
    </w:p>
    <w:p w14:paraId="3F8CE0A5" w14:textId="17F2980C" w:rsidR="005525AC" w:rsidRPr="00F26CD7" w:rsidRDefault="00F26CD7" w:rsidP="005525AC">
      <w:pPr>
        <w:widowControl w:val="0"/>
        <w:spacing w:line="240" w:lineRule="auto"/>
        <w:jc w:val="both"/>
        <w:rPr>
          <w:sz w:val="24"/>
          <w:szCs w:val="24"/>
        </w:rPr>
      </w:pPr>
      <w:r w:rsidRPr="00F26CD7">
        <w:rPr>
          <w:sz w:val="24"/>
          <w:szCs w:val="24"/>
          <w:lang w:val="en"/>
        </w:rPr>
        <w:t>The Kyrgyz Republic is classified as a concentrated HIV/AIDS epidemic with a disproportionate burden of the epidemic in key populations, including people who inject drugs (PWID) and men who have sex with men (MSM). A recent population-based bio-behavioral survey (BBS) estimated that HIV prevalence among PWID ranged, by location to be 13.3-25.9% and 10.7% (5.3-16.2%) among MSM in Bishkek, the largest city in the country.</w:t>
      </w:r>
      <w:r w:rsidRPr="00F26CD7">
        <w:rPr>
          <w:rStyle w:val="FootnoteReference"/>
          <w:sz w:val="24"/>
          <w:szCs w:val="24"/>
          <w:lang w:val="en"/>
        </w:rPr>
        <w:footnoteReference w:id="43"/>
      </w:r>
      <w:r w:rsidRPr="00F26CD7">
        <w:rPr>
          <w:sz w:val="24"/>
          <w:szCs w:val="24"/>
          <w:lang w:val="en"/>
        </w:rPr>
        <w:t xml:space="preserve"> These surveys also identified key area of programmatic need within the ’95 95 95’ global HIV treatment cascades targets (see Graphic B and Graphic C below) that highlight key differences in service availability and uptake for these populations that are at increased risk for HIV. Viral hepatitis C (HCV) is a key co-infection with an estimated 67% of PWID previously infected (as determined by the presence of anti-HCV) and 39% currently infected with HCV (as determined by the presence of HCV RNA).</w:t>
      </w:r>
      <w:r w:rsidRPr="00F26CD7">
        <w:rPr>
          <w:rStyle w:val="FootnoteReference"/>
          <w:sz w:val="24"/>
          <w:szCs w:val="24"/>
          <w:lang w:val="en"/>
        </w:rPr>
        <w:footnoteReference w:id="44"/>
      </w:r>
    </w:p>
    <w:p w14:paraId="1616AC09" w14:textId="77777777" w:rsidR="00765312" w:rsidRDefault="00765312" w:rsidP="005525AC">
      <w:pPr>
        <w:widowControl w:val="0"/>
        <w:tabs>
          <w:tab w:val="left" w:pos="9639"/>
          <w:tab w:val="left" w:pos="10773"/>
        </w:tabs>
        <w:spacing w:line="240" w:lineRule="auto"/>
        <w:jc w:val="both"/>
        <w:rPr>
          <w:sz w:val="20"/>
          <w:lang w:val="en"/>
        </w:rPr>
        <w:sectPr w:rsidR="00765312" w:rsidSect="007E2465">
          <w:headerReference w:type="default" r:id="rId29"/>
          <w:footerReference w:type="default" r:id="rId30"/>
          <w:pgSz w:w="11906" w:h="16838" w:code="9"/>
          <w:pgMar w:top="851" w:right="851" w:bottom="1871" w:left="851" w:header="288" w:footer="288" w:gutter="0"/>
          <w:cols w:space="708"/>
          <w:docGrid w:linePitch="360"/>
        </w:sectPr>
      </w:pPr>
    </w:p>
    <w:p w14:paraId="1A92EDCA" w14:textId="73DD9128" w:rsidR="005525AC" w:rsidRPr="00765312" w:rsidRDefault="005525AC" w:rsidP="005525AC">
      <w:pPr>
        <w:widowControl w:val="0"/>
        <w:tabs>
          <w:tab w:val="left" w:pos="9639"/>
          <w:tab w:val="left" w:pos="10773"/>
        </w:tabs>
        <w:spacing w:line="240" w:lineRule="auto"/>
        <w:jc w:val="both"/>
        <w:rPr>
          <w:sz w:val="20"/>
        </w:rPr>
      </w:pPr>
      <w:r w:rsidRPr="00765312">
        <w:rPr>
          <w:sz w:val="20"/>
          <w:lang w:val="en"/>
        </w:rPr>
        <w:t>HIV cascade of care among PWID in various regions of the Kyrgyz Republic (2021)</w:t>
      </w:r>
      <w:r w:rsidR="00765312">
        <w:rPr>
          <w:sz w:val="20"/>
          <w:lang w:val="en"/>
        </w:rPr>
        <w:t>:</w:t>
      </w:r>
    </w:p>
    <w:p w14:paraId="11B91BAD" w14:textId="77777777" w:rsidR="005525AC" w:rsidRDefault="005525AC" w:rsidP="005525AC">
      <w:pPr>
        <w:widowControl w:val="0"/>
        <w:spacing w:line="240" w:lineRule="auto"/>
        <w:jc w:val="both"/>
        <w:rPr>
          <w:b/>
          <w:bCs/>
          <w:sz w:val="20"/>
          <w:lang w:val="ru-RU"/>
        </w:rPr>
      </w:pPr>
      <w:r w:rsidRPr="00084FD4">
        <w:rPr>
          <w:noProof/>
          <w:sz w:val="20"/>
          <w:lang w:val="ru-RU" w:eastAsia="ru-RU"/>
        </w:rPr>
        <w:drawing>
          <wp:inline distT="0" distB="0" distL="0" distR="0" wp14:anchorId="76B938B8" wp14:editId="0175B11E">
            <wp:extent cx="3279532" cy="2032386"/>
            <wp:effectExtent l="25400" t="25400" r="22860"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11052" name=""/>
                    <pic:cNvPicPr/>
                  </pic:nvPicPr>
                  <pic:blipFill>
                    <a:blip r:embed="rId31"/>
                    <a:stretch>
                      <a:fillRect/>
                    </a:stretch>
                  </pic:blipFill>
                  <pic:spPr>
                    <a:xfrm>
                      <a:off x="0" y="0"/>
                      <a:ext cx="3369104" cy="2087896"/>
                    </a:xfrm>
                    <a:prstGeom prst="rect">
                      <a:avLst/>
                    </a:prstGeom>
                    <a:ln w="15875">
                      <a:solidFill>
                        <a:schemeClr val="accent1"/>
                      </a:solidFill>
                    </a:ln>
                  </pic:spPr>
                </pic:pic>
              </a:graphicData>
            </a:graphic>
          </wp:inline>
        </w:drawing>
      </w:r>
    </w:p>
    <w:p w14:paraId="056785A8" w14:textId="5D86F6E4" w:rsidR="005525AC" w:rsidRPr="008319F0" w:rsidRDefault="005525AC" w:rsidP="005525AC">
      <w:pPr>
        <w:widowControl w:val="0"/>
        <w:spacing w:line="240" w:lineRule="auto"/>
        <w:jc w:val="both"/>
        <w:rPr>
          <w:sz w:val="20"/>
        </w:rPr>
      </w:pPr>
      <w:r w:rsidRPr="008319F0">
        <w:rPr>
          <w:sz w:val="20"/>
          <w:lang w:val="en"/>
        </w:rPr>
        <w:t>HIV continuum of care among MSM in Bishkek, Kyrgyz Republic (2021)</w:t>
      </w:r>
    </w:p>
    <w:p w14:paraId="6F7F2E48" w14:textId="77777777" w:rsidR="005525AC" w:rsidRPr="009D38A4" w:rsidRDefault="005525AC" w:rsidP="005525AC">
      <w:pPr>
        <w:widowControl w:val="0"/>
        <w:spacing w:line="240" w:lineRule="auto"/>
        <w:jc w:val="both"/>
        <w:rPr>
          <w:lang w:val="ru"/>
        </w:rPr>
      </w:pPr>
      <w:r w:rsidRPr="00602EAA">
        <w:rPr>
          <w:noProof/>
          <w:sz w:val="20"/>
          <w:lang w:val="ru-RU" w:eastAsia="ru-RU"/>
        </w:rPr>
        <w:drawing>
          <wp:inline distT="0" distB="0" distL="0" distR="0" wp14:anchorId="38F364AE" wp14:editId="58BF3700">
            <wp:extent cx="3136376" cy="2024435"/>
            <wp:effectExtent l="25400" t="25400" r="26035"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19499" name=""/>
                    <pic:cNvPicPr/>
                  </pic:nvPicPr>
                  <pic:blipFill>
                    <a:blip r:embed="rId32"/>
                    <a:stretch>
                      <a:fillRect/>
                    </a:stretch>
                  </pic:blipFill>
                  <pic:spPr>
                    <a:xfrm>
                      <a:off x="0" y="0"/>
                      <a:ext cx="3161954" cy="2040945"/>
                    </a:xfrm>
                    <a:prstGeom prst="rect">
                      <a:avLst/>
                    </a:prstGeom>
                    <a:ln w="15875">
                      <a:solidFill>
                        <a:schemeClr val="accent1"/>
                      </a:solidFill>
                    </a:ln>
                  </pic:spPr>
                </pic:pic>
              </a:graphicData>
            </a:graphic>
          </wp:inline>
        </w:drawing>
      </w:r>
    </w:p>
    <w:p w14:paraId="7ED29C86" w14:textId="77777777" w:rsidR="00765312" w:rsidRDefault="00765312" w:rsidP="005525AC">
      <w:pPr>
        <w:jc w:val="both"/>
        <w:rPr>
          <w:szCs w:val="24"/>
          <w:lang w:val="en"/>
        </w:rPr>
        <w:sectPr w:rsidR="00765312" w:rsidSect="00765312">
          <w:type w:val="continuous"/>
          <w:pgSz w:w="11906" w:h="16838" w:code="9"/>
          <w:pgMar w:top="851" w:right="851" w:bottom="1871" w:left="851" w:header="288" w:footer="288" w:gutter="0"/>
          <w:cols w:num="2" w:space="708"/>
          <w:docGrid w:linePitch="360"/>
        </w:sectPr>
      </w:pPr>
    </w:p>
    <w:p w14:paraId="2EA9DDEC" w14:textId="77777777" w:rsidR="009750D5" w:rsidRDefault="009750D5" w:rsidP="005525AC">
      <w:pPr>
        <w:widowControl w:val="0"/>
        <w:tabs>
          <w:tab w:val="left" w:pos="3828"/>
          <w:tab w:val="left" w:pos="9639"/>
          <w:tab w:val="left" w:pos="10773"/>
        </w:tabs>
        <w:spacing w:line="240" w:lineRule="auto"/>
        <w:jc w:val="both"/>
        <w:rPr>
          <w:color w:val="0D0D0D" w:themeColor="text1" w:themeTint="F2"/>
          <w:sz w:val="20"/>
        </w:rPr>
        <w:sectPr w:rsidR="009750D5" w:rsidSect="00765312">
          <w:type w:val="continuous"/>
          <w:pgSz w:w="11906" w:h="16838" w:code="9"/>
          <w:pgMar w:top="851" w:right="851" w:bottom="1871" w:left="851" w:header="288" w:footer="288" w:gutter="0"/>
          <w:cols w:space="708"/>
          <w:docGrid w:linePitch="360"/>
        </w:sectPr>
      </w:pPr>
    </w:p>
    <w:p w14:paraId="58258A1F" w14:textId="721AE2A4" w:rsidR="008319F0" w:rsidRPr="003A6EBF" w:rsidRDefault="008319F0" w:rsidP="008319F0">
      <w:pPr>
        <w:jc w:val="both"/>
        <w:rPr>
          <w:sz w:val="24"/>
          <w:szCs w:val="24"/>
        </w:rPr>
      </w:pPr>
      <w:r w:rsidRPr="003A6EBF">
        <w:rPr>
          <w:sz w:val="24"/>
          <w:szCs w:val="24"/>
          <w:lang w:val="en"/>
        </w:rPr>
        <w:lastRenderedPageBreak/>
        <w:t>In the Kyrgyz Republic, there are approximately 16,900 MSM with varying geographic distributions. Estimates of the SW population were made a long time ago (2013 and 2016), due to absence of more actual data, 7,100 is taken as basis. Based on the program data of the UNDP, the coverage of preventive programs among KP is as follows: 85% - MSM, 70% - PWID, 65% - SWs. Over the past 5 years, the coverage of prevention programs among the PWID amounted to 17,379 (UNDP data) clients. Most likely, this coverage is as close as possible to the number of PWID living in the country. The average annual number of prisoners in the penitentiary system of Kyrgyzstan is about 6,000 people.</w:t>
      </w:r>
      <w:r w:rsidR="001C14E3">
        <w:rPr>
          <w:sz w:val="24"/>
          <w:szCs w:val="24"/>
          <w:lang w:val="en"/>
        </w:rPr>
        <w:t xml:space="preserve"> There is no official data on TG people</w:t>
      </w:r>
      <w:r w:rsidR="00C43872">
        <w:rPr>
          <w:sz w:val="24"/>
          <w:szCs w:val="24"/>
          <w:lang w:val="en"/>
        </w:rPr>
        <w:t xml:space="preserve"> (progr</w:t>
      </w:r>
      <w:r w:rsidR="000A19B2">
        <w:rPr>
          <w:sz w:val="24"/>
          <w:szCs w:val="24"/>
          <w:lang w:val="en"/>
        </w:rPr>
        <w:t>a</w:t>
      </w:r>
      <w:r w:rsidR="00C43872">
        <w:rPr>
          <w:sz w:val="24"/>
          <w:szCs w:val="24"/>
          <w:lang w:val="en"/>
        </w:rPr>
        <w:t>mmatic coverage is 250 people)</w:t>
      </w:r>
      <w:r w:rsidR="001C14E3">
        <w:rPr>
          <w:sz w:val="24"/>
          <w:szCs w:val="24"/>
          <w:lang w:val="en"/>
        </w:rPr>
        <w:t>.</w:t>
      </w:r>
    </w:p>
    <w:p w14:paraId="3330AF30" w14:textId="4624E175" w:rsidR="008319F0" w:rsidRPr="003A6EBF" w:rsidRDefault="008319F0" w:rsidP="008319F0">
      <w:pPr>
        <w:jc w:val="both"/>
        <w:rPr>
          <w:sz w:val="24"/>
          <w:szCs w:val="24"/>
        </w:rPr>
      </w:pPr>
      <w:r w:rsidRPr="003A6EBF">
        <w:rPr>
          <w:sz w:val="24"/>
          <w:szCs w:val="24"/>
          <w:lang w:val="en"/>
        </w:rPr>
        <w:t xml:space="preserve">In order to clarify the number of PWID, the </w:t>
      </w:r>
      <w:r w:rsidR="00AC7AD0">
        <w:rPr>
          <w:sz w:val="24"/>
          <w:szCs w:val="24"/>
          <w:lang w:val="en"/>
        </w:rPr>
        <w:t>RCCVHHIV</w:t>
      </w:r>
      <w:r w:rsidRPr="003A6EBF">
        <w:rPr>
          <w:sz w:val="24"/>
          <w:szCs w:val="24"/>
          <w:lang w:val="en"/>
        </w:rPr>
        <w:t>, together with the CDC and UNDP, have scheduled a repeat population estimate in 2024 with program indicators to be actualized accordingly.</w:t>
      </w:r>
    </w:p>
    <w:p w14:paraId="6DBD9BCD" w14:textId="77777777" w:rsidR="008319F0" w:rsidRPr="003A6EBF" w:rsidRDefault="008319F0" w:rsidP="008319F0">
      <w:pPr>
        <w:widowControl w:val="0"/>
        <w:spacing w:line="240" w:lineRule="auto"/>
        <w:jc w:val="both"/>
        <w:rPr>
          <w:sz w:val="24"/>
          <w:szCs w:val="24"/>
        </w:rPr>
      </w:pPr>
      <w:r w:rsidRPr="003A6EBF">
        <w:rPr>
          <w:sz w:val="24"/>
          <w:szCs w:val="24"/>
          <w:lang w:val="en"/>
        </w:rPr>
        <w:t>BBS among sex workers and migrants is also being completed in the country, which will also allow the program indicators to be adjusted during grant-making stage.</w:t>
      </w:r>
    </w:p>
    <w:p w14:paraId="1E0EFFBC" w14:textId="3AFD518E" w:rsidR="008319F0" w:rsidRPr="003A6EBF" w:rsidRDefault="008319F0" w:rsidP="008319F0">
      <w:pPr>
        <w:widowControl w:val="0"/>
        <w:spacing w:line="240" w:lineRule="auto"/>
        <w:jc w:val="both"/>
        <w:rPr>
          <w:sz w:val="24"/>
          <w:szCs w:val="24"/>
        </w:rPr>
      </w:pPr>
      <w:r w:rsidRPr="003A6EBF">
        <w:rPr>
          <w:sz w:val="24"/>
          <w:szCs w:val="24"/>
          <w:lang w:val="en"/>
        </w:rPr>
        <w:t>The proportion of HIV infections among women exceeds 40% in 2022. There is a steady trend in changing the ratio of the main HIV transmission routes, with the share of the sexual route increasing from 81% in 2018 to 90% in 2022, and the share of the injectable transmission route decreased from 19% in 2018 to 4% in 2022</w:t>
      </w:r>
      <w:r w:rsidRPr="003A6EBF">
        <w:rPr>
          <w:sz w:val="24"/>
          <w:szCs w:val="24"/>
          <w:vertAlign w:val="superscript"/>
          <w:lang w:val="ru"/>
        </w:rPr>
        <w:footnoteReference w:id="45"/>
      </w:r>
      <w:r w:rsidRPr="003A6EBF">
        <w:rPr>
          <w:sz w:val="24"/>
          <w:szCs w:val="24"/>
          <w:lang w:val="en"/>
        </w:rPr>
        <w:t xml:space="preserve">. There is also an increase in HIV cases among MSM, which accounts for up to 10% of the total number detected annually. However, more and more cases are registered among the population that does not belong to the </w:t>
      </w:r>
      <w:r w:rsidR="003A6EBF" w:rsidRPr="003A6EBF">
        <w:rPr>
          <w:sz w:val="24"/>
          <w:szCs w:val="24"/>
          <w:lang w:val="en"/>
        </w:rPr>
        <w:t>KPs</w:t>
      </w:r>
      <w:r w:rsidRPr="003A6EBF">
        <w:rPr>
          <w:sz w:val="24"/>
          <w:szCs w:val="24"/>
          <w:lang w:val="en"/>
        </w:rPr>
        <w:t>, which may indicate that the behavior of the KP has changed and the groups are becoming more closed, which means that new approaches are needed to work with KP.</w:t>
      </w:r>
    </w:p>
    <w:p w14:paraId="4075974E" w14:textId="77777777" w:rsidR="008319F0" w:rsidRPr="008319F0" w:rsidRDefault="008319F0" w:rsidP="008319F0">
      <w:pPr>
        <w:widowControl w:val="0"/>
        <w:tabs>
          <w:tab w:val="left" w:pos="9639"/>
          <w:tab w:val="left" w:pos="10773"/>
        </w:tabs>
        <w:spacing w:line="240" w:lineRule="auto"/>
        <w:jc w:val="both"/>
        <w:rPr>
          <w:b/>
          <w:bCs/>
          <w:color w:val="0D0D0D" w:themeColor="text1" w:themeTint="F2"/>
          <w:sz w:val="20"/>
        </w:rPr>
      </w:pPr>
      <w:r w:rsidRPr="0030100B">
        <w:rPr>
          <w:b/>
          <w:bCs/>
          <w:color w:val="0D0D0D" w:themeColor="text1" w:themeTint="F2"/>
          <w:sz w:val="20"/>
          <w:lang w:val="en"/>
        </w:rPr>
        <w:t>HIV cases among KP, 2018-2022</w:t>
      </w:r>
    </w:p>
    <w:p w14:paraId="68E82481" w14:textId="77777777" w:rsidR="008319F0" w:rsidRDefault="008319F0" w:rsidP="008319F0">
      <w:pPr>
        <w:widowControl w:val="0"/>
        <w:tabs>
          <w:tab w:val="left" w:pos="9639"/>
          <w:tab w:val="left" w:pos="10773"/>
        </w:tabs>
        <w:spacing w:line="240" w:lineRule="auto"/>
        <w:jc w:val="both"/>
        <w:rPr>
          <w:lang w:val="ru-RU"/>
        </w:rPr>
      </w:pPr>
      <w:r w:rsidRPr="00EB1B9B">
        <w:rPr>
          <w:noProof/>
          <w:color w:val="0D0D0D" w:themeColor="text1" w:themeTint="F2"/>
          <w:sz w:val="20"/>
          <w:lang w:val="ru-RU" w:eastAsia="ru-RU"/>
        </w:rPr>
        <w:drawing>
          <wp:inline distT="0" distB="0" distL="0" distR="0" wp14:anchorId="2ABBBE61" wp14:editId="7F835119">
            <wp:extent cx="4425315" cy="1932317"/>
            <wp:effectExtent l="0" t="0" r="13335" b="107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8EDC5CA" w14:textId="1215C9B7" w:rsidR="005525AC" w:rsidRPr="000467B3" w:rsidRDefault="005525AC" w:rsidP="008319F0">
      <w:pPr>
        <w:widowControl w:val="0"/>
        <w:tabs>
          <w:tab w:val="left" w:pos="9639"/>
          <w:tab w:val="left" w:pos="10773"/>
        </w:tabs>
        <w:spacing w:line="240" w:lineRule="auto"/>
        <w:jc w:val="both"/>
        <w:rPr>
          <w:sz w:val="24"/>
          <w:szCs w:val="24"/>
        </w:rPr>
      </w:pPr>
      <w:r w:rsidRPr="000467B3">
        <w:rPr>
          <w:sz w:val="24"/>
          <w:szCs w:val="24"/>
          <w:lang w:val="en"/>
        </w:rPr>
        <w:t>Although injecting opioid use is recognized as a major factor in the HIV epidemic in the Kyrgyz Republic, data indicate that synthetic substances, including synthetic cathinone, cannabinoids, and possibly amphetamine-type substances, are detected more in the landscape of drug use in the country (although data on the latter remain limited), especially among young drug users</w:t>
      </w:r>
      <w:r w:rsidRPr="000467B3">
        <w:rPr>
          <w:rStyle w:val="FootnoteReference"/>
          <w:sz w:val="24"/>
          <w:szCs w:val="24"/>
        </w:rPr>
        <w:footnoteReference w:id="46"/>
      </w:r>
      <w:r w:rsidRPr="000467B3">
        <w:rPr>
          <w:sz w:val="24"/>
          <w:szCs w:val="24"/>
          <w:lang w:val="en"/>
        </w:rPr>
        <w:t>. It is not yet clear what impact these changes will have on the HIV/AIDS epidemic and programs.</w:t>
      </w:r>
    </w:p>
    <w:p w14:paraId="74C99EB0" w14:textId="2CD07611" w:rsidR="005525AC" w:rsidRPr="000467B3" w:rsidRDefault="005525AC" w:rsidP="005525AC">
      <w:pPr>
        <w:widowControl w:val="0"/>
        <w:spacing w:line="240" w:lineRule="auto"/>
        <w:jc w:val="both"/>
        <w:rPr>
          <w:sz w:val="24"/>
          <w:szCs w:val="24"/>
        </w:rPr>
      </w:pPr>
      <w:r w:rsidRPr="000467B3">
        <w:rPr>
          <w:sz w:val="24"/>
          <w:szCs w:val="24"/>
          <w:lang w:val="en"/>
        </w:rPr>
        <w:t xml:space="preserve">In addition, the decrease in the number of cases of injection infection may be due to the fact that programs using traditional approaches do not reach users of new drugs. There is no official data confirming the latter assumption, however, according to the </w:t>
      </w:r>
      <w:r w:rsidR="000467B3">
        <w:rPr>
          <w:sz w:val="24"/>
          <w:szCs w:val="24"/>
          <w:lang w:val="en"/>
        </w:rPr>
        <w:t>RCPN</w:t>
      </w:r>
      <w:r w:rsidRPr="000467B3">
        <w:rPr>
          <w:sz w:val="24"/>
          <w:szCs w:val="24"/>
          <w:lang w:val="en"/>
        </w:rPr>
        <w:t>, the number of registered PWID and the number of OST clients has decreased in recent years.</w:t>
      </w:r>
    </w:p>
    <w:p w14:paraId="57AB751C" w14:textId="77777777" w:rsidR="007F17CB" w:rsidRDefault="007F17CB" w:rsidP="005525AC">
      <w:pPr>
        <w:widowControl w:val="0"/>
        <w:tabs>
          <w:tab w:val="left" w:pos="9639"/>
          <w:tab w:val="left" w:pos="10773"/>
        </w:tabs>
        <w:spacing w:line="240" w:lineRule="auto"/>
        <w:jc w:val="both"/>
        <w:rPr>
          <w:sz w:val="24"/>
          <w:szCs w:val="24"/>
          <w:lang w:val="en"/>
        </w:rPr>
      </w:pPr>
    </w:p>
    <w:p w14:paraId="75D9AAA3" w14:textId="544E3747" w:rsidR="005525AC" w:rsidRPr="000467B3" w:rsidRDefault="005525AC" w:rsidP="005525AC">
      <w:pPr>
        <w:widowControl w:val="0"/>
        <w:tabs>
          <w:tab w:val="left" w:pos="9639"/>
          <w:tab w:val="left" w:pos="10773"/>
        </w:tabs>
        <w:spacing w:line="240" w:lineRule="auto"/>
        <w:jc w:val="both"/>
        <w:rPr>
          <w:sz w:val="24"/>
          <w:szCs w:val="24"/>
        </w:rPr>
      </w:pPr>
      <w:r w:rsidRPr="000467B3">
        <w:rPr>
          <w:sz w:val="24"/>
          <w:szCs w:val="24"/>
          <w:lang w:val="en"/>
        </w:rPr>
        <w:lastRenderedPageBreak/>
        <w:t>The number of PWID on the official register, the data of the RCPN, 2017-2021</w:t>
      </w:r>
      <w:r w:rsidR="000467B3">
        <w:rPr>
          <w:sz w:val="24"/>
          <w:szCs w:val="24"/>
          <w:lang w:val="en"/>
        </w:rPr>
        <w:t>:</w:t>
      </w:r>
    </w:p>
    <w:p w14:paraId="3A743437" w14:textId="77777777" w:rsidR="005525AC" w:rsidRPr="0068321B" w:rsidRDefault="005525AC" w:rsidP="005525AC">
      <w:pPr>
        <w:widowControl w:val="0"/>
        <w:tabs>
          <w:tab w:val="left" w:pos="9639"/>
          <w:tab w:val="left" w:pos="10773"/>
        </w:tabs>
        <w:spacing w:line="240" w:lineRule="auto"/>
        <w:jc w:val="both"/>
        <w:rPr>
          <w:sz w:val="20"/>
        </w:rPr>
      </w:pPr>
      <w:r w:rsidRPr="0068321B">
        <w:rPr>
          <w:noProof/>
          <w:sz w:val="20"/>
          <w:lang w:val="ru-RU" w:eastAsia="ru-RU"/>
        </w:rPr>
        <w:drawing>
          <wp:inline distT="0" distB="0" distL="0" distR="0" wp14:anchorId="760F1CFB" wp14:editId="3CD7B9F4">
            <wp:extent cx="6362700" cy="1511300"/>
            <wp:effectExtent l="0" t="0" r="0"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03E558" w14:textId="77777777" w:rsidR="005525AC" w:rsidRPr="008336FD" w:rsidRDefault="005525AC" w:rsidP="005525AC">
      <w:pPr>
        <w:widowControl w:val="0"/>
        <w:spacing w:line="240" w:lineRule="auto"/>
        <w:jc w:val="both"/>
        <w:rPr>
          <w:sz w:val="24"/>
          <w:szCs w:val="24"/>
        </w:rPr>
      </w:pPr>
      <w:r w:rsidRPr="008336FD">
        <w:rPr>
          <w:sz w:val="24"/>
          <w:szCs w:val="24"/>
          <w:lang w:val="en"/>
        </w:rPr>
        <w:t>Data on HIV testing under the Global Fund project also reflect the low detection of new cases among PWID.</w:t>
      </w:r>
    </w:p>
    <w:p w14:paraId="0B821FC3" w14:textId="13586A85" w:rsidR="005525AC" w:rsidRPr="008336FD" w:rsidRDefault="005525AC" w:rsidP="005525AC">
      <w:pPr>
        <w:widowControl w:val="0"/>
        <w:spacing w:line="240" w:lineRule="auto"/>
        <w:jc w:val="both"/>
        <w:rPr>
          <w:sz w:val="24"/>
          <w:szCs w:val="24"/>
        </w:rPr>
      </w:pPr>
      <w:r w:rsidRPr="008336FD">
        <w:rPr>
          <w:sz w:val="24"/>
          <w:szCs w:val="24"/>
          <w:lang w:val="en"/>
        </w:rPr>
        <w:t xml:space="preserve">Insufficient alertness of the population towards HIV leads to risky behaviors that increase the risk of HIV infection. Stigma and discrimination in </w:t>
      </w:r>
      <w:r w:rsidR="008336FD">
        <w:rPr>
          <w:sz w:val="24"/>
          <w:szCs w:val="24"/>
          <w:lang w:val="en"/>
        </w:rPr>
        <w:t>healthcare facilities</w:t>
      </w:r>
      <w:r w:rsidRPr="008336FD">
        <w:rPr>
          <w:sz w:val="24"/>
          <w:szCs w:val="24"/>
          <w:lang w:val="en"/>
        </w:rPr>
        <w:t>, coercion to HIV testing, poor quality or lack of HIV consultations lead to rejection of ART, late initiation of ART, treatment interruptions and termination of ART, as well as low adherence and low effectiveness of treatment</w:t>
      </w:r>
      <w:r w:rsidRPr="008336FD">
        <w:rPr>
          <w:sz w:val="24"/>
          <w:szCs w:val="24"/>
          <w:vertAlign w:val="superscript"/>
          <w:lang w:val="ru"/>
        </w:rPr>
        <w:footnoteReference w:id="47"/>
      </w:r>
      <w:r w:rsidRPr="008336FD">
        <w:rPr>
          <w:sz w:val="24"/>
          <w:szCs w:val="24"/>
          <w:lang w:val="en"/>
        </w:rPr>
        <w:t>.</w:t>
      </w:r>
    </w:p>
    <w:p w14:paraId="1A09378F" w14:textId="51F4D54B" w:rsidR="005525AC" w:rsidRPr="008336FD" w:rsidRDefault="005525AC" w:rsidP="005525AC">
      <w:pPr>
        <w:widowControl w:val="0"/>
        <w:spacing w:line="240" w:lineRule="auto"/>
        <w:jc w:val="both"/>
        <w:rPr>
          <w:sz w:val="24"/>
          <w:szCs w:val="24"/>
        </w:rPr>
      </w:pPr>
      <w:r w:rsidRPr="008336FD">
        <w:rPr>
          <w:sz w:val="24"/>
          <w:szCs w:val="24"/>
          <w:lang w:val="en"/>
        </w:rPr>
        <w:t xml:space="preserve">High levels of external and internal migration limit patients' access to HIV services. In the countries where the main flows of external migrants go (for example, to Russia), there are significant restrictions in obtaining medical care for PLHIV. In Bishkek </w:t>
      </w:r>
      <w:r w:rsidR="00EE669C">
        <w:rPr>
          <w:sz w:val="24"/>
          <w:szCs w:val="24"/>
          <w:lang w:val="en"/>
        </w:rPr>
        <w:t xml:space="preserve">city </w:t>
      </w:r>
      <w:r w:rsidRPr="008336FD">
        <w:rPr>
          <w:sz w:val="24"/>
          <w:szCs w:val="24"/>
          <w:lang w:val="en"/>
        </w:rPr>
        <w:t>and the Chui region, there is a higher number of HIV cases, which is largely due to internal migration. In 2018-2022, the proportion of detected HIV cases was 43% in Bishkek, 20% in the Chui region, and 17% in Osh and Osh region of the total number of cases in the country (4</w:t>
      </w:r>
      <w:r w:rsidR="00EE669C">
        <w:rPr>
          <w:sz w:val="24"/>
          <w:szCs w:val="24"/>
          <w:lang w:val="en"/>
        </w:rPr>
        <w:t>,</w:t>
      </w:r>
      <w:r w:rsidRPr="008336FD">
        <w:rPr>
          <w:sz w:val="24"/>
          <w:szCs w:val="24"/>
          <w:lang w:val="en"/>
        </w:rPr>
        <w:t xml:space="preserve">329). </w:t>
      </w:r>
    </w:p>
    <w:p w14:paraId="6EA539DF" w14:textId="325817CB" w:rsidR="005525AC" w:rsidRPr="008336FD" w:rsidRDefault="005525AC" w:rsidP="005525AC">
      <w:pPr>
        <w:widowControl w:val="0"/>
        <w:spacing w:line="240" w:lineRule="auto"/>
        <w:jc w:val="both"/>
        <w:rPr>
          <w:sz w:val="24"/>
          <w:szCs w:val="24"/>
        </w:rPr>
      </w:pPr>
      <w:r w:rsidRPr="008336FD">
        <w:rPr>
          <w:sz w:val="24"/>
          <w:szCs w:val="24"/>
          <w:lang w:val="en"/>
        </w:rPr>
        <w:t xml:space="preserve">The implementation of measures to combat HIV infection </w:t>
      </w:r>
      <w:r w:rsidR="00EE669C">
        <w:rPr>
          <w:sz w:val="24"/>
          <w:szCs w:val="24"/>
          <w:lang w:val="en"/>
        </w:rPr>
        <w:t>is</w:t>
      </w:r>
      <w:r w:rsidRPr="008336FD">
        <w:rPr>
          <w:sz w:val="24"/>
          <w:szCs w:val="24"/>
          <w:lang w:val="en"/>
        </w:rPr>
        <w:t xml:space="preserve"> carried out </w:t>
      </w:r>
      <w:r w:rsidR="005B1BD5">
        <w:rPr>
          <w:sz w:val="24"/>
          <w:szCs w:val="24"/>
          <w:lang w:val="en"/>
        </w:rPr>
        <w:t>In line with</w:t>
      </w:r>
      <w:r w:rsidRPr="008336FD">
        <w:rPr>
          <w:sz w:val="24"/>
          <w:szCs w:val="24"/>
          <w:lang w:val="en"/>
        </w:rPr>
        <w:t xml:space="preserve"> the HIV Government's Program for 2017-2021.</w:t>
      </w:r>
      <w:r w:rsidRPr="008336FD">
        <w:rPr>
          <w:sz w:val="24"/>
          <w:szCs w:val="24"/>
          <w:vertAlign w:val="superscript"/>
          <w:lang w:val="ru"/>
        </w:rPr>
        <w:footnoteReference w:id="48"/>
      </w:r>
      <w:r w:rsidRPr="008336FD">
        <w:rPr>
          <w:sz w:val="24"/>
          <w:szCs w:val="24"/>
          <w:lang w:val="en"/>
        </w:rPr>
        <w:t xml:space="preserve"> </w:t>
      </w:r>
      <w:r w:rsidRPr="00211B92">
        <w:rPr>
          <w:sz w:val="24"/>
          <w:szCs w:val="24"/>
          <w:lang w:val="en"/>
        </w:rPr>
        <w:t xml:space="preserve">The next Cabinet of Ministers HIV/Hep Government </w:t>
      </w:r>
      <w:proofErr w:type="spellStart"/>
      <w:r w:rsidRPr="00211B92">
        <w:rPr>
          <w:sz w:val="24"/>
          <w:szCs w:val="24"/>
          <w:lang w:val="en"/>
        </w:rPr>
        <w:t>Programme</w:t>
      </w:r>
      <w:proofErr w:type="spellEnd"/>
      <w:r w:rsidRPr="00211B92">
        <w:rPr>
          <w:sz w:val="24"/>
          <w:szCs w:val="24"/>
          <w:lang w:val="en"/>
        </w:rPr>
        <w:t xml:space="preserve"> on overcoming HIV infection for 2023-2027, which is combined with the program on blood-borne viral hepatitis, is currently being prepared for approval.</w:t>
      </w:r>
    </w:p>
    <w:p w14:paraId="53AA0072" w14:textId="1F5E0ABE" w:rsidR="005525AC" w:rsidRPr="008336FD" w:rsidRDefault="005525AC" w:rsidP="005525AC">
      <w:pPr>
        <w:widowControl w:val="0"/>
        <w:spacing w:line="240" w:lineRule="auto"/>
        <w:jc w:val="both"/>
        <w:rPr>
          <w:sz w:val="24"/>
          <w:szCs w:val="24"/>
        </w:rPr>
      </w:pPr>
      <w:r w:rsidRPr="008336FD">
        <w:rPr>
          <w:sz w:val="24"/>
          <w:szCs w:val="24"/>
          <w:lang w:val="en"/>
        </w:rPr>
        <w:t xml:space="preserve">The </w:t>
      </w:r>
      <w:proofErr w:type="spellStart"/>
      <w:r w:rsidRPr="008336FD">
        <w:rPr>
          <w:sz w:val="24"/>
          <w:szCs w:val="24"/>
          <w:lang w:val="en"/>
        </w:rPr>
        <w:t>Programme's</w:t>
      </w:r>
      <w:proofErr w:type="spellEnd"/>
      <w:r w:rsidRPr="008336FD">
        <w:rPr>
          <w:sz w:val="24"/>
          <w:szCs w:val="24"/>
          <w:lang w:val="en"/>
        </w:rPr>
        <w:t xml:space="preserve"> activities are aimed, first of all, at ensuring universal access to prevention, treatment, care, and support for PLHIV and key groups (PWUD, SW, MSM, TG, prisoners, migrants) </w:t>
      </w:r>
      <w:r w:rsidR="005B1BD5">
        <w:rPr>
          <w:sz w:val="24"/>
          <w:szCs w:val="24"/>
          <w:lang w:val="en"/>
        </w:rPr>
        <w:t>In line with</w:t>
      </w:r>
      <w:r w:rsidRPr="008336FD">
        <w:rPr>
          <w:sz w:val="24"/>
          <w:szCs w:val="24"/>
          <w:lang w:val="en"/>
        </w:rPr>
        <w:t xml:space="preserve"> 95-95-95 goals. In order to achieve the goals and objectives set for the period up to 2027, the following targeted actions will be taken in four strategic directions:</w:t>
      </w:r>
    </w:p>
    <w:p w14:paraId="3BDFE690" w14:textId="77777777" w:rsidR="005525AC" w:rsidRPr="0026285C" w:rsidRDefault="005525AC" w:rsidP="005525AC">
      <w:pPr>
        <w:pStyle w:val="ListParagraph"/>
        <w:widowControl w:val="0"/>
        <w:numPr>
          <w:ilvl w:val="0"/>
          <w:numId w:val="39"/>
        </w:numPr>
        <w:tabs>
          <w:tab w:val="left" w:pos="9639"/>
          <w:tab w:val="left" w:pos="10773"/>
        </w:tabs>
        <w:spacing w:after="160" w:line="240" w:lineRule="auto"/>
        <w:ind w:right="-2"/>
        <w:jc w:val="both"/>
        <w:rPr>
          <w:rFonts w:cstheme="minorHAnsi"/>
          <w:sz w:val="24"/>
          <w:szCs w:val="24"/>
        </w:rPr>
      </w:pPr>
      <w:r w:rsidRPr="0026285C">
        <w:rPr>
          <w:rFonts w:cstheme="minorHAnsi"/>
          <w:sz w:val="24"/>
          <w:szCs w:val="24"/>
          <w:lang w:val="en"/>
        </w:rPr>
        <w:t>Providing a comprehensive package of HIV diagnostic, treatment, care and support services for PLHIV or population in need and those at greatest risk of HIV infection;</w:t>
      </w:r>
    </w:p>
    <w:p w14:paraId="179CF14A" w14:textId="77777777" w:rsidR="005525AC" w:rsidRPr="0026285C" w:rsidRDefault="005525AC" w:rsidP="005525AC">
      <w:pPr>
        <w:pStyle w:val="ListParagraph"/>
        <w:widowControl w:val="0"/>
        <w:numPr>
          <w:ilvl w:val="0"/>
          <w:numId w:val="39"/>
        </w:numPr>
        <w:tabs>
          <w:tab w:val="left" w:pos="9639"/>
          <w:tab w:val="left" w:pos="10773"/>
        </w:tabs>
        <w:spacing w:after="160" w:line="240" w:lineRule="auto"/>
        <w:ind w:right="-2"/>
        <w:jc w:val="both"/>
        <w:rPr>
          <w:rFonts w:cstheme="minorHAnsi"/>
          <w:sz w:val="24"/>
          <w:szCs w:val="24"/>
        </w:rPr>
      </w:pPr>
      <w:r w:rsidRPr="0026285C">
        <w:rPr>
          <w:rFonts w:cstheme="minorHAnsi"/>
          <w:sz w:val="24"/>
          <w:szCs w:val="24"/>
          <w:lang w:val="en"/>
        </w:rPr>
        <w:t>Strengthening the health system to ensure effective measures to end the HIV epidemic;</w:t>
      </w:r>
    </w:p>
    <w:p w14:paraId="7AE16897" w14:textId="77777777" w:rsidR="005525AC" w:rsidRPr="0026285C" w:rsidRDefault="005525AC" w:rsidP="005525AC">
      <w:pPr>
        <w:pStyle w:val="ListParagraph"/>
        <w:widowControl w:val="0"/>
        <w:numPr>
          <w:ilvl w:val="0"/>
          <w:numId w:val="39"/>
        </w:numPr>
        <w:tabs>
          <w:tab w:val="left" w:pos="9639"/>
          <w:tab w:val="left" w:pos="10773"/>
        </w:tabs>
        <w:spacing w:after="160" w:line="240" w:lineRule="auto"/>
        <w:ind w:right="-2"/>
        <w:jc w:val="both"/>
        <w:rPr>
          <w:rFonts w:cstheme="minorHAnsi"/>
          <w:sz w:val="24"/>
          <w:szCs w:val="24"/>
        </w:rPr>
      </w:pPr>
      <w:r w:rsidRPr="0026285C">
        <w:rPr>
          <w:rFonts w:cstheme="minorHAnsi"/>
          <w:sz w:val="24"/>
          <w:szCs w:val="24"/>
          <w:lang w:val="en"/>
        </w:rPr>
        <w:t>Creating favorable legal and social conditions for overcoming HIV infection;</w:t>
      </w:r>
    </w:p>
    <w:p w14:paraId="3476585A" w14:textId="77777777" w:rsidR="005525AC" w:rsidRPr="0026285C" w:rsidRDefault="005525AC" w:rsidP="005525AC">
      <w:pPr>
        <w:pStyle w:val="ListParagraph"/>
        <w:widowControl w:val="0"/>
        <w:numPr>
          <w:ilvl w:val="0"/>
          <w:numId w:val="39"/>
        </w:numPr>
        <w:tabs>
          <w:tab w:val="left" w:pos="9639"/>
          <w:tab w:val="left" w:pos="10773"/>
        </w:tabs>
        <w:spacing w:after="160" w:line="240" w:lineRule="auto"/>
        <w:ind w:right="-2"/>
        <w:jc w:val="both"/>
        <w:rPr>
          <w:rFonts w:cstheme="minorHAnsi"/>
          <w:sz w:val="24"/>
          <w:szCs w:val="24"/>
        </w:rPr>
      </w:pPr>
      <w:r w:rsidRPr="0026285C">
        <w:rPr>
          <w:rFonts w:cstheme="minorHAnsi"/>
          <w:sz w:val="24"/>
          <w:szCs w:val="24"/>
          <w:lang w:val="en"/>
        </w:rPr>
        <w:t xml:space="preserve">Ensuring the coordination and sustainability of HIV-related </w:t>
      </w:r>
      <w:proofErr w:type="spellStart"/>
      <w:r w:rsidRPr="0026285C">
        <w:rPr>
          <w:rFonts w:cstheme="minorHAnsi"/>
          <w:sz w:val="24"/>
          <w:szCs w:val="24"/>
          <w:lang w:val="en"/>
        </w:rPr>
        <w:t>programmes</w:t>
      </w:r>
      <w:proofErr w:type="spellEnd"/>
      <w:r w:rsidRPr="0026285C">
        <w:rPr>
          <w:rFonts w:cstheme="minorHAnsi"/>
          <w:sz w:val="24"/>
          <w:szCs w:val="24"/>
          <w:lang w:val="en"/>
        </w:rPr>
        <w:t xml:space="preserve">. </w:t>
      </w:r>
    </w:p>
    <w:p w14:paraId="3B2832F6" w14:textId="77777777" w:rsidR="005525AC" w:rsidRPr="0026285C" w:rsidRDefault="005525AC" w:rsidP="005525AC">
      <w:pPr>
        <w:widowControl w:val="0"/>
        <w:spacing w:line="240" w:lineRule="auto"/>
        <w:jc w:val="both"/>
        <w:rPr>
          <w:sz w:val="24"/>
          <w:szCs w:val="24"/>
        </w:rPr>
      </w:pPr>
      <w:r w:rsidRPr="0026285C">
        <w:rPr>
          <w:sz w:val="24"/>
          <w:szCs w:val="24"/>
          <w:lang w:val="en"/>
        </w:rPr>
        <w:t>This approach will ensure maximum effect at all levels of comprehensive medical services, coordinate the activities of the health sector with other government agencies and services, with the non-governmental sector and communities of people affected by the HIV epidemic, as well as increase the effectiveness of international technical and financial assistance.</w:t>
      </w:r>
    </w:p>
    <w:p w14:paraId="1037DF09" w14:textId="77777777" w:rsidR="005525AC" w:rsidRPr="0026285C" w:rsidRDefault="005525AC" w:rsidP="005525AC">
      <w:pPr>
        <w:widowControl w:val="0"/>
        <w:spacing w:line="240" w:lineRule="auto"/>
        <w:jc w:val="both"/>
        <w:rPr>
          <w:sz w:val="24"/>
          <w:szCs w:val="24"/>
        </w:rPr>
      </w:pPr>
      <w:r w:rsidRPr="0026285C">
        <w:rPr>
          <w:sz w:val="24"/>
          <w:szCs w:val="24"/>
          <w:lang w:val="en"/>
        </w:rPr>
        <w:t xml:space="preserve">In addition, in 2018, the Government of the Kyrgyz Republic approved a new Healthcare Development Program for the period 2019-2030, including a five-year plan of activities for the period 2019-2023. This program assumes activities in several areas, including reducing morbidity and disability (primary and secondary) with a focus on socially significant diseases, including </w:t>
      </w:r>
      <w:r w:rsidRPr="0026285C">
        <w:rPr>
          <w:sz w:val="24"/>
          <w:szCs w:val="24"/>
          <w:lang w:val="en"/>
        </w:rPr>
        <w:lastRenderedPageBreak/>
        <w:t>reducing the incidence of HIV</w:t>
      </w:r>
      <w:r w:rsidRPr="0026285C">
        <w:rPr>
          <w:sz w:val="24"/>
          <w:szCs w:val="24"/>
          <w:vertAlign w:val="superscript"/>
          <w:lang w:val="ru"/>
        </w:rPr>
        <w:footnoteReference w:id="49"/>
      </w:r>
      <w:r w:rsidRPr="0026285C">
        <w:rPr>
          <w:sz w:val="24"/>
          <w:szCs w:val="24"/>
          <w:lang w:val="en"/>
        </w:rPr>
        <w:t xml:space="preserve">. </w:t>
      </w:r>
    </w:p>
    <w:p w14:paraId="4A7423AD" w14:textId="5A45EB27" w:rsidR="005525AC" w:rsidRPr="000F5212" w:rsidRDefault="000F5212" w:rsidP="005525AC">
      <w:pPr>
        <w:widowControl w:val="0"/>
        <w:spacing w:line="240" w:lineRule="auto"/>
        <w:jc w:val="both"/>
        <w:rPr>
          <w:sz w:val="24"/>
          <w:szCs w:val="24"/>
        </w:rPr>
      </w:pPr>
      <w:r>
        <w:rPr>
          <w:sz w:val="24"/>
          <w:szCs w:val="24"/>
          <w:lang w:val="en"/>
        </w:rPr>
        <w:t>N</w:t>
      </w:r>
      <w:r w:rsidR="005525AC" w:rsidRPr="000F5212">
        <w:rPr>
          <w:sz w:val="24"/>
          <w:szCs w:val="24"/>
          <w:lang w:val="en"/>
        </w:rPr>
        <w:t xml:space="preserve">ational treatment protocols have been revised </w:t>
      </w:r>
      <w:r>
        <w:rPr>
          <w:sz w:val="24"/>
          <w:szCs w:val="24"/>
          <w:lang w:val="en"/>
        </w:rPr>
        <w:t xml:space="preserve">to be in line with WHO recommendations, </w:t>
      </w:r>
      <w:r w:rsidR="005525AC" w:rsidRPr="000F5212">
        <w:rPr>
          <w:sz w:val="24"/>
          <w:szCs w:val="24"/>
          <w:lang w:val="en"/>
        </w:rPr>
        <w:t xml:space="preserve">and in 2022 more than 82% of PLHIV switched to dolutegravir regimens (25% in 2019), a wide range of ARV drugs has been registered in the country, which allows for achieving optimal prices for public procurement. </w:t>
      </w:r>
      <w:r w:rsidR="00473897">
        <w:rPr>
          <w:sz w:val="24"/>
          <w:szCs w:val="24"/>
          <w:lang w:val="en"/>
        </w:rPr>
        <w:t>B</w:t>
      </w:r>
      <w:r w:rsidR="005525AC" w:rsidRPr="000F5212">
        <w:rPr>
          <w:sz w:val="24"/>
          <w:szCs w:val="24"/>
          <w:lang w:val="en"/>
        </w:rPr>
        <w:t>uilt-up inventory management system of ARV drugs</w:t>
      </w:r>
      <w:r w:rsidR="00473897">
        <w:rPr>
          <w:sz w:val="24"/>
          <w:szCs w:val="24"/>
          <w:lang w:val="en"/>
        </w:rPr>
        <w:t xml:space="preserve"> made </w:t>
      </w:r>
      <w:r w:rsidR="005525AC" w:rsidRPr="000F5212">
        <w:rPr>
          <w:sz w:val="24"/>
          <w:szCs w:val="24"/>
          <w:lang w:val="en"/>
        </w:rPr>
        <w:t xml:space="preserve">possible to provide HIV patients with drugs for 3 and 6 months, and for patients in external migration – for 12 months. A mechanism has been introduced for the remote provision of HIV treatment services among citizens identified outside the country, including the delivery of ARV drugs through courier services. </w:t>
      </w:r>
    </w:p>
    <w:p w14:paraId="648981A8" w14:textId="77777777" w:rsidR="005525AC" w:rsidRPr="000F5212" w:rsidRDefault="005525AC" w:rsidP="005525AC">
      <w:pPr>
        <w:widowControl w:val="0"/>
        <w:spacing w:line="240" w:lineRule="auto"/>
        <w:jc w:val="both"/>
        <w:rPr>
          <w:sz w:val="24"/>
          <w:szCs w:val="24"/>
        </w:rPr>
      </w:pPr>
      <w:r w:rsidRPr="000F5212">
        <w:rPr>
          <w:sz w:val="24"/>
          <w:szCs w:val="24"/>
          <w:lang w:val="en"/>
        </w:rPr>
        <w:t xml:space="preserve">The infrastructure for laboratory research has been improved, and in 2022 all basic studies (viral load, CD4 lymphocyte count, viral DNA detection in early HIV diagnosis) are available at the regional level. </w:t>
      </w:r>
    </w:p>
    <w:p w14:paraId="0A3FF3C2" w14:textId="49CFA3E5" w:rsidR="005525AC" w:rsidRPr="000F5212" w:rsidRDefault="005525AC" w:rsidP="005525AC">
      <w:pPr>
        <w:widowControl w:val="0"/>
        <w:spacing w:line="240" w:lineRule="auto"/>
        <w:jc w:val="both"/>
        <w:rPr>
          <w:sz w:val="24"/>
          <w:szCs w:val="24"/>
        </w:rPr>
      </w:pPr>
      <w:r w:rsidRPr="000F5212">
        <w:rPr>
          <w:sz w:val="24"/>
          <w:szCs w:val="24"/>
          <w:lang w:val="en"/>
        </w:rPr>
        <w:t xml:space="preserve">State budget covered treatment of </w:t>
      </w:r>
      <w:r w:rsidR="00405926">
        <w:rPr>
          <w:sz w:val="24"/>
          <w:szCs w:val="24"/>
          <w:lang w:val="en"/>
        </w:rPr>
        <w:t>HCV</w:t>
      </w:r>
      <w:r w:rsidRPr="000F5212">
        <w:rPr>
          <w:sz w:val="24"/>
          <w:szCs w:val="24"/>
          <w:lang w:val="en"/>
        </w:rPr>
        <w:t xml:space="preserve"> to 500 PLHIV with combined HIV and HCV infection, and a campaign is being implemented to cover all PLHIV with </w:t>
      </w:r>
      <w:r w:rsidR="00405926">
        <w:rPr>
          <w:sz w:val="24"/>
          <w:szCs w:val="24"/>
          <w:lang w:val="en"/>
        </w:rPr>
        <w:t xml:space="preserve">HBV </w:t>
      </w:r>
      <w:r w:rsidRPr="000F5212">
        <w:rPr>
          <w:sz w:val="24"/>
          <w:szCs w:val="24"/>
          <w:lang w:val="en"/>
        </w:rPr>
        <w:t>vaccinatio</w:t>
      </w:r>
      <w:r w:rsidR="00405926">
        <w:rPr>
          <w:sz w:val="24"/>
          <w:szCs w:val="24"/>
          <w:lang w:val="en"/>
        </w:rPr>
        <w:t>n</w:t>
      </w:r>
      <w:r w:rsidRPr="000F5212">
        <w:rPr>
          <w:sz w:val="24"/>
          <w:szCs w:val="24"/>
          <w:lang w:val="en"/>
        </w:rPr>
        <w:t>.</w:t>
      </w:r>
    </w:p>
    <w:p w14:paraId="52771844" w14:textId="4EB7B8A9" w:rsidR="005525AC" w:rsidRPr="00531875" w:rsidRDefault="005525AC" w:rsidP="005525AC">
      <w:pPr>
        <w:widowControl w:val="0"/>
        <w:spacing w:line="240" w:lineRule="auto"/>
        <w:jc w:val="both"/>
        <w:rPr>
          <w:sz w:val="24"/>
          <w:szCs w:val="24"/>
        </w:rPr>
      </w:pPr>
      <w:r w:rsidRPr="000F5212">
        <w:rPr>
          <w:sz w:val="24"/>
          <w:szCs w:val="24"/>
          <w:lang w:val="en"/>
        </w:rPr>
        <w:t xml:space="preserve">Prevention programs for </w:t>
      </w:r>
      <w:r w:rsidR="00F20E17">
        <w:rPr>
          <w:sz w:val="24"/>
          <w:szCs w:val="24"/>
          <w:lang w:val="en"/>
        </w:rPr>
        <w:t>KPs</w:t>
      </w:r>
      <w:r w:rsidRPr="000F5212">
        <w:rPr>
          <w:sz w:val="24"/>
          <w:szCs w:val="24"/>
          <w:lang w:val="en"/>
        </w:rPr>
        <w:t xml:space="preserve">, including harm reduction programs, remain one of the important components in comprehensive measures to </w:t>
      </w:r>
      <w:r w:rsidR="006E4FCB">
        <w:rPr>
          <w:sz w:val="24"/>
          <w:szCs w:val="24"/>
          <w:lang w:val="en"/>
        </w:rPr>
        <w:t>fight</w:t>
      </w:r>
      <w:r w:rsidRPr="000F5212">
        <w:rPr>
          <w:sz w:val="24"/>
          <w:szCs w:val="24"/>
          <w:lang w:val="en"/>
        </w:rPr>
        <w:t xml:space="preserve"> the HIV epidemic in Kyrgyzstan. In 2022, 24 OST points operated in the </w:t>
      </w:r>
      <w:r w:rsidR="006E4FCB">
        <w:rPr>
          <w:sz w:val="24"/>
          <w:szCs w:val="24"/>
          <w:lang w:val="en"/>
        </w:rPr>
        <w:t>country</w:t>
      </w:r>
      <w:r w:rsidRPr="000F5212">
        <w:rPr>
          <w:sz w:val="24"/>
          <w:szCs w:val="24"/>
          <w:lang w:val="en"/>
        </w:rPr>
        <w:t xml:space="preserve">, there were </w:t>
      </w:r>
      <w:r w:rsidR="006E4FCB">
        <w:rPr>
          <w:sz w:val="24"/>
          <w:szCs w:val="24"/>
          <w:lang w:val="en"/>
        </w:rPr>
        <w:t>SEP</w:t>
      </w:r>
      <w:r w:rsidRPr="000F5212">
        <w:rPr>
          <w:sz w:val="24"/>
          <w:szCs w:val="24"/>
          <w:lang w:val="en"/>
        </w:rPr>
        <w:t xml:space="preserve"> at NGOs and in the penitentiary system, 15 NGOs provided services for PWID, SW, MSM, PLHIV, 2 centers for PLHIV and </w:t>
      </w:r>
      <w:r w:rsidR="00CA2F93">
        <w:rPr>
          <w:sz w:val="24"/>
          <w:szCs w:val="24"/>
          <w:lang w:val="en"/>
        </w:rPr>
        <w:t>KPs</w:t>
      </w:r>
      <w:r w:rsidRPr="000F5212">
        <w:rPr>
          <w:sz w:val="24"/>
          <w:szCs w:val="24"/>
          <w:lang w:val="en"/>
        </w:rPr>
        <w:t xml:space="preserve"> operated. Testing, harm reduction services, </w:t>
      </w:r>
      <w:r w:rsidR="00CA2F93">
        <w:rPr>
          <w:sz w:val="24"/>
          <w:szCs w:val="24"/>
          <w:lang w:val="en"/>
        </w:rPr>
        <w:t xml:space="preserve">treatment, </w:t>
      </w:r>
      <w:r w:rsidRPr="000F5212">
        <w:rPr>
          <w:sz w:val="24"/>
          <w:szCs w:val="24"/>
          <w:lang w:val="en"/>
        </w:rPr>
        <w:t xml:space="preserve">care, and support programs have covered more than 30,000 representatives of KP and PLHIV. This activity was carried out </w:t>
      </w:r>
      <w:r w:rsidR="00E12960">
        <w:rPr>
          <w:sz w:val="24"/>
          <w:szCs w:val="24"/>
          <w:lang w:val="en"/>
        </w:rPr>
        <w:t>with the GF funding</w:t>
      </w:r>
      <w:r w:rsidRPr="000F5212">
        <w:rPr>
          <w:sz w:val="24"/>
          <w:szCs w:val="24"/>
          <w:lang w:val="en"/>
        </w:rPr>
        <w:t xml:space="preserve">, </w:t>
      </w:r>
      <w:r w:rsidR="00531875">
        <w:rPr>
          <w:sz w:val="24"/>
          <w:szCs w:val="24"/>
          <w:lang w:val="en"/>
        </w:rPr>
        <w:t>at the same time,</w:t>
      </w:r>
      <w:r w:rsidRPr="000F5212">
        <w:rPr>
          <w:sz w:val="24"/>
          <w:szCs w:val="24"/>
          <w:lang w:val="en"/>
        </w:rPr>
        <w:t xml:space="preserve"> since 2019, the state social contracting </w:t>
      </w:r>
      <w:r w:rsidR="00531875">
        <w:rPr>
          <w:sz w:val="24"/>
          <w:szCs w:val="24"/>
          <w:lang w:val="en"/>
        </w:rPr>
        <w:t>mechanism for HIV-related services is being actively introduced</w:t>
      </w:r>
      <w:r w:rsidRPr="000F5212">
        <w:rPr>
          <w:sz w:val="24"/>
          <w:szCs w:val="24"/>
          <w:lang w:val="en"/>
        </w:rPr>
        <w:t>.</w:t>
      </w:r>
    </w:p>
    <w:p w14:paraId="3DEACAC9" w14:textId="0327DD5A" w:rsidR="005525AC" w:rsidRPr="000F5212" w:rsidRDefault="005525AC" w:rsidP="005525AC">
      <w:pPr>
        <w:widowControl w:val="0"/>
        <w:spacing w:line="240" w:lineRule="auto"/>
        <w:jc w:val="both"/>
        <w:rPr>
          <w:sz w:val="24"/>
          <w:szCs w:val="24"/>
        </w:rPr>
      </w:pPr>
      <w:r w:rsidRPr="000F5212">
        <w:rPr>
          <w:sz w:val="24"/>
          <w:szCs w:val="24"/>
          <w:lang w:val="en"/>
        </w:rPr>
        <w:t xml:space="preserve">In 2022, the clinical protocol for the </w:t>
      </w:r>
      <w:proofErr w:type="spellStart"/>
      <w:r w:rsidRPr="000F5212">
        <w:rPr>
          <w:sz w:val="24"/>
          <w:szCs w:val="24"/>
          <w:lang w:val="en"/>
        </w:rPr>
        <w:t>PrEP</w:t>
      </w:r>
      <w:proofErr w:type="spellEnd"/>
      <w:r w:rsidRPr="000F5212">
        <w:rPr>
          <w:sz w:val="24"/>
          <w:szCs w:val="24"/>
          <w:lang w:val="en"/>
        </w:rPr>
        <w:t xml:space="preserve"> was updated, which provides for daily and situational modes. The coverage of </w:t>
      </w:r>
      <w:proofErr w:type="spellStart"/>
      <w:r w:rsidRPr="000F5212">
        <w:rPr>
          <w:sz w:val="24"/>
          <w:szCs w:val="24"/>
          <w:lang w:val="en"/>
        </w:rPr>
        <w:t>PrEP</w:t>
      </w:r>
      <w:proofErr w:type="spellEnd"/>
      <w:r w:rsidRPr="000F5212">
        <w:rPr>
          <w:sz w:val="24"/>
          <w:szCs w:val="24"/>
          <w:lang w:val="en"/>
        </w:rPr>
        <w:t xml:space="preserve"> by the end of 2022 has increased to 280 people.</w:t>
      </w:r>
    </w:p>
    <w:p w14:paraId="737251F0" w14:textId="77777777" w:rsidR="005525AC" w:rsidRPr="000F5212" w:rsidRDefault="005525AC" w:rsidP="005525AC">
      <w:pPr>
        <w:widowControl w:val="0"/>
        <w:spacing w:line="240" w:lineRule="auto"/>
        <w:jc w:val="both"/>
        <w:rPr>
          <w:sz w:val="24"/>
          <w:szCs w:val="24"/>
        </w:rPr>
      </w:pPr>
      <w:r w:rsidRPr="000F5212">
        <w:rPr>
          <w:sz w:val="24"/>
          <w:szCs w:val="24"/>
          <w:lang w:val="en"/>
        </w:rPr>
        <w:t xml:space="preserve">An online (cloud) version of the HIV MIS is being developed, and the process of developing a unified information system for HIV prevention programs has been initiated, which will integrate disparate databases and improve the accounting system and, accordingly, the ability to monitor the quantity and quality of services for PLHIV, reduce duplication of medical services and improve data quality. </w:t>
      </w:r>
    </w:p>
    <w:p w14:paraId="3B1B16B2" w14:textId="77777777" w:rsidR="005525AC" w:rsidRPr="000F5212" w:rsidRDefault="005525AC" w:rsidP="005525AC">
      <w:pPr>
        <w:pStyle w:val="BodyText"/>
        <w:widowControl w:val="0"/>
        <w:spacing w:line="240" w:lineRule="auto"/>
        <w:jc w:val="both"/>
        <w:rPr>
          <w:b/>
          <w:bCs/>
          <w:color w:val="000000" w:themeColor="text1"/>
          <w:szCs w:val="24"/>
          <w:lang w:val="en-US"/>
        </w:rPr>
      </w:pPr>
      <w:r w:rsidRPr="000F5212">
        <w:rPr>
          <w:b/>
          <w:bCs/>
          <w:color w:val="000000" w:themeColor="text1"/>
          <w:szCs w:val="24"/>
          <w:lang w:val="en"/>
        </w:rPr>
        <w:t>TB</w:t>
      </w:r>
    </w:p>
    <w:p w14:paraId="26414D4A" w14:textId="08E3F903" w:rsidR="005525AC" w:rsidRPr="000F5212" w:rsidRDefault="005525AC" w:rsidP="005525AC">
      <w:pPr>
        <w:pStyle w:val="BodyText"/>
        <w:widowControl w:val="0"/>
        <w:spacing w:line="240" w:lineRule="auto"/>
        <w:jc w:val="both"/>
        <w:rPr>
          <w:szCs w:val="24"/>
          <w:lang w:val="en-US"/>
        </w:rPr>
      </w:pPr>
      <w:r w:rsidRPr="000F5212">
        <w:rPr>
          <w:szCs w:val="24"/>
          <w:lang w:val="en"/>
        </w:rPr>
        <w:t xml:space="preserve">The detection of cases of </w:t>
      </w:r>
      <w:r w:rsidR="0044101C">
        <w:rPr>
          <w:szCs w:val="24"/>
          <w:lang w:val="en"/>
        </w:rPr>
        <w:t>TB</w:t>
      </w:r>
      <w:r w:rsidRPr="000F5212">
        <w:rPr>
          <w:szCs w:val="24"/>
          <w:lang w:val="en"/>
        </w:rPr>
        <w:t xml:space="preserve"> is mainly carried out in state </w:t>
      </w:r>
      <w:r w:rsidR="0044101C">
        <w:rPr>
          <w:szCs w:val="24"/>
          <w:lang w:val="en"/>
        </w:rPr>
        <w:t>TB</w:t>
      </w:r>
      <w:r w:rsidRPr="000F5212">
        <w:rPr>
          <w:szCs w:val="24"/>
          <w:lang w:val="en"/>
        </w:rPr>
        <w:t xml:space="preserve"> </w:t>
      </w:r>
      <w:r w:rsidR="0044101C">
        <w:rPr>
          <w:szCs w:val="24"/>
          <w:lang w:val="en"/>
        </w:rPr>
        <w:t>facilities</w:t>
      </w:r>
      <w:r w:rsidRPr="000F5212">
        <w:rPr>
          <w:szCs w:val="24"/>
          <w:lang w:val="en"/>
        </w:rPr>
        <w:t xml:space="preserve"> and PHC </w:t>
      </w:r>
      <w:r w:rsidR="0044101C">
        <w:rPr>
          <w:szCs w:val="24"/>
          <w:lang w:val="en"/>
        </w:rPr>
        <w:t xml:space="preserve">points-of-care </w:t>
      </w:r>
      <w:r w:rsidRPr="000F5212">
        <w:rPr>
          <w:szCs w:val="24"/>
          <w:lang w:val="en"/>
        </w:rPr>
        <w:t xml:space="preserve">(Family Medicine Centers (FMC) and General Medical Practice </w:t>
      </w:r>
      <w:proofErr w:type="spellStart"/>
      <w:r w:rsidRPr="000F5212">
        <w:rPr>
          <w:szCs w:val="24"/>
          <w:lang w:val="en"/>
        </w:rPr>
        <w:t>Centres</w:t>
      </w:r>
      <w:proofErr w:type="spellEnd"/>
      <w:r w:rsidRPr="000F5212">
        <w:rPr>
          <w:szCs w:val="24"/>
          <w:lang w:val="en"/>
        </w:rPr>
        <w:t xml:space="preserve"> (GMPC)). PHC staff fill out data on people with suspected </w:t>
      </w:r>
      <w:r w:rsidR="009B7905">
        <w:rPr>
          <w:szCs w:val="24"/>
          <w:lang w:val="en"/>
        </w:rPr>
        <w:t>TB</w:t>
      </w:r>
      <w:r w:rsidRPr="000F5212">
        <w:rPr>
          <w:szCs w:val="24"/>
          <w:lang w:val="en"/>
        </w:rPr>
        <w:t xml:space="preserve"> (cough for more than 2 weeks). In 2021, 12,413 people were examined using microscopy, 13,594 people were examined using </w:t>
      </w:r>
      <w:proofErr w:type="spellStart"/>
      <w:r w:rsidRPr="000F5212">
        <w:rPr>
          <w:szCs w:val="24"/>
          <w:lang w:val="en"/>
        </w:rPr>
        <w:t>Xpert</w:t>
      </w:r>
      <w:proofErr w:type="spellEnd"/>
      <w:r w:rsidRPr="000F5212">
        <w:rPr>
          <w:szCs w:val="24"/>
          <w:lang w:val="en"/>
        </w:rPr>
        <w:t xml:space="preserve">. The diagnosis of </w:t>
      </w:r>
      <w:r w:rsidR="005F2FF6">
        <w:rPr>
          <w:szCs w:val="24"/>
          <w:lang w:val="en"/>
        </w:rPr>
        <w:t>TB</w:t>
      </w:r>
      <w:r w:rsidRPr="000F5212">
        <w:rPr>
          <w:szCs w:val="24"/>
          <w:lang w:val="en"/>
        </w:rPr>
        <w:t xml:space="preserve"> (all forms) was </w:t>
      </w:r>
      <w:r w:rsidR="005F2FF6">
        <w:rPr>
          <w:szCs w:val="24"/>
          <w:lang w:val="en"/>
        </w:rPr>
        <w:t>notified</w:t>
      </w:r>
      <w:r w:rsidRPr="000F5212">
        <w:rPr>
          <w:szCs w:val="24"/>
          <w:lang w:val="en"/>
        </w:rPr>
        <w:t xml:space="preserve"> in 5,199 people.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392"/>
        <w:gridCol w:w="1393"/>
        <w:gridCol w:w="1395"/>
        <w:gridCol w:w="1395"/>
        <w:gridCol w:w="1450"/>
        <w:gridCol w:w="1384"/>
      </w:tblGrid>
      <w:tr w:rsidR="005525AC" w14:paraId="0C34ACDC" w14:textId="77777777" w:rsidTr="005F2FF6">
        <w:tc>
          <w:tcPr>
            <w:tcW w:w="876" w:type="pct"/>
            <w:shd w:val="clear" w:color="auto" w:fill="D9D9D9" w:themeFill="background1" w:themeFillShade="D9"/>
          </w:tcPr>
          <w:p w14:paraId="30182CB8" w14:textId="77777777" w:rsidR="005525AC" w:rsidRPr="00DD5017" w:rsidRDefault="005525AC" w:rsidP="00294243">
            <w:pPr>
              <w:pStyle w:val="NoSpacing"/>
              <w:widowControl w:val="0"/>
              <w:suppressAutoHyphens/>
              <w:rPr>
                <w:rFonts w:cstheme="minorHAnsi"/>
                <w:b/>
                <w:bCs/>
                <w:sz w:val="20"/>
                <w:szCs w:val="20"/>
              </w:rPr>
            </w:pPr>
            <w:bookmarkStart w:id="1" w:name="_Hlk123853920"/>
            <w:r w:rsidRPr="00DD5017">
              <w:rPr>
                <w:rFonts w:cstheme="minorHAnsi"/>
                <w:b/>
                <w:bCs/>
                <w:sz w:val="20"/>
                <w:szCs w:val="20"/>
                <w:lang w:val="en"/>
              </w:rPr>
              <w:t>Geography</w:t>
            </w:r>
          </w:p>
        </w:tc>
        <w:tc>
          <w:tcPr>
            <w:tcW w:w="683" w:type="pct"/>
            <w:shd w:val="clear" w:color="auto" w:fill="D9D9D9" w:themeFill="background1" w:themeFillShade="D9"/>
          </w:tcPr>
          <w:p w14:paraId="2A786683"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2016</w:t>
            </w:r>
          </w:p>
        </w:tc>
        <w:tc>
          <w:tcPr>
            <w:tcW w:w="683" w:type="pct"/>
            <w:shd w:val="clear" w:color="auto" w:fill="D9D9D9" w:themeFill="background1" w:themeFillShade="D9"/>
          </w:tcPr>
          <w:p w14:paraId="680176FF"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2017</w:t>
            </w:r>
          </w:p>
        </w:tc>
        <w:tc>
          <w:tcPr>
            <w:tcW w:w="684" w:type="pct"/>
            <w:shd w:val="clear" w:color="auto" w:fill="D9D9D9" w:themeFill="background1" w:themeFillShade="D9"/>
          </w:tcPr>
          <w:p w14:paraId="1B3EF273"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2018</w:t>
            </w:r>
          </w:p>
        </w:tc>
        <w:tc>
          <w:tcPr>
            <w:tcW w:w="684" w:type="pct"/>
            <w:shd w:val="clear" w:color="auto" w:fill="D9D9D9" w:themeFill="background1" w:themeFillShade="D9"/>
          </w:tcPr>
          <w:p w14:paraId="58E7E923"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2019</w:t>
            </w:r>
          </w:p>
        </w:tc>
        <w:tc>
          <w:tcPr>
            <w:tcW w:w="711" w:type="pct"/>
            <w:shd w:val="clear" w:color="auto" w:fill="D9D9D9" w:themeFill="background1" w:themeFillShade="D9"/>
          </w:tcPr>
          <w:p w14:paraId="53E7C8DE"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2020</w:t>
            </w:r>
          </w:p>
        </w:tc>
        <w:tc>
          <w:tcPr>
            <w:tcW w:w="679" w:type="pct"/>
            <w:shd w:val="clear" w:color="auto" w:fill="D9D9D9" w:themeFill="background1" w:themeFillShade="D9"/>
          </w:tcPr>
          <w:p w14:paraId="7E11CEBA" w14:textId="77777777" w:rsidR="005525AC" w:rsidRPr="00DD5017" w:rsidRDefault="005525AC" w:rsidP="00294243">
            <w:pPr>
              <w:pStyle w:val="NoSpacing"/>
              <w:widowControl w:val="0"/>
              <w:suppressAutoHyphens/>
              <w:jc w:val="center"/>
              <w:rPr>
                <w:rFonts w:cstheme="minorHAnsi"/>
                <w:b/>
                <w:bCs/>
                <w:sz w:val="20"/>
                <w:szCs w:val="20"/>
                <w:lang w:val="ru"/>
              </w:rPr>
            </w:pPr>
            <w:r w:rsidRPr="00DD5017">
              <w:rPr>
                <w:rFonts w:cstheme="minorHAnsi"/>
                <w:b/>
                <w:bCs/>
                <w:sz w:val="20"/>
                <w:szCs w:val="20"/>
                <w:lang w:val="en"/>
              </w:rPr>
              <w:t>2021*</w:t>
            </w:r>
          </w:p>
        </w:tc>
      </w:tr>
      <w:tr w:rsidR="005525AC" w14:paraId="6D375401" w14:textId="77777777" w:rsidTr="005F2FF6">
        <w:trPr>
          <w:trHeight w:val="20"/>
        </w:trPr>
        <w:tc>
          <w:tcPr>
            <w:tcW w:w="876" w:type="pct"/>
          </w:tcPr>
          <w:p w14:paraId="5BD82DFD" w14:textId="77777777" w:rsidR="005525AC" w:rsidRPr="00DD5017" w:rsidRDefault="005525AC" w:rsidP="00294243">
            <w:pPr>
              <w:pStyle w:val="NoSpacing"/>
              <w:widowControl w:val="0"/>
              <w:suppressAutoHyphens/>
              <w:rPr>
                <w:rFonts w:cstheme="minorHAnsi"/>
                <w:sz w:val="20"/>
                <w:szCs w:val="20"/>
              </w:rPr>
            </w:pPr>
            <w:r w:rsidRPr="00DD5017">
              <w:rPr>
                <w:rFonts w:cstheme="minorHAnsi"/>
                <w:sz w:val="20"/>
                <w:szCs w:val="20"/>
                <w:lang w:val="en"/>
              </w:rPr>
              <w:t>Bishkek</w:t>
            </w:r>
          </w:p>
        </w:tc>
        <w:tc>
          <w:tcPr>
            <w:tcW w:w="683" w:type="pct"/>
          </w:tcPr>
          <w:p w14:paraId="0F693A59"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2,078/1,286</w:t>
            </w:r>
          </w:p>
        </w:tc>
        <w:tc>
          <w:tcPr>
            <w:tcW w:w="683" w:type="pct"/>
          </w:tcPr>
          <w:p w14:paraId="52F03056"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2,262/1,249</w:t>
            </w:r>
          </w:p>
        </w:tc>
        <w:tc>
          <w:tcPr>
            <w:tcW w:w="684" w:type="pct"/>
          </w:tcPr>
          <w:p w14:paraId="637B426F"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1,879/1,219</w:t>
            </w:r>
          </w:p>
        </w:tc>
        <w:tc>
          <w:tcPr>
            <w:tcW w:w="684" w:type="pct"/>
          </w:tcPr>
          <w:p w14:paraId="0AB08B72"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1,795/1,119</w:t>
            </w:r>
          </w:p>
        </w:tc>
        <w:tc>
          <w:tcPr>
            <w:tcW w:w="711" w:type="pct"/>
          </w:tcPr>
          <w:p w14:paraId="31E2563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1,308/716</w:t>
            </w:r>
          </w:p>
        </w:tc>
        <w:tc>
          <w:tcPr>
            <w:tcW w:w="679" w:type="pct"/>
          </w:tcPr>
          <w:p w14:paraId="5311CECC"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1,159/799</w:t>
            </w:r>
          </w:p>
        </w:tc>
      </w:tr>
      <w:tr w:rsidR="005525AC" w14:paraId="51733EFE" w14:textId="77777777" w:rsidTr="005F2FF6">
        <w:tc>
          <w:tcPr>
            <w:tcW w:w="876" w:type="pct"/>
          </w:tcPr>
          <w:p w14:paraId="7E9E99C7" w14:textId="77777777" w:rsidR="005525AC" w:rsidRPr="00DD5017" w:rsidRDefault="005525AC" w:rsidP="00294243">
            <w:pPr>
              <w:pStyle w:val="NoSpacing"/>
              <w:widowControl w:val="0"/>
              <w:suppressAutoHyphens/>
              <w:rPr>
                <w:rFonts w:cstheme="minorHAnsi"/>
                <w:sz w:val="20"/>
                <w:szCs w:val="20"/>
              </w:rPr>
            </w:pPr>
            <w:r w:rsidRPr="00DD5017">
              <w:rPr>
                <w:rFonts w:cstheme="minorHAnsi"/>
                <w:sz w:val="20"/>
                <w:szCs w:val="20"/>
                <w:lang w:val="en"/>
              </w:rPr>
              <w:t>Chui region</w:t>
            </w:r>
          </w:p>
        </w:tc>
        <w:tc>
          <w:tcPr>
            <w:tcW w:w="683" w:type="pct"/>
          </w:tcPr>
          <w:p w14:paraId="257E6B65"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3,005/1,702</w:t>
            </w:r>
          </w:p>
        </w:tc>
        <w:tc>
          <w:tcPr>
            <w:tcW w:w="683" w:type="pct"/>
          </w:tcPr>
          <w:p w14:paraId="7DEABE28"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3,930/1,690</w:t>
            </w:r>
          </w:p>
        </w:tc>
        <w:tc>
          <w:tcPr>
            <w:tcW w:w="684" w:type="pct"/>
          </w:tcPr>
          <w:p w14:paraId="318DF4C6"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3,924/1,615</w:t>
            </w:r>
          </w:p>
        </w:tc>
        <w:tc>
          <w:tcPr>
            <w:tcW w:w="684" w:type="pct"/>
          </w:tcPr>
          <w:p w14:paraId="2DF42DAB"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3,454/1,478</w:t>
            </w:r>
          </w:p>
        </w:tc>
        <w:tc>
          <w:tcPr>
            <w:tcW w:w="711" w:type="pct"/>
          </w:tcPr>
          <w:p w14:paraId="0B88B58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2,777/1,064</w:t>
            </w:r>
          </w:p>
        </w:tc>
        <w:tc>
          <w:tcPr>
            <w:tcW w:w="679" w:type="pct"/>
          </w:tcPr>
          <w:p w14:paraId="16A84BDE"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2,871/1,118</w:t>
            </w:r>
          </w:p>
        </w:tc>
      </w:tr>
      <w:tr w:rsidR="005525AC" w14:paraId="663DB052" w14:textId="77777777" w:rsidTr="005F2FF6">
        <w:tc>
          <w:tcPr>
            <w:tcW w:w="876" w:type="pct"/>
          </w:tcPr>
          <w:p w14:paraId="4D446AB8" w14:textId="77777777" w:rsidR="005525AC" w:rsidRPr="00DD5017" w:rsidRDefault="005525AC" w:rsidP="00294243">
            <w:pPr>
              <w:pStyle w:val="NoSpacing"/>
              <w:widowControl w:val="0"/>
              <w:suppressAutoHyphens/>
              <w:rPr>
                <w:rFonts w:cstheme="minorHAnsi"/>
                <w:sz w:val="20"/>
                <w:szCs w:val="20"/>
              </w:rPr>
            </w:pPr>
            <w:proofErr w:type="spellStart"/>
            <w:r w:rsidRPr="00DD5017">
              <w:rPr>
                <w:rFonts w:cstheme="minorHAnsi"/>
                <w:sz w:val="20"/>
                <w:szCs w:val="20"/>
                <w:lang w:val="en"/>
              </w:rPr>
              <w:t>Naryn</w:t>
            </w:r>
            <w:proofErr w:type="spellEnd"/>
            <w:r w:rsidRPr="00DD5017">
              <w:rPr>
                <w:rFonts w:cstheme="minorHAnsi"/>
                <w:sz w:val="20"/>
                <w:szCs w:val="20"/>
                <w:lang w:val="en"/>
              </w:rPr>
              <w:t xml:space="preserve"> region</w:t>
            </w:r>
          </w:p>
        </w:tc>
        <w:tc>
          <w:tcPr>
            <w:tcW w:w="683" w:type="pct"/>
          </w:tcPr>
          <w:p w14:paraId="54BEE38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700/303</w:t>
            </w:r>
          </w:p>
        </w:tc>
        <w:tc>
          <w:tcPr>
            <w:tcW w:w="683" w:type="pct"/>
          </w:tcPr>
          <w:p w14:paraId="3A2B348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577/233</w:t>
            </w:r>
          </w:p>
        </w:tc>
        <w:tc>
          <w:tcPr>
            <w:tcW w:w="684" w:type="pct"/>
          </w:tcPr>
          <w:p w14:paraId="268A8592"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818/265</w:t>
            </w:r>
          </w:p>
        </w:tc>
        <w:tc>
          <w:tcPr>
            <w:tcW w:w="684" w:type="pct"/>
          </w:tcPr>
          <w:p w14:paraId="2B32EECF"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858/211</w:t>
            </w:r>
          </w:p>
        </w:tc>
        <w:tc>
          <w:tcPr>
            <w:tcW w:w="711" w:type="pct"/>
          </w:tcPr>
          <w:p w14:paraId="5C003A96"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905/141</w:t>
            </w:r>
          </w:p>
        </w:tc>
        <w:tc>
          <w:tcPr>
            <w:tcW w:w="679" w:type="pct"/>
          </w:tcPr>
          <w:p w14:paraId="0FD47FF6"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475/176</w:t>
            </w:r>
          </w:p>
        </w:tc>
      </w:tr>
      <w:tr w:rsidR="005525AC" w14:paraId="7FA0EEC4" w14:textId="77777777" w:rsidTr="005F2FF6">
        <w:tc>
          <w:tcPr>
            <w:tcW w:w="876" w:type="pct"/>
          </w:tcPr>
          <w:p w14:paraId="67A21D38" w14:textId="77777777" w:rsidR="005525AC" w:rsidRPr="00DD5017" w:rsidRDefault="005525AC" w:rsidP="00294243">
            <w:pPr>
              <w:pStyle w:val="NoSpacing"/>
              <w:widowControl w:val="0"/>
              <w:suppressAutoHyphens/>
              <w:rPr>
                <w:rFonts w:cstheme="minorHAnsi"/>
                <w:sz w:val="20"/>
                <w:szCs w:val="20"/>
              </w:rPr>
            </w:pPr>
            <w:proofErr w:type="gramStart"/>
            <w:r w:rsidRPr="00DD5017">
              <w:rPr>
                <w:rFonts w:cstheme="minorHAnsi"/>
                <w:sz w:val="20"/>
                <w:szCs w:val="20"/>
                <w:lang w:val="en"/>
              </w:rPr>
              <w:t>Talas</w:t>
            </w:r>
            <w:proofErr w:type="gramEnd"/>
            <w:r w:rsidRPr="00DD5017">
              <w:rPr>
                <w:rFonts w:cstheme="minorHAnsi"/>
                <w:sz w:val="20"/>
                <w:szCs w:val="20"/>
                <w:lang w:val="en"/>
              </w:rPr>
              <w:t xml:space="preserve"> region</w:t>
            </w:r>
          </w:p>
        </w:tc>
        <w:tc>
          <w:tcPr>
            <w:tcW w:w="683" w:type="pct"/>
          </w:tcPr>
          <w:p w14:paraId="5147C89B"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387/339</w:t>
            </w:r>
          </w:p>
        </w:tc>
        <w:tc>
          <w:tcPr>
            <w:tcW w:w="683" w:type="pct"/>
          </w:tcPr>
          <w:p w14:paraId="49E7C54A"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390/299</w:t>
            </w:r>
          </w:p>
        </w:tc>
        <w:tc>
          <w:tcPr>
            <w:tcW w:w="684" w:type="pct"/>
          </w:tcPr>
          <w:p w14:paraId="5B887FB3"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419/244</w:t>
            </w:r>
          </w:p>
        </w:tc>
        <w:tc>
          <w:tcPr>
            <w:tcW w:w="684" w:type="pct"/>
          </w:tcPr>
          <w:p w14:paraId="1E97CB5F"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258/214</w:t>
            </w:r>
          </w:p>
        </w:tc>
        <w:tc>
          <w:tcPr>
            <w:tcW w:w="711" w:type="pct"/>
          </w:tcPr>
          <w:p w14:paraId="4061D115"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76/160</w:t>
            </w:r>
          </w:p>
        </w:tc>
        <w:tc>
          <w:tcPr>
            <w:tcW w:w="679" w:type="pct"/>
          </w:tcPr>
          <w:p w14:paraId="039ED6BE"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573/174</w:t>
            </w:r>
          </w:p>
        </w:tc>
      </w:tr>
      <w:tr w:rsidR="005525AC" w14:paraId="665E298E" w14:textId="77777777" w:rsidTr="005F2FF6">
        <w:tc>
          <w:tcPr>
            <w:tcW w:w="876" w:type="pct"/>
          </w:tcPr>
          <w:p w14:paraId="5BF4DACD" w14:textId="77777777" w:rsidR="005525AC" w:rsidRPr="00DD5017" w:rsidRDefault="005525AC" w:rsidP="00294243">
            <w:pPr>
              <w:pStyle w:val="NoSpacing"/>
              <w:widowControl w:val="0"/>
              <w:suppressAutoHyphens/>
              <w:rPr>
                <w:rFonts w:cstheme="minorHAnsi"/>
                <w:sz w:val="20"/>
                <w:szCs w:val="20"/>
              </w:rPr>
            </w:pPr>
            <w:r w:rsidRPr="00DD5017">
              <w:rPr>
                <w:rFonts w:cstheme="minorHAnsi"/>
                <w:sz w:val="20"/>
                <w:szCs w:val="20"/>
                <w:lang w:val="en"/>
              </w:rPr>
              <w:t>Issyk-Kul region</w:t>
            </w:r>
          </w:p>
        </w:tc>
        <w:tc>
          <w:tcPr>
            <w:tcW w:w="683" w:type="pct"/>
          </w:tcPr>
          <w:p w14:paraId="5B7ABF37"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645/351</w:t>
            </w:r>
          </w:p>
        </w:tc>
        <w:tc>
          <w:tcPr>
            <w:tcW w:w="683" w:type="pct"/>
          </w:tcPr>
          <w:p w14:paraId="0F068B88"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765/300</w:t>
            </w:r>
          </w:p>
        </w:tc>
        <w:tc>
          <w:tcPr>
            <w:tcW w:w="684" w:type="pct"/>
          </w:tcPr>
          <w:p w14:paraId="09239F20"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784/308</w:t>
            </w:r>
          </w:p>
        </w:tc>
        <w:tc>
          <w:tcPr>
            <w:tcW w:w="684" w:type="pct"/>
          </w:tcPr>
          <w:p w14:paraId="369C4360"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1,164/321</w:t>
            </w:r>
          </w:p>
        </w:tc>
        <w:tc>
          <w:tcPr>
            <w:tcW w:w="711" w:type="pct"/>
          </w:tcPr>
          <w:p w14:paraId="23D18EEC"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818/192</w:t>
            </w:r>
          </w:p>
        </w:tc>
        <w:tc>
          <w:tcPr>
            <w:tcW w:w="679" w:type="pct"/>
          </w:tcPr>
          <w:p w14:paraId="3964AD6E"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1,446/226</w:t>
            </w:r>
          </w:p>
        </w:tc>
      </w:tr>
      <w:tr w:rsidR="005525AC" w14:paraId="2A2583C1" w14:textId="77777777" w:rsidTr="005F2FF6">
        <w:tc>
          <w:tcPr>
            <w:tcW w:w="876" w:type="pct"/>
          </w:tcPr>
          <w:p w14:paraId="456D0933" w14:textId="77777777" w:rsidR="005525AC" w:rsidRPr="00DD5017" w:rsidRDefault="005525AC" w:rsidP="00294243">
            <w:pPr>
              <w:pStyle w:val="NoSpacing"/>
              <w:widowControl w:val="0"/>
              <w:suppressAutoHyphens/>
              <w:rPr>
                <w:rFonts w:cstheme="minorHAnsi"/>
                <w:sz w:val="20"/>
                <w:szCs w:val="20"/>
              </w:rPr>
            </w:pPr>
            <w:r w:rsidRPr="00DD5017">
              <w:rPr>
                <w:rFonts w:cstheme="minorHAnsi"/>
                <w:sz w:val="20"/>
                <w:szCs w:val="20"/>
                <w:lang w:val="en"/>
              </w:rPr>
              <w:t>Osh city</w:t>
            </w:r>
          </w:p>
        </w:tc>
        <w:tc>
          <w:tcPr>
            <w:tcW w:w="683" w:type="pct"/>
          </w:tcPr>
          <w:p w14:paraId="0306B07D"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422/317</w:t>
            </w:r>
          </w:p>
        </w:tc>
        <w:tc>
          <w:tcPr>
            <w:tcW w:w="683" w:type="pct"/>
          </w:tcPr>
          <w:p w14:paraId="32AD5F69"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363/313</w:t>
            </w:r>
          </w:p>
        </w:tc>
        <w:tc>
          <w:tcPr>
            <w:tcW w:w="684" w:type="pct"/>
          </w:tcPr>
          <w:p w14:paraId="40321B3C"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444/331</w:t>
            </w:r>
          </w:p>
        </w:tc>
        <w:tc>
          <w:tcPr>
            <w:tcW w:w="684" w:type="pct"/>
          </w:tcPr>
          <w:p w14:paraId="5D4BA057"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1,548/325</w:t>
            </w:r>
          </w:p>
        </w:tc>
        <w:tc>
          <w:tcPr>
            <w:tcW w:w="711" w:type="pct"/>
          </w:tcPr>
          <w:p w14:paraId="395317C0"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1,158/216</w:t>
            </w:r>
          </w:p>
        </w:tc>
        <w:tc>
          <w:tcPr>
            <w:tcW w:w="679" w:type="pct"/>
          </w:tcPr>
          <w:p w14:paraId="43C2FB0A"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698/192</w:t>
            </w:r>
          </w:p>
        </w:tc>
      </w:tr>
      <w:tr w:rsidR="005525AC" w14:paraId="45CCA912" w14:textId="77777777" w:rsidTr="005F2FF6">
        <w:tc>
          <w:tcPr>
            <w:tcW w:w="876" w:type="pct"/>
          </w:tcPr>
          <w:p w14:paraId="7C3C43C6" w14:textId="77777777" w:rsidR="005525AC" w:rsidRPr="00DD5017" w:rsidRDefault="005525AC" w:rsidP="00294243">
            <w:pPr>
              <w:pStyle w:val="NoSpacing"/>
              <w:widowControl w:val="0"/>
              <w:suppressAutoHyphens/>
              <w:rPr>
                <w:rFonts w:cstheme="minorHAnsi"/>
                <w:sz w:val="20"/>
                <w:szCs w:val="20"/>
              </w:rPr>
            </w:pPr>
            <w:r w:rsidRPr="00DD5017">
              <w:rPr>
                <w:rFonts w:cstheme="minorHAnsi"/>
                <w:sz w:val="20"/>
                <w:szCs w:val="20"/>
                <w:lang w:val="en"/>
              </w:rPr>
              <w:t>Osh region</w:t>
            </w:r>
          </w:p>
        </w:tc>
        <w:tc>
          <w:tcPr>
            <w:tcW w:w="683" w:type="pct"/>
          </w:tcPr>
          <w:p w14:paraId="2F00F9C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3,310/1,484</w:t>
            </w:r>
          </w:p>
        </w:tc>
        <w:tc>
          <w:tcPr>
            <w:tcW w:w="683" w:type="pct"/>
          </w:tcPr>
          <w:p w14:paraId="537AB157"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3,611/1,512</w:t>
            </w:r>
          </w:p>
        </w:tc>
        <w:tc>
          <w:tcPr>
            <w:tcW w:w="684" w:type="pct"/>
          </w:tcPr>
          <w:p w14:paraId="24F227FB"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3,849/1,486</w:t>
            </w:r>
          </w:p>
        </w:tc>
        <w:tc>
          <w:tcPr>
            <w:tcW w:w="684" w:type="pct"/>
          </w:tcPr>
          <w:p w14:paraId="78F485B2"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3,709/1,504</w:t>
            </w:r>
          </w:p>
        </w:tc>
        <w:tc>
          <w:tcPr>
            <w:tcW w:w="711" w:type="pct"/>
          </w:tcPr>
          <w:p w14:paraId="57BA02BC"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2,468/1,059</w:t>
            </w:r>
          </w:p>
        </w:tc>
        <w:tc>
          <w:tcPr>
            <w:tcW w:w="679" w:type="pct"/>
          </w:tcPr>
          <w:p w14:paraId="1607D6EB"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2,156/1,097</w:t>
            </w:r>
          </w:p>
        </w:tc>
      </w:tr>
      <w:tr w:rsidR="005525AC" w14:paraId="4C5E1E70" w14:textId="77777777" w:rsidTr="005F2FF6">
        <w:tc>
          <w:tcPr>
            <w:tcW w:w="876" w:type="pct"/>
          </w:tcPr>
          <w:p w14:paraId="577EFE1D" w14:textId="77777777" w:rsidR="005525AC" w:rsidRPr="00DD5017" w:rsidRDefault="005525AC" w:rsidP="00294243">
            <w:pPr>
              <w:pStyle w:val="NoSpacing"/>
              <w:widowControl w:val="0"/>
              <w:suppressAutoHyphens/>
              <w:rPr>
                <w:rFonts w:cstheme="minorHAnsi"/>
                <w:sz w:val="20"/>
                <w:szCs w:val="20"/>
                <w:lang w:val="ru-RU"/>
              </w:rPr>
            </w:pPr>
            <w:r w:rsidRPr="00DD5017">
              <w:rPr>
                <w:rFonts w:cstheme="minorHAnsi"/>
                <w:sz w:val="20"/>
                <w:szCs w:val="20"/>
                <w:lang w:val="en"/>
              </w:rPr>
              <w:t>Jalal-Abad region</w:t>
            </w:r>
          </w:p>
        </w:tc>
        <w:tc>
          <w:tcPr>
            <w:tcW w:w="683" w:type="pct"/>
          </w:tcPr>
          <w:p w14:paraId="3DE791ED"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2,265/1,452</w:t>
            </w:r>
          </w:p>
        </w:tc>
        <w:tc>
          <w:tcPr>
            <w:tcW w:w="683" w:type="pct"/>
          </w:tcPr>
          <w:p w14:paraId="77D60072"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2,945/1,365</w:t>
            </w:r>
          </w:p>
        </w:tc>
        <w:tc>
          <w:tcPr>
            <w:tcW w:w="684" w:type="pct"/>
          </w:tcPr>
          <w:p w14:paraId="67DBFCF6"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3,988/1,392</w:t>
            </w:r>
          </w:p>
        </w:tc>
        <w:tc>
          <w:tcPr>
            <w:tcW w:w="684" w:type="pct"/>
          </w:tcPr>
          <w:p w14:paraId="7D846AC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2,223/1,264</w:t>
            </w:r>
          </w:p>
        </w:tc>
        <w:tc>
          <w:tcPr>
            <w:tcW w:w="711" w:type="pct"/>
          </w:tcPr>
          <w:p w14:paraId="5C00D5A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1,731/916</w:t>
            </w:r>
          </w:p>
        </w:tc>
        <w:tc>
          <w:tcPr>
            <w:tcW w:w="679" w:type="pct"/>
          </w:tcPr>
          <w:p w14:paraId="2710D8E9"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1,351/1,010</w:t>
            </w:r>
          </w:p>
        </w:tc>
      </w:tr>
      <w:tr w:rsidR="005525AC" w14:paraId="4ED163A5" w14:textId="77777777" w:rsidTr="005F2FF6">
        <w:tc>
          <w:tcPr>
            <w:tcW w:w="876" w:type="pct"/>
          </w:tcPr>
          <w:p w14:paraId="51C28694" w14:textId="77777777" w:rsidR="005525AC" w:rsidRPr="00DD5017" w:rsidRDefault="005525AC" w:rsidP="00294243">
            <w:pPr>
              <w:pStyle w:val="NoSpacing"/>
              <w:widowControl w:val="0"/>
              <w:suppressAutoHyphens/>
              <w:rPr>
                <w:rFonts w:cstheme="minorHAnsi"/>
                <w:sz w:val="20"/>
                <w:szCs w:val="20"/>
              </w:rPr>
            </w:pPr>
            <w:proofErr w:type="spellStart"/>
            <w:r w:rsidRPr="00DD5017">
              <w:rPr>
                <w:rFonts w:cstheme="minorHAnsi"/>
                <w:sz w:val="20"/>
                <w:szCs w:val="20"/>
                <w:lang w:val="en"/>
              </w:rPr>
              <w:t>Batken</w:t>
            </w:r>
            <w:proofErr w:type="spellEnd"/>
            <w:r w:rsidRPr="00DD5017">
              <w:rPr>
                <w:rFonts w:cstheme="minorHAnsi"/>
                <w:sz w:val="20"/>
                <w:szCs w:val="20"/>
                <w:lang w:val="en"/>
              </w:rPr>
              <w:t xml:space="preserve"> region</w:t>
            </w:r>
          </w:p>
        </w:tc>
        <w:tc>
          <w:tcPr>
            <w:tcW w:w="683" w:type="pct"/>
          </w:tcPr>
          <w:p w14:paraId="2EB1B81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507/506</w:t>
            </w:r>
          </w:p>
        </w:tc>
        <w:tc>
          <w:tcPr>
            <w:tcW w:w="683" w:type="pct"/>
          </w:tcPr>
          <w:p w14:paraId="72EFA8B6" w14:textId="77777777" w:rsidR="005525AC" w:rsidRPr="00DD5017" w:rsidRDefault="005525AC" w:rsidP="00294243">
            <w:pPr>
              <w:pStyle w:val="NoSpacing"/>
              <w:widowControl w:val="0"/>
              <w:suppressAutoHyphens/>
              <w:jc w:val="center"/>
              <w:rPr>
                <w:rFonts w:cstheme="minorHAnsi"/>
                <w:sz w:val="20"/>
                <w:szCs w:val="20"/>
                <w:lang w:val="ru-RU"/>
              </w:rPr>
            </w:pPr>
            <w:r w:rsidRPr="00DD5017">
              <w:rPr>
                <w:rFonts w:cstheme="minorHAnsi"/>
                <w:sz w:val="20"/>
                <w:szCs w:val="20"/>
                <w:lang w:val="en"/>
              </w:rPr>
              <w:t>368/498</w:t>
            </w:r>
          </w:p>
        </w:tc>
        <w:tc>
          <w:tcPr>
            <w:tcW w:w="684" w:type="pct"/>
          </w:tcPr>
          <w:p w14:paraId="6F2838F6"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614/459</w:t>
            </w:r>
          </w:p>
        </w:tc>
        <w:tc>
          <w:tcPr>
            <w:tcW w:w="684" w:type="pct"/>
          </w:tcPr>
          <w:p w14:paraId="751E3677"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487/429</w:t>
            </w:r>
          </w:p>
        </w:tc>
        <w:tc>
          <w:tcPr>
            <w:tcW w:w="711" w:type="pct"/>
          </w:tcPr>
          <w:p w14:paraId="231C723C"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569/359</w:t>
            </w:r>
          </w:p>
        </w:tc>
        <w:tc>
          <w:tcPr>
            <w:tcW w:w="679" w:type="pct"/>
          </w:tcPr>
          <w:p w14:paraId="15573D25"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892/322</w:t>
            </w:r>
          </w:p>
        </w:tc>
      </w:tr>
      <w:tr w:rsidR="005525AC" w14:paraId="586F3CBD" w14:textId="77777777" w:rsidTr="005F2FF6">
        <w:tc>
          <w:tcPr>
            <w:tcW w:w="876" w:type="pct"/>
          </w:tcPr>
          <w:p w14:paraId="51E89B6A"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Civil sector, total</w:t>
            </w:r>
          </w:p>
        </w:tc>
        <w:tc>
          <w:tcPr>
            <w:tcW w:w="683" w:type="pct"/>
          </w:tcPr>
          <w:p w14:paraId="639F0F9E"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13,319/7,740</w:t>
            </w:r>
          </w:p>
        </w:tc>
        <w:tc>
          <w:tcPr>
            <w:tcW w:w="683" w:type="pct"/>
          </w:tcPr>
          <w:p w14:paraId="6826FFA1"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15,211/7,459</w:t>
            </w:r>
          </w:p>
        </w:tc>
        <w:tc>
          <w:tcPr>
            <w:tcW w:w="684" w:type="pct"/>
          </w:tcPr>
          <w:p w14:paraId="3B29BE85"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16,719/7,319</w:t>
            </w:r>
          </w:p>
        </w:tc>
        <w:tc>
          <w:tcPr>
            <w:tcW w:w="684" w:type="pct"/>
          </w:tcPr>
          <w:p w14:paraId="4B7ED7E5"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15,496/6,865</w:t>
            </w:r>
          </w:p>
        </w:tc>
        <w:tc>
          <w:tcPr>
            <w:tcW w:w="711" w:type="pct"/>
          </w:tcPr>
          <w:p w14:paraId="5C2D5564" w14:textId="77777777" w:rsidR="005525AC" w:rsidRPr="00DD5017" w:rsidRDefault="005525AC" w:rsidP="00294243">
            <w:pPr>
              <w:pStyle w:val="NoSpacing"/>
              <w:widowControl w:val="0"/>
              <w:suppressAutoHyphens/>
              <w:jc w:val="center"/>
              <w:rPr>
                <w:rFonts w:cstheme="minorHAnsi"/>
                <w:b/>
                <w:bCs/>
                <w:sz w:val="20"/>
                <w:szCs w:val="20"/>
              </w:rPr>
            </w:pPr>
            <w:r w:rsidRPr="00DD5017">
              <w:rPr>
                <w:rFonts w:cstheme="minorHAnsi"/>
                <w:b/>
                <w:bCs/>
                <w:sz w:val="20"/>
                <w:szCs w:val="20"/>
                <w:lang w:val="en"/>
              </w:rPr>
              <w:t>11,810/4,823</w:t>
            </w:r>
          </w:p>
        </w:tc>
        <w:tc>
          <w:tcPr>
            <w:tcW w:w="679" w:type="pct"/>
          </w:tcPr>
          <w:p w14:paraId="5231B811" w14:textId="77777777" w:rsidR="005525AC" w:rsidRPr="00DD5017" w:rsidRDefault="005525AC" w:rsidP="00294243">
            <w:pPr>
              <w:pStyle w:val="NoSpacing"/>
              <w:widowControl w:val="0"/>
              <w:suppressAutoHyphens/>
              <w:jc w:val="center"/>
              <w:rPr>
                <w:rFonts w:cstheme="minorHAnsi"/>
                <w:b/>
                <w:bCs/>
                <w:sz w:val="20"/>
                <w:szCs w:val="20"/>
                <w:lang w:val="ru"/>
              </w:rPr>
            </w:pPr>
            <w:r w:rsidRPr="00DD5017">
              <w:rPr>
                <w:rFonts w:cstheme="minorHAnsi"/>
                <w:b/>
                <w:bCs/>
                <w:sz w:val="20"/>
                <w:szCs w:val="20"/>
                <w:lang w:val="en"/>
              </w:rPr>
              <w:t>11,711/5,114</w:t>
            </w:r>
          </w:p>
        </w:tc>
      </w:tr>
      <w:tr w:rsidR="005525AC" w14:paraId="5C2DB9BF" w14:textId="77777777" w:rsidTr="005F2FF6">
        <w:tc>
          <w:tcPr>
            <w:tcW w:w="876" w:type="pct"/>
          </w:tcPr>
          <w:p w14:paraId="3E7A1353" w14:textId="77777777" w:rsidR="005525AC" w:rsidRPr="00DD5017" w:rsidRDefault="005525AC" w:rsidP="00294243">
            <w:pPr>
              <w:pStyle w:val="NoSpacing"/>
              <w:widowControl w:val="0"/>
              <w:suppressAutoHyphens/>
              <w:rPr>
                <w:rFonts w:cstheme="minorHAnsi"/>
                <w:sz w:val="20"/>
                <w:szCs w:val="20"/>
              </w:rPr>
            </w:pPr>
            <w:r w:rsidRPr="00DD5017">
              <w:rPr>
                <w:rFonts w:cstheme="minorHAnsi"/>
                <w:sz w:val="20"/>
                <w:szCs w:val="20"/>
                <w:lang w:val="en"/>
              </w:rPr>
              <w:lastRenderedPageBreak/>
              <w:t>Penitentiary sector</w:t>
            </w:r>
          </w:p>
        </w:tc>
        <w:tc>
          <w:tcPr>
            <w:tcW w:w="683" w:type="pct"/>
          </w:tcPr>
          <w:p w14:paraId="6C4429DF"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4,688/255</w:t>
            </w:r>
          </w:p>
        </w:tc>
        <w:tc>
          <w:tcPr>
            <w:tcW w:w="683" w:type="pct"/>
          </w:tcPr>
          <w:p w14:paraId="0E073E3C"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1,377/236</w:t>
            </w:r>
          </w:p>
        </w:tc>
        <w:tc>
          <w:tcPr>
            <w:tcW w:w="684" w:type="pct"/>
          </w:tcPr>
          <w:p w14:paraId="46EB3EC4"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1,684/266</w:t>
            </w:r>
          </w:p>
        </w:tc>
        <w:tc>
          <w:tcPr>
            <w:tcW w:w="684" w:type="pct"/>
          </w:tcPr>
          <w:p w14:paraId="49D3BD2B"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897/192</w:t>
            </w:r>
          </w:p>
        </w:tc>
        <w:tc>
          <w:tcPr>
            <w:tcW w:w="711" w:type="pct"/>
          </w:tcPr>
          <w:p w14:paraId="5B0CFDE6" w14:textId="77777777" w:rsidR="005525AC" w:rsidRPr="00DD5017" w:rsidRDefault="005525AC" w:rsidP="00294243">
            <w:pPr>
              <w:pStyle w:val="NoSpacing"/>
              <w:widowControl w:val="0"/>
              <w:suppressAutoHyphens/>
              <w:jc w:val="center"/>
              <w:rPr>
                <w:rFonts w:cstheme="minorHAnsi"/>
                <w:sz w:val="20"/>
                <w:szCs w:val="20"/>
              </w:rPr>
            </w:pPr>
            <w:r w:rsidRPr="00DD5017">
              <w:rPr>
                <w:rFonts w:cstheme="minorHAnsi"/>
                <w:sz w:val="20"/>
                <w:szCs w:val="20"/>
                <w:lang w:val="en"/>
              </w:rPr>
              <w:t>639/62</w:t>
            </w:r>
          </w:p>
        </w:tc>
        <w:tc>
          <w:tcPr>
            <w:tcW w:w="679" w:type="pct"/>
          </w:tcPr>
          <w:p w14:paraId="1C75543F" w14:textId="77777777" w:rsidR="005525AC" w:rsidRPr="00DD5017" w:rsidRDefault="005525AC" w:rsidP="00294243">
            <w:pPr>
              <w:pStyle w:val="NoSpacing"/>
              <w:widowControl w:val="0"/>
              <w:suppressAutoHyphens/>
              <w:jc w:val="center"/>
              <w:rPr>
                <w:rFonts w:cstheme="minorHAnsi"/>
                <w:sz w:val="20"/>
                <w:szCs w:val="20"/>
                <w:lang w:val="ru"/>
              </w:rPr>
            </w:pPr>
            <w:r w:rsidRPr="00DD5017">
              <w:rPr>
                <w:rFonts w:cstheme="minorHAnsi"/>
                <w:sz w:val="20"/>
                <w:szCs w:val="20"/>
                <w:lang w:val="en"/>
              </w:rPr>
              <w:t>702/85</w:t>
            </w:r>
          </w:p>
        </w:tc>
      </w:tr>
      <w:tr w:rsidR="005525AC" w14:paraId="4FA1B036" w14:textId="77777777" w:rsidTr="005F2FF6">
        <w:tc>
          <w:tcPr>
            <w:tcW w:w="876" w:type="pct"/>
          </w:tcPr>
          <w:p w14:paraId="613BAB74"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Total by country</w:t>
            </w:r>
          </w:p>
        </w:tc>
        <w:tc>
          <w:tcPr>
            <w:tcW w:w="683" w:type="pct"/>
          </w:tcPr>
          <w:p w14:paraId="492D5D87"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18,007/7,995</w:t>
            </w:r>
          </w:p>
        </w:tc>
        <w:tc>
          <w:tcPr>
            <w:tcW w:w="683" w:type="pct"/>
          </w:tcPr>
          <w:p w14:paraId="6C69DC75"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16,588/7,695</w:t>
            </w:r>
          </w:p>
        </w:tc>
        <w:tc>
          <w:tcPr>
            <w:tcW w:w="684" w:type="pct"/>
          </w:tcPr>
          <w:p w14:paraId="343B5B3B"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18,403/7,585</w:t>
            </w:r>
          </w:p>
        </w:tc>
        <w:tc>
          <w:tcPr>
            <w:tcW w:w="684" w:type="pct"/>
          </w:tcPr>
          <w:p w14:paraId="6427C178"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16,393/7,057</w:t>
            </w:r>
          </w:p>
        </w:tc>
        <w:tc>
          <w:tcPr>
            <w:tcW w:w="711" w:type="pct"/>
          </w:tcPr>
          <w:p w14:paraId="64360D08" w14:textId="77777777" w:rsidR="005525AC" w:rsidRPr="00DD5017" w:rsidRDefault="005525AC" w:rsidP="00294243">
            <w:pPr>
              <w:pStyle w:val="NoSpacing"/>
              <w:widowControl w:val="0"/>
              <w:suppressAutoHyphens/>
              <w:rPr>
                <w:rFonts w:cstheme="minorHAnsi"/>
                <w:b/>
                <w:bCs/>
                <w:sz w:val="20"/>
                <w:szCs w:val="20"/>
              </w:rPr>
            </w:pPr>
            <w:r w:rsidRPr="00DD5017">
              <w:rPr>
                <w:rFonts w:cstheme="minorHAnsi"/>
                <w:b/>
                <w:bCs/>
                <w:sz w:val="20"/>
                <w:szCs w:val="20"/>
                <w:lang w:val="en"/>
              </w:rPr>
              <w:t>12,449/4,885</w:t>
            </w:r>
          </w:p>
        </w:tc>
        <w:tc>
          <w:tcPr>
            <w:tcW w:w="679" w:type="pct"/>
          </w:tcPr>
          <w:p w14:paraId="089ED017" w14:textId="77777777" w:rsidR="005525AC" w:rsidRPr="00DD5017" w:rsidRDefault="005525AC" w:rsidP="00294243">
            <w:pPr>
              <w:pStyle w:val="NoSpacing"/>
              <w:widowControl w:val="0"/>
              <w:suppressAutoHyphens/>
              <w:jc w:val="center"/>
              <w:rPr>
                <w:rFonts w:cstheme="minorHAnsi"/>
                <w:b/>
                <w:bCs/>
                <w:sz w:val="20"/>
                <w:szCs w:val="20"/>
                <w:lang w:val="ru"/>
              </w:rPr>
            </w:pPr>
            <w:r w:rsidRPr="00DD5017">
              <w:rPr>
                <w:rFonts w:cstheme="minorHAnsi"/>
                <w:b/>
                <w:bCs/>
                <w:sz w:val="20"/>
                <w:szCs w:val="20"/>
                <w:lang w:val="en"/>
              </w:rPr>
              <w:t>12,413/5,199</w:t>
            </w:r>
          </w:p>
        </w:tc>
      </w:tr>
    </w:tbl>
    <w:bookmarkEnd w:id="1"/>
    <w:p w14:paraId="08F1E7C1" w14:textId="77777777" w:rsidR="005525AC" w:rsidRPr="00E769B9" w:rsidRDefault="005525AC" w:rsidP="005525AC">
      <w:pPr>
        <w:pStyle w:val="Subcaption"/>
        <w:widowControl w:val="0"/>
        <w:jc w:val="both"/>
      </w:pPr>
      <w:r>
        <w:rPr>
          <w:lang w:val="en"/>
        </w:rPr>
        <w:t>Source: Report of the GLC ERB WHO mission, Kyrgyzstan, 2021</w:t>
      </w:r>
    </w:p>
    <w:p w14:paraId="43548C50" w14:textId="77777777" w:rsidR="005525AC" w:rsidRPr="00E769B9" w:rsidRDefault="005525AC" w:rsidP="005525AC">
      <w:pPr>
        <w:pStyle w:val="Subcaption"/>
        <w:widowControl w:val="0"/>
        <w:jc w:val="both"/>
      </w:pPr>
      <w:r>
        <w:rPr>
          <w:lang w:val="en"/>
        </w:rPr>
        <w:t>*NCP reporting data</w:t>
      </w:r>
    </w:p>
    <w:p w14:paraId="1D97B18E" w14:textId="14F5B202" w:rsidR="005525AC" w:rsidRPr="000622A2" w:rsidRDefault="005525AC" w:rsidP="005525AC">
      <w:pPr>
        <w:widowControl w:val="0"/>
        <w:spacing w:line="240" w:lineRule="auto"/>
        <w:jc w:val="both"/>
        <w:rPr>
          <w:sz w:val="24"/>
          <w:szCs w:val="24"/>
        </w:rPr>
      </w:pPr>
      <w:r w:rsidRPr="000622A2">
        <w:rPr>
          <w:sz w:val="24"/>
          <w:szCs w:val="24"/>
          <w:lang w:val="en"/>
        </w:rPr>
        <w:t xml:space="preserve">Historically, cooperation with the private health sector has been limited, and its role in the general diagnosis and treatment of </w:t>
      </w:r>
      <w:r w:rsidR="00E95B86" w:rsidRPr="000622A2">
        <w:rPr>
          <w:sz w:val="24"/>
          <w:szCs w:val="24"/>
          <w:lang w:val="en"/>
        </w:rPr>
        <w:t>TB</w:t>
      </w:r>
      <w:r w:rsidRPr="000622A2">
        <w:rPr>
          <w:sz w:val="24"/>
          <w:szCs w:val="24"/>
          <w:lang w:val="en"/>
        </w:rPr>
        <w:t xml:space="preserve"> is insignificant. The "Finding, Actively, Separating, </w:t>
      </w:r>
      <w:proofErr w:type="gramStart"/>
      <w:r w:rsidRPr="000622A2">
        <w:rPr>
          <w:sz w:val="24"/>
          <w:szCs w:val="24"/>
          <w:lang w:val="en"/>
        </w:rPr>
        <w:t>Treating</w:t>
      </w:r>
      <w:proofErr w:type="gramEnd"/>
      <w:r w:rsidRPr="000622A2">
        <w:rPr>
          <w:sz w:val="24"/>
          <w:szCs w:val="24"/>
          <w:lang w:val="en"/>
        </w:rPr>
        <w:t xml:space="preserve">" (FAST) approach has been implemented since 2022 in separate project sites (Chui, Bishkek, </w:t>
      </w:r>
      <w:proofErr w:type="spellStart"/>
      <w:r w:rsidRPr="000622A2">
        <w:rPr>
          <w:sz w:val="24"/>
          <w:szCs w:val="24"/>
          <w:lang w:val="en"/>
        </w:rPr>
        <w:t>Naryn</w:t>
      </w:r>
      <w:proofErr w:type="spellEnd"/>
      <w:r w:rsidRPr="000622A2">
        <w:rPr>
          <w:sz w:val="24"/>
          <w:szCs w:val="24"/>
          <w:lang w:val="en"/>
        </w:rPr>
        <w:t xml:space="preserve"> region and </w:t>
      </w:r>
      <w:proofErr w:type="spellStart"/>
      <w:r w:rsidRPr="000622A2">
        <w:rPr>
          <w:sz w:val="24"/>
          <w:szCs w:val="24"/>
          <w:lang w:val="en"/>
        </w:rPr>
        <w:t>Karasuu</w:t>
      </w:r>
      <w:proofErr w:type="spellEnd"/>
      <w:r w:rsidRPr="000622A2">
        <w:rPr>
          <w:sz w:val="24"/>
          <w:szCs w:val="24"/>
          <w:lang w:val="en"/>
        </w:rPr>
        <w:t xml:space="preserve"> district of Osh region) with an emphasis on inpatient facilities. </w:t>
      </w:r>
    </w:p>
    <w:p w14:paraId="4D6A1D36" w14:textId="7329B79B" w:rsidR="005525AC" w:rsidRPr="000622A2" w:rsidRDefault="005525AC" w:rsidP="005525AC">
      <w:pPr>
        <w:widowControl w:val="0"/>
        <w:spacing w:line="240" w:lineRule="auto"/>
        <w:jc w:val="both"/>
        <w:rPr>
          <w:sz w:val="24"/>
          <w:szCs w:val="24"/>
        </w:rPr>
      </w:pPr>
      <w:r w:rsidRPr="000622A2">
        <w:rPr>
          <w:sz w:val="24"/>
          <w:szCs w:val="24"/>
          <w:lang w:val="en"/>
        </w:rPr>
        <w:t xml:space="preserve">The Ministry of Health Order No. 429 (2018) approved guidelines for investigating </w:t>
      </w:r>
      <w:r w:rsidR="002B67A0" w:rsidRPr="000622A2">
        <w:rPr>
          <w:sz w:val="24"/>
          <w:szCs w:val="24"/>
          <w:lang w:val="en"/>
        </w:rPr>
        <w:t>TB</w:t>
      </w:r>
      <w:r w:rsidRPr="000622A2">
        <w:rPr>
          <w:sz w:val="24"/>
          <w:szCs w:val="24"/>
          <w:lang w:val="en"/>
        </w:rPr>
        <w:t xml:space="preserve"> cases in Kyrgyzstan. The overall process is managed jointly by the Department of Disease Prevention and State Sanitary and Epidemiological Surveillance (SES), PHC, and the </w:t>
      </w:r>
      <w:r w:rsidR="00F82666" w:rsidRPr="000622A2">
        <w:rPr>
          <w:sz w:val="24"/>
          <w:szCs w:val="24"/>
          <w:lang w:val="en"/>
        </w:rPr>
        <w:t>TB</w:t>
      </w:r>
      <w:r w:rsidRPr="000622A2">
        <w:rPr>
          <w:sz w:val="24"/>
          <w:szCs w:val="24"/>
          <w:lang w:val="en"/>
        </w:rPr>
        <w:t xml:space="preserve"> service. PHC is responsible for examining exposed people via X-rays and skin testing (among children). In case of symptoms, abnormalities on an X-ray or a positive </w:t>
      </w:r>
      <w:r w:rsidR="001417E7" w:rsidRPr="000622A2">
        <w:rPr>
          <w:sz w:val="24"/>
          <w:szCs w:val="24"/>
          <w:lang w:val="en"/>
        </w:rPr>
        <w:t>TST</w:t>
      </w:r>
      <w:r w:rsidRPr="000622A2">
        <w:rPr>
          <w:sz w:val="24"/>
          <w:szCs w:val="24"/>
          <w:lang w:val="en"/>
        </w:rPr>
        <w:t xml:space="preserve">, </w:t>
      </w:r>
      <w:r w:rsidR="00E63A49" w:rsidRPr="000622A2">
        <w:rPr>
          <w:sz w:val="24"/>
          <w:szCs w:val="24"/>
          <w:lang w:val="en"/>
        </w:rPr>
        <w:t>TB</w:t>
      </w:r>
      <w:r w:rsidRPr="000622A2">
        <w:rPr>
          <w:sz w:val="24"/>
          <w:szCs w:val="24"/>
          <w:lang w:val="en"/>
        </w:rPr>
        <w:t xml:space="preserve"> contact cases are additionally examined using laboratory tests (microscopy, X-ray). The test results are discussed jointly by PHC and</w:t>
      </w:r>
      <w:r w:rsidR="00E63A49" w:rsidRPr="000622A2">
        <w:rPr>
          <w:sz w:val="24"/>
          <w:szCs w:val="24"/>
          <w:lang w:val="en"/>
        </w:rPr>
        <w:t xml:space="preserve"> TB specialist</w:t>
      </w:r>
      <w:r w:rsidRPr="000622A2">
        <w:rPr>
          <w:sz w:val="24"/>
          <w:szCs w:val="24"/>
          <w:lang w:val="en"/>
        </w:rPr>
        <w:t xml:space="preserve">. In 2019-2021, the average number of people who had contact with patients with bacteriologically confirmed pulmonary </w:t>
      </w:r>
      <w:r w:rsidR="00C55486" w:rsidRPr="000622A2">
        <w:rPr>
          <w:sz w:val="24"/>
          <w:szCs w:val="24"/>
          <w:lang w:val="en"/>
        </w:rPr>
        <w:t>TB</w:t>
      </w:r>
      <w:r w:rsidRPr="000622A2">
        <w:rPr>
          <w:sz w:val="24"/>
          <w:szCs w:val="24"/>
          <w:lang w:val="en"/>
        </w:rPr>
        <w:t xml:space="preserve"> and were screened for </w:t>
      </w:r>
      <w:r w:rsidR="0031457C" w:rsidRPr="000622A2">
        <w:rPr>
          <w:sz w:val="24"/>
          <w:szCs w:val="24"/>
          <w:lang w:val="en"/>
        </w:rPr>
        <w:t>TB</w:t>
      </w:r>
      <w:r w:rsidRPr="000622A2">
        <w:rPr>
          <w:sz w:val="24"/>
          <w:szCs w:val="24"/>
          <w:lang w:val="en"/>
        </w:rPr>
        <w:t xml:space="preserve"> was 3.2–3.5 people. for one index case. According to estimates, the average household size in Kyrgyzstan is 4.2 people. In 2020</w:t>
      </w:r>
      <w:r w:rsidR="0031457C" w:rsidRPr="000622A2">
        <w:rPr>
          <w:sz w:val="24"/>
          <w:szCs w:val="24"/>
          <w:lang w:val="en"/>
        </w:rPr>
        <w:t>,</w:t>
      </w:r>
      <w:r w:rsidRPr="000622A2">
        <w:rPr>
          <w:sz w:val="24"/>
          <w:szCs w:val="24"/>
          <w:lang w:val="en"/>
        </w:rPr>
        <w:t xml:space="preserve"> The instruction on the investigation of contact cases has been updated and is currently being implemented in 3 regions, including </w:t>
      </w:r>
      <w:proofErr w:type="spellStart"/>
      <w:r w:rsidRPr="000622A2">
        <w:rPr>
          <w:sz w:val="24"/>
          <w:szCs w:val="24"/>
          <w:lang w:val="en"/>
        </w:rPr>
        <w:t>Naryn</w:t>
      </w:r>
      <w:proofErr w:type="spellEnd"/>
      <w:r w:rsidRPr="000622A2">
        <w:rPr>
          <w:sz w:val="24"/>
          <w:szCs w:val="24"/>
          <w:lang w:val="en"/>
        </w:rPr>
        <w:t xml:space="preserve">, </w:t>
      </w:r>
      <w:proofErr w:type="spellStart"/>
      <w:r w:rsidRPr="000622A2">
        <w:rPr>
          <w:sz w:val="24"/>
          <w:szCs w:val="24"/>
          <w:lang w:val="en"/>
        </w:rPr>
        <w:t>Batken</w:t>
      </w:r>
      <w:proofErr w:type="spellEnd"/>
      <w:r w:rsidRPr="000622A2">
        <w:rPr>
          <w:sz w:val="24"/>
          <w:szCs w:val="24"/>
          <w:lang w:val="en"/>
        </w:rPr>
        <w:t xml:space="preserve">, and Chui regions. The instruction changed the criteria for the index case, the mechanism of epidemiological investigation, created and implemented the </w:t>
      </w:r>
      <w:r w:rsidR="00511BC3" w:rsidRPr="000622A2">
        <w:rPr>
          <w:sz w:val="24"/>
          <w:szCs w:val="24"/>
          <w:lang w:val="en"/>
        </w:rPr>
        <w:t>recording and reporting forms</w:t>
      </w:r>
      <w:r w:rsidRPr="000622A2">
        <w:rPr>
          <w:sz w:val="24"/>
          <w:szCs w:val="24"/>
          <w:lang w:val="en"/>
        </w:rPr>
        <w:t>, as well as the examination period changed: contact should be examined every 6 months, regardless of the form of TB</w:t>
      </w:r>
    </w:p>
    <w:tbl>
      <w:tblPr>
        <w:tblStyle w:val="TableGrid"/>
        <w:tblW w:w="5000" w:type="pct"/>
        <w:tblLook w:val="04A0" w:firstRow="1" w:lastRow="0" w:firstColumn="1" w:lastColumn="0" w:noHBand="0" w:noVBand="1"/>
      </w:tblPr>
      <w:tblGrid>
        <w:gridCol w:w="7193"/>
        <w:gridCol w:w="1001"/>
        <w:gridCol w:w="1001"/>
        <w:gridCol w:w="999"/>
      </w:tblGrid>
      <w:tr w:rsidR="005525AC" w14:paraId="0178578C" w14:textId="77777777" w:rsidTr="00294243">
        <w:trPr>
          <w:cantSplit/>
          <w:trHeight w:val="20"/>
        </w:trPr>
        <w:tc>
          <w:tcPr>
            <w:tcW w:w="3528" w:type="pct"/>
            <w:shd w:val="clear" w:color="auto" w:fill="D9D9D9" w:themeFill="background1" w:themeFillShade="D9"/>
            <w:hideMark/>
          </w:tcPr>
          <w:p w14:paraId="533929A5" w14:textId="77777777" w:rsidR="005525AC" w:rsidRPr="006B73D1" w:rsidRDefault="005525AC" w:rsidP="00294243">
            <w:pPr>
              <w:pStyle w:val="NoSpacing"/>
              <w:widowControl w:val="0"/>
              <w:suppressAutoHyphens/>
              <w:jc w:val="both"/>
              <w:rPr>
                <w:b/>
                <w:bCs/>
                <w:sz w:val="20"/>
                <w:szCs w:val="20"/>
              </w:rPr>
            </w:pPr>
            <w:r w:rsidRPr="006B73D1">
              <w:rPr>
                <w:b/>
                <w:bCs/>
                <w:sz w:val="20"/>
                <w:szCs w:val="20"/>
                <w:lang w:val="en"/>
              </w:rPr>
              <w:t>Indicator</w:t>
            </w:r>
          </w:p>
        </w:tc>
        <w:tc>
          <w:tcPr>
            <w:tcW w:w="491" w:type="pct"/>
            <w:shd w:val="clear" w:color="auto" w:fill="D9D9D9" w:themeFill="background1" w:themeFillShade="D9"/>
            <w:noWrap/>
            <w:hideMark/>
          </w:tcPr>
          <w:p w14:paraId="52FF849E" w14:textId="77777777" w:rsidR="005525AC" w:rsidRPr="006B73D1" w:rsidRDefault="005525AC" w:rsidP="00294243">
            <w:pPr>
              <w:pStyle w:val="NoSpacing"/>
              <w:widowControl w:val="0"/>
              <w:suppressAutoHyphens/>
              <w:jc w:val="center"/>
              <w:rPr>
                <w:b/>
                <w:bCs/>
                <w:sz w:val="20"/>
                <w:szCs w:val="20"/>
              </w:rPr>
            </w:pPr>
            <w:r w:rsidRPr="006B73D1">
              <w:rPr>
                <w:b/>
                <w:bCs/>
                <w:sz w:val="20"/>
                <w:szCs w:val="20"/>
                <w:lang w:val="en"/>
              </w:rPr>
              <w:t>2019</w:t>
            </w:r>
          </w:p>
        </w:tc>
        <w:tc>
          <w:tcPr>
            <w:tcW w:w="491" w:type="pct"/>
            <w:shd w:val="clear" w:color="auto" w:fill="D9D9D9" w:themeFill="background1" w:themeFillShade="D9"/>
            <w:noWrap/>
            <w:hideMark/>
          </w:tcPr>
          <w:p w14:paraId="2F8F8DE5" w14:textId="77777777" w:rsidR="005525AC" w:rsidRPr="006B73D1" w:rsidRDefault="005525AC" w:rsidP="00294243">
            <w:pPr>
              <w:pStyle w:val="NoSpacing"/>
              <w:widowControl w:val="0"/>
              <w:suppressAutoHyphens/>
              <w:jc w:val="center"/>
              <w:rPr>
                <w:b/>
                <w:bCs/>
                <w:sz w:val="20"/>
                <w:szCs w:val="20"/>
              </w:rPr>
            </w:pPr>
            <w:r w:rsidRPr="006B73D1">
              <w:rPr>
                <w:b/>
                <w:bCs/>
                <w:sz w:val="20"/>
                <w:szCs w:val="20"/>
                <w:lang w:val="en"/>
              </w:rPr>
              <w:t>2020</w:t>
            </w:r>
          </w:p>
        </w:tc>
        <w:tc>
          <w:tcPr>
            <w:tcW w:w="490" w:type="pct"/>
            <w:shd w:val="clear" w:color="auto" w:fill="D9D9D9" w:themeFill="background1" w:themeFillShade="D9"/>
            <w:noWrap/>
            <w:hideMark/>
          </w:tcPr>
          <w:p w14:paraId="314364A2" w14:textId="77777777" w:rsidR="005525AC" w:rsidRPr="006B73D1" w:rsidRDefault="005525AC" w:rsidP="00294243">
            <w:pPr>
              <w:pStyle w:val="NoSpacing"/>
              <w:widowControl w:val="0"/>
              <w:suppressAutoHyphens/>
              <w:jc w:val="center"/>
              <w:rPr>
                <w:b/>
                <w:bCs/>
                <w:sz w:val="20"/>
                <w:szCs w:val="20"/>
              </w:rPr>
            </w:pPr>
            <w:r w:rsidRPr="006B73D1">
              <w:rPr>
                <w:b/>
                <w:bCs/>
                <w:sz w:val="20"/>
                <w:szCs w:val="20"/>
                <w:lang w:val="en"/>
              </w:rPr>
              <w:t>2021</w:t>
            </w:r>
          </w:p>
        </w:tc>
      </w:tr>
      <w:tr w:rsidR="005525AC" w14:paraId="0943C432" w14:textId="77777777" w:rsidTr="00294243">
        <w:trPr>
          <w:cantSplit/>
          <w:trHeight w:val="20"/>
        </w:trPr>
        <w:tc>
          <w:tcPr>
            <w:tcW w:w="3528" w:type="pct"/>
            <w:hideMark/>
          </w:tcPr>
          <w:p w14:paraId="00C34E49" w14:textId="251E647D" w:rsidR="005525AC" w:rsidRPr="00E769B9" w:rsidRDefault="005525AC" w:rsidP="00294243">
            <w:pPr>
              <w:pStyle w:val="NoSpacing"/>
              <w:widowControl w:val="0"/>
              <w:suppressAutoHyphens/>
              <w:jc w:val="both"/>
              <w:rPr>
                <w:sz w:val="20"/>
                <w:szCs w:val="20"/>
                <w:lang w:val="en-US"/>
              </w:rPr>
            </w:pPr>
            <w:r w:rsidRPr="006B73D1">
              <w:rPr>
                <w:sz w:val="20"/>
                <w:szCs w:val="20"/>
                <w:lang w:val="en"/>
              </w:rPr>
              <w:t xml:space="preserve">Number of people with bacteriologically confirmed pulmonary </w:t>
            </w:r>
            <w:r w:rsidR="00B24A87">
              <w:rPr>
                <w:sz w:val="20"/>
                <w:szCs w:val="20"/>
                <w:lang w:val="en"/>
              </w:rPr>
              <w:t>TB</w:t>
            </w:r>
            <w:r w:rsidRPr="006B73D1">
              <w:rPr>
                <w:sz w:val="20"/>
                <w:szCs w:val="20"/>
                <w:lang w:val="en"/>
              </w:rPr>
              <w:t xml:space="preserve"> (new and </w:t>
            </w:r>
            <w:r w:rsidR="00B24A87">
              <w:rPr>
                <w:sz w:val="20"/>
                <w:szCs w:val="20"/>
                <w:lang w:val="en"/>
              </w:rPr>
              <w:t>relapse</w:t>
            </w:r>
            <w:r w:rsidRPr="006B73D1">
              <w:rPr>
                <w:sz w:val="20"/>
                <w:szCs w:val="20"/>
                <w:lang w:val="en"/>
              </w:rPr>
              <w:t>)</w:t>
            </w:r>
          </w:p>
        </w:tc>
        <w:tc>
          <w:tcPr>
            <w:tcW w:w="491" w:type="pct"/>
            <w:noWrap/>
            <w:hideMark/>
          </w:tcPr>
          <w:p w14:paraId="5F9EF161" w14:textId="77777777" w:rsidR="005525AC" w:rsidRPr="006B73D1" w:rsidRDefault="005525AC" w:rsidP="00294243">
            <w:pPr>
              <w:pStyle w:val="NoSpacing"/>
              <w:widowControl w:val="0"/>
              <w:suppressAutoHyphens/>
              <w:jc w:val="center"/>
              <w:rPr>
                <w:sz w:val="20"/>
                <w:szCs w:val="20"/>
              </w:rPr>
            </w:pPr>
            <w:r w:rsidRPr="006B73D1">
              <w:rPr>
                <w:sz w:val="20"/>
                <w:szCs w:val="20"/>
                <w:lang w:val="en"/>
              </w:rPr>
              <w:t>3,042</w:t>
            </w:r>
          </w:p>
        </w:tc>
        <w:tc>
          <w:tcPr>
            <w:tcW w:w="491" w:type="pct"/>
            <w:noWrap/>
            <w:hideMark/>
          </w:tcPr>
          <w:p w14:paraId="6F9EF7AD" w14:textId="77777777" w:rsidR="005525AC" w:rsidRPr="006B73D1" w:rsidRDefault="005525AC" w:rsidP="00294243">
            <w:pPr>
              <w:pStyle w:val="NoSpacing"/>
              <w:widowControl w:val="0"/>
              <w:suppressAutoHyphens/>
              <w:jc w:val="center"/>
              <w:rPr>
                <w:sz w:val="20"/>
                <w:szCs w:val="20"/>
              </w:rPr>
            </w:pPr>
            <w:r w:rsidRPr="006B73D1">
              <w:rPr>
                <w:sz w:val="20"/>
                <w:szCs w:val="20"/>
                <w:lang w:val="en"/>
              </w:rPr>
              <w:t>2,252</w:t>
            </w:r>
          </w:p>
        </w:tc>
        <w:tc>
          <w:tcPr>
            <w:tcW w:w="490" w:type="pct"/>
            <w:noWrap/>
            <w:hideMark/>
          </w:tcPr>
          <w:p w14:paraId="4090ACD8" w14:textId="77777777" w:rsidR="005525AC" w:rsidRPr="006B73D1" w:rsidRDefault="005525AC" w:rsidP="00294243">
            <w:pPr>
              <w:pStyle w:val="NoSpacing"/>
              <w:widowControl w:val="0"/>
              <w:suppressAutoHyphens/>
              <w:jc w:val="center"/>
              <w:rPr>
                <w:sz w:val="20"/>
                <w:szCs w:val="20"/>
              </w:rPr>
            </w:pPr>
            <w:r w:rsidRPr="006B73D1">
              <w:rPr>
                <w:sz w:val="20"/>
                <w:szCs w:val="20"/>
                <w:lang w:val="en"/>
              </w:rPr>
              <w:t>2,381</w:t>
            </w:r>
          </w:p>
        </w:tc>
      </w:tr>
      <w:tr w:rsidR="005525AC" w14:paraId="3AD54E62" w14:textId="77777777" w:rsidTr="00294243">
        <w:trPr>
          <w:cantSplit/>
          <w:trHeight w:val="20"/>
        </w:trPr>
        <w:tc>
          <w:tcPr>
            <w:tcW w:w="3528" w:type="pct"/>
            <w:hideMark/>
          </w:tcPr>
          <w:p w14:paraId="07CA70F5" w14:textId="11EF6EFB" w:rsidR="005525AC" w:rsidRPr="00E769B9" w:rsidRDefault="005525AC" w:rsidP="00294243">
            <w:pPr>
              <w:pStyle w:val="NoSpacing"/>
              <w:widowControl w:val="0"/>
              <w:suppressAutoHyphens/>
              <w:jc w:val="both"/>
              <w:rPr>
                <w:sz w:val="20"/>
                <w:szCs w:val="20"/>
                <w:lang w:val="en-US"/>
              </w:rPr>
            </w:pPr>
            <w:r w:rsidRPr="006B73D1">
              <w:rPr>
                <w:sz w:val="20"/>
                <w:szCs w:val="20"/>
                <w:lang w:val="en"/>
              </w:rPr>
              <w:t xml:space="preserve">The number of household contacts of </w:t>
            </w:r>
            <w:r w:rsidR="003A38CB">
              <w:rPr>
                <w:sz w:val="20"/>
                <w:szCs w:val="20"/>
                <w:lang w:val="en"/>
              </w:rPr>
              <w:t xml:space="preserve">people with </w:t>
            </w:r>
            <w:r w:rsidRPr="006B73D1">
              <w:rPr>
                <w:sz w:val="20"/>
                <w:szCs w:val="20"/>
                <w:lang w:val="en"/>
              </w:rPr>
              <w:t xml:space="preserve">bacteriologically confirmed </w:t>
            </w:r>
            <w:r w:rsidR="00B24A87">
              <w:rPr>
                <w:sz w:val="20"/>
                <w:szCs w:val="20"/>
                <w:lang w:val="en"/>
              </w:rPr>
              <w:t>pulmonary TB</w:t>
            </w:r>
            <w:r w:rsidRPr="006B73D1">
              <w:rPr>
                <w:sz w:val="20"/>
                <w:szCs w:val="20"/>
                <w:lang w:val="en"/>
              </w:rPr>
              <w:t xml:space="preserve"> </w:t>
            </w:r>
            <w:r w:rsidR="00B24A87">
              <w:rPr>
                <w:sz w:val="20"/>
                <w:szCs w:val="20"/>
                <w:lang w:val="en"/>
              </w:rPr>
              <w:t>(</w:t>
            </w:r>
            <w:r w:rsidRPr="006B73D1">
              <w:rPr>
                <w:sz w:val="20"/>
                <w:szCs w:val="20"/>
                <w:lang w:val="en"/>
              </w:rPr>
              <w:t xml:space="preserve">new and </w:t>
            </w:r>
            <w:r w:rsidR="00B24A87">
              <w:rPr>
                <w:sz w:val="20"/>
                <w:szCs w:val="20"/>
                <w:lang w:val="en"/>
              </w:rPr>
              <w:t>relapse)</w:t>
            </w:r>
            <w:r w:rsidRPr="006B73D1">
              <w:rPr>
                <w:sz w:val="20"/>
                <w:szCs w:val="20"/>
                <w:lang w:val="en"/>
              </w:rPr>
              <w:t xml:space="preserve"> who were examined for </w:t>
            </w:r>
            <w:r w:rsidR="003A38CB">
              <w:rPr>
                <w:sz w:val="20"/>
                <w:szCs w:val="20"/>
                <w:lang w:val="en"/>
              </w:rPr>
              <w:t>TB</w:t>
            </w:r>
          </w:p>
        </w:tc>
        <w:tc>
          <w:tcPr>
            <w:tcW w:w="491" w:type="pct"/>
            <w:noWrap/>
            <w:hideMark/>
          </w:tcPr>
          <w:p w14:paraId="7C5C22B8" w14:textId="77777777" w:rsidR="005525AC" w:rsidRPr="006B73D1" w:rsidRDefault="005525AC" w:rsidP="00294243">
            <w:pPr>
              <w:pStyle w:val="NoSpacing"/>
              <w:widowControl w:val="0"/>
              <w:suppressAutoHyphens/>
              <w:jc w:val="center"/>
              <w:rPr>
                <w:sz w:val="20"/>
                <w:szCs w:val="20"/>
              </w:rPr>
            </w:pPr>
            <w:r w:rsidRPr="006B73D1">
              <w:rPr>
                <w:sz w:val="20"/>
                <w:szCs w:val="20"/>
                <w:lang w:val="en"/>
              </w:rPr>
              <w:t>9,888</w:t>
            </w:r>
          </w:p>
        </w:tc>
        <w:tc>
          <w:tcPr>
            <w:tcW w:w="491" w:type="pct"/>
            <w:noWrap/>
            <w:hideMark/>
          </w:tcPr>
          <w:p w14:paraId="75ACE420" w14:textId="77777777" w:rsidR="005525AC" w:rsidRPr="006B73D1" w:rsidRDefault="005525AC" w:rsidP="00294243">
            <w:pPr>
              <w:pStyle w:val="NoSpacing"/>
              <w:widowControl w:val="0"/>
              <w:suppressAutoHyphens/>
              <w:jc w:val="center"/>
              <w:rPr>
                <w:sz w:val="20"/>
                <w:szCs w:val="20"/>
              </w:rPr>
            </w:pPr>
            <w:r w:rsidRPr="006B73D1">
              <w:rPr>
                <w:sz w:val="20"/>
                <w:szCs w:val="20"/>
                <w:lang w:val="en"/>
              </w:rPr>
              <w:t>7,827*</w:t>
            </w:r>
          </w:p>
        </w:tc>
        <w:tc>
          <w:tcPr>
            <w:tcW w:w="490" w:type="pct"/>
            <w:noWrap/>
            <w:hideMark/>
          </w:tcPr>
          <w:p w14:paraId="04B8A66D" w14:textId="77777777" w:rsidR="005525AC" w:rsidRPr="006B73D1" w:rsidRDefault="005525AC" w:rsidP="00294243">
            <w:pPr>
              <w:pStyle w:val="NoSpacing"/>
              <w:widowControl w:val="0"/>
              <w:suppressAutoHyphens/>
              <w:jc w:val="center"/>
              <w:rPr>
                <w:sz w:val="20"/>
                <w:szCs w:val="20"/>
              </w:rPr>
            </w:pPr>
            <w:r w:rsidRPr="006B73D1">
              <w:rPr>
                <w:sz w:val="20"/>
                <w:szCs w:val="20"/>
                <w:lang w:val="en"/>
              </w:rPr>
              <w:t>7,715</w:t>
            </w:r>
          </w:p>
        </w:tc>
      </w:tr>
      <w:tr w:rsidR="005525AC" w14:paraId="34633473" w14:textId="77777777" w:rsidTr="00294243">
        <w:trPr>
          <w:cantSplit/>
          <w:trHeight w:val="20"/>
        </w:trPr>
        <w:tc>
          <w:tcPr>
            <w:tcW w:w="3528" w:type="pct"/>
            <w:hideMark/>
          </w:tcPr>
          <w:p w14:paraId="242CD494" w14:textId="2167B118" w:rsidR="005525AC" w:rsidRPr="00E769B9" w:rsidRDefault="005525AC" w:rsidP="00294243">
            <w:pPr>
              <w:pStyle w:val="NoSpacing"/>
              <w:widowControl w:val="0"/>
              <w:suppressAutoHyphens/>
              <w:jc w:val="both"/>
              <w:rPr>
                <w:sz w:val="20"/>
                <w:szCs w:val="20"/>
                <w:lang w:val="en-US"/>
              </w:rPr>
            </w:pPr>
            <w:r w:rsidRPr="006B73D1">
              <w:rPr>
                <w:sz w:val="20"/>
                <w:szCs w:val="20"/>
                <w:lang w:val="en"/>
              </w:rPr>
              <w:t>Average</w:t>
            </w:r>
            <w:r w:rsidR="00002EA6">
              <w:rPr>
                <w:sz w:val="20"/>
                <w:szCs w:val="20"/>
                <w:lang w:val="en"/>
              </w:rPr>
              <w:t xml:space="preserve"> number</w:t>
            </w:r>
            <w:r w:rsidRPr="006B73D1">
              <w:rPr>
                <w:sz w:val="20"/>
                <w:szCs w:val="20"/>
                <w:lang w:val="en"/>
              </w:rPr>
              <w:t xml:space="preserve"> of exposed </w:t>
            </w:r>
            <w:r>
              <w:rPr>
                <w:sz w:val="20"/>
                <w:szCs w:val="20"/>
                <w:lang w:val="en"/>
              </w:rPr>
              <w:t>people</w:t>
            </w:r>
            <w:r w:rsidRPr="006B73D1">
              <w:rPr>
                <w:sz w:val="20"/>
                <w:szCs w:val="20"/>
                <w:lang w:val="en"/>
              </w:rPr>
              <w:t xml:space="preserve"> screened per 1 index patient with bacteriologically confirmed pulmonary </w:t>
            </w:r>
            <w:r w:rsidR="00002EA6">
              <w:rPr>
                <w:sz w:val="20"/>
                <w:szCs w:val="20"/>
                <w:lang w:val="en"/>
              </w:rPr>
              <w:t>TB</w:t>
            </w:r>
            <w:r w:rsidRPr="006B73D1">
              <w:rPr>
                <w:sz w:val="20"/>
                <w:szCs w:val="20"/>
                <w:lang w:val="en"/>
              </w:rPr>
              <w:t xml:space="preserve"> (new and recurrent)</w:t>
            </w:r>
          </w:p>
        </w:tc>
        <w:tc>
          <w:tcPr>
            <w:tcW w:w="491" w:type="pct"/>
            <w:noWrap/>
            <w:hideMark/>
          </w:tcPr>
          <w:p w14:paraId="66E3F679" w14:textId="77777777" w:rsidR="005525AC" w:rsidRPr="006B73D1" w:rsidRDefault="005525AC" w:rsidP="00294243">
            <w:pPr>
              <w:pStyle w:val="NoSpacing"/>
              <w:widowControl w:val="0"/>
              <w:suppressAutoHyphens/>
              <w:jc w:val="center"/>
              <w:rPr>
                <w:sz w:val="20"/>
                <w:szCs w:val="20"/>
              </w:rPr>
            </w:pPr>
            <w:r w:rsidRPr="006B73D1">
              <w:rPr>
                <w:sz w:val="20"/>
                <w:szCs w:val="20"/>
                <w:lang w:val="en"/>
              </w:rPr>
              <w:t>3.3</w:t>
            </w:r>
          </w:p>
        </w:tc>
        <w:tc>
          <w:tcPr>
            <w:tcW w:w="491" w:type="pct"/>
            <w:noWrap/>
            <w:hideMark/>
          </w:tcPr>
          <w:p w14:paraId="52736F73" w14:textId="77777777" w:rsidR="005525AC" w:rsidRPr="006B73D1" w:rsidRDefault="005525AC" w:rsidP="00294243">
            <w:pPr>
              <w:pStyle w:val="NoSpacing"/>
              <w:widowControl w:val="0"/>
              <w:suppressAutoHyphens/>
              <w:jc w:val="center"/>
              <w:rPr>
                <w:sz w:val="20"/>
                <w:szCs w:val="20"/>
              </w:rPr>
            </w:pPr>
            <w:r w:rsidRPr="006B73D1">
              <w:rPr>
                <w:sz w:val="20"/>
                <w:szCs w:val="20"/>
                <w:lang w:val="en"/>
              </w:rPr>
              <w:t>3.5</w:t>
            </w:r>
          </w:p>
        </w:tc>
        <w:tc>
          <w:tcPr>
            <w:tcW w:w="490" w:type="pct"/>
            <w:noWrap/>
            <w:hideMark/>
          </w:tcPr>
          <w:p w14:paraId="31877368" w14:textId="77777777" w:rsidR="005525AC" w:rsidRPr="006B73D1" w:rsidRDefault="005525AC" w:rsidP="00294243">
            <w:pPr>
              <w:pStyle w:val="NoSpacing"/>
              <w:widowControl w:val="0"/>
              <w:suppressAutoHyphens/>
              <w:jc w:val="center"/>
              <w:rPr>
                <w:sz w:val="20"/>
                <w:szCs w:val="20"/>
              </w:rPr>
            </w:pPr>
            <w:r w:rsidRPr="006B73D1">
              <w:rPr>
                <w:sz w:val="20"/>
                <w:szCs w:val="20"/>
                <w:lang w:val="en"/>
              </w:rPr>
              <w:t>3.2</w:t>
            </w:r>
          </w:p>
        </w:tc>
      </w:tr>
    </w:tbl>
    <w:p w14:paraId="5CDFE72F" w14:textId="77777777" w:rsidR="005525AC" w:rsidRPr="00E769B9" w:rsidRDefault="005525AC" w:rsidP="005525AC">
      <w:pPr>
        <w:pStyle w:val="Subcaption"/>
        <w:widowControl w:val="0"/>
        <w:spacing w:after="0"/>
        <w:jc w:val="both"/>
      </w:pPr>
      <w:r w:rsidRPr="008F7277">
        <w:rPr>
          <w:lang w:val="en"/>
        </w:rPr>
        <w:t>* It is assumed that all identified contacts with patients were examined for tuberculosis this year.</w:t>
      </w:r>
    </w:p>
    <w:p w14:paraId="14B4D3E3" w14:textId="77777777" w:rsidR="005525AC" w:rsidRPr="00E769B9" w:rsidRDefault="005525AC" w:rsidP="005525AC">
      <w:pPr>
        <w:pStyle w:val="Subcaption"/>
        <w:widowControl w:val="0"/>
        <w:jc w:val="both"/>
      </w:pPr>
      <w:r w:rsidRPr="00A21483">
        <w:rPr>
          <w:i/>
          <w:iCs/>
          <w:lang w:val="en"/>
        </w:rPr>
        <w:t>Source</w:t>
      </w:r>
      <w:r>
        <w:rPr>
          <w:lang w:val="en"/>
        </w:rPr>
        <w:t>: WHO Global Tuberculosis Report 2022</w:t>
      </w:r>
    </w:p>
    <w:p w14:paraId="1B7579CF" w14:textId="2A9AFD46" w:rsidR="005525AC" w:rsidRPr="00E769B9" w:rsidRDefault="005525AC" w:rsidP="004B3FB7">
      <w:pPr>
        <w:widowControl w:val="0"/>
        <w:spacing w:line="240" w:lineRule="auto"/>
        <w:jc w:val="both"/>
      </w:pPr>
      <w:r w:rsidRPr="00F07641">
        <w:rPr>
          <w:lang w:val="en"/>
        </w:rPr>
        <w:t>Of the total 13,461 TB contacts under observation in 2021, 113 people (839.5 per 100,000 population) were diagnosed with the disease, including 76 children (including 27 children under age 5) and 51 people (including 35 children) who were in contact with patients with MDR/RU-TB (</w:t>
      </w:r>
      <w:r w:rsidRPr="00D52B7D">
        <w:rPr>
          <w:lang w:val="ru"/>
        </w:rPr>
        <w:fldChar w:fldCharType="begin"/>
      </w:r>
      <w:r w:rsidRPr="00D52B7D">
        <w:rPr>
          <w:lang w:val="en"/>
        </w:rPr>
        <w:instrText xml:space="preserve"> REF _Ref123902823 \h  \* MERGEFORMAT </w:instrText>
      </w:r>
      <w:r w:rsidRPr="00D52B7D">
        <w:rPr>
          <w:lang w:val="ru"/>
        </w:rPr>
      </w:r>
      <w:r w:rsidRPr="00D52B7D">
        <w:rPr>
          <w:lang w:val="ru"/>
        </w:rPr>
        <w:fldChar w:fldCharType="separate"/>
      </w:r>
      <w:r w:rsidRPr="00D52B7D">
        <w:rPr>
          <w:lang w:val="en"/>
        </w:rPr>
        <w:t>Table</w:t>
      </w:r>
      <w:r>
        <w:rPr>
          <w:lang w:val="en"/>
        </w:rPr>
        <w:t xml:space="preserve"> </w:t>
      </w:r>
      <w:r w:rsidRPr="00D52B7D">
        <w:rPr>
          <w:lang w:val="en"/>
        </w:rPr>
        <w:t>3</w:t>
      </w:r>
      <w:r w:rsidRPr="00D52B7D">
        <w:rPr>
          <w:lang w:val="ru"/>
        </w:rPr>
        <w:fldChar w:fldCharType="end"/>
      </w:r>
      <w:r w:rsidRPr="00F07641">
        <w:rPr>
          <w:lang w:val="en"/>
        </w:rPr>
        <w:t xml:space="preserve">). </w:t>
      </w:r>
    </w:p>
    <w:tbl>
      <w:tblPr>
        <w:tblStyle w:val="TableGrid"/>
        <w:tblW w:w="5000" w:type="pct"/>
        <w:tblLook w:val="04A0" w:firstRow="1" w:lastRow="0" w:firstColumn="1" w:lastColumn="0" w:noHBand="0" w:noVBand="1"/>
      </w:tblPr>
      <w:tblGrid>
        <w:gridCol w:w="3680"/>
        <w:gridCol w:w="1134"/>
        <w:gridCol w:w="1136"/>
        <w:gridCol w:w="1276"/>
        <w:gridCol w:w="1908"/>
        <w:gridCol w:w="1060"/>
      </w:tblGrid>
      <w:tr w:rsidR="005525AC" w14:paraId="6634F675" w14:textId="77777777" w:rsidTr="00833B0A">
        <w:tc>
          <w:tcPr>
            <w:tcW w:w="1805" w:type="pct"/>
            <w:vMerge w:val="restart"/>
            <w:shd w:val="clear" w:color="auto" w:fill="D9D9D9" w:themeFill="background1" w:themeFillShade="D9"/>
            <w:vAlign w:val="center"/>
          </w:tcPr>
          <w:p w14:paraId="04CEB612" w14:textId="77777777" w:rsidR="005525AC" w:rsidRPr="00E769B9" w:rsidRDefault="005525AC" w:rsidP="00294243">
            <w:pPr>
              <w:pStyle w:val="NoSpacing"/>
              <w:widowControl w:val="0"/>
              <w:jc w:val="both"/>
              <w:rPr>
                <w:b/>
                <w:bCs/>
                <w:sz w:val="20"/>
                <w:szCs w:val="20"/>
                <w:lang w:val="en-US"/>
              </w:rPr>
            </w:pPr>
            <w:r w:rsidRPr="00AF4F3B">
              <w:rPr>
                <w:b/>
                <w:bCs/>
                <w:sz w:val="20"/>
                <w:szCs w:val="20"/>
                <w:lang w:val="en"/>
              </w:rPr>
              <w:t xml:space="preserve">Exposed </w:t>
            </w:r>
            <w:r>
              <w:rPr>
                <w:b/>
                <w:bCs/>
                <w:sz w:val="20"/>
                <w:szCs w:val="20"/>
                <w:lang w:val="en"/>
              </w:rPr>
              <w:t>people</w:t>
            </w:r>
            <w:r w:rsidRPr="00AF4F3B">
              <w:rPr>
                <w:b/>
                <w:bCs/>
                <w:sz w:val="20"/>
                <w:szCs w:val="20"/>
                <w:lang w:val="en"/>
              </w:rPr>
              <w:t xml:space="preserve"> who have been screened for tuberculosis</w:t>
            </w:r>
          </w:p>
        </w:tc>
        <w:tc>
          <w:tcPr>
            <w:tcW w:w="3195" w:type="pct"/>
            <w:gridSpan w:val="5"/>
            <w:shd w:val="clear" w:color="auto" w:fill="D9D9D9" w:themeFill="background1" w:themeFillShade="D9"/>
            <w:vAlign w:val="center"/>
          </w:tcPr>
          <w:p w14:paraId="092B890A" w14:textId="77777777" w:rsidR="005525AC" w:rsidRPr="00AF4F3B" w:rsidRDefault="005525AC" w:rsidP="00294243">
            <w:pPr>
              <w:pStyle w:val="NoSpacing"/>
              <w:widowControl w:val="0"/>
              <w:jc w:val="center"/>
              <w:rPr>
                <w:b/>
                <w:bCs/>
                <w:sz w:val="20"/>
                <w:szCs w:val="20"/>
              </w:rPr>
            </w:pPr>
            <w:r w:rsidRPr="00AF4F3B">
              <w:rPr>
                <w:b/>
                <w:bCs/>
                <w:sz w:val="20"/>
                <w:szCs w:val="20"/>
                <w:lang w:val="en"/>
              </w:rPr>
              <w:t>Age</w:t>
            </w:r>
          </w:p>
        </w:tc>
      </w:tr>
      <w:tr w:rsidR="005525AC" w14:paraId="68D876FC" w14:textId="77777777" w:rsidTr="00833B0A">
        <w:tc>
          <w:tcPr>
            <w:tcW w:w="1805" w:type="pct"/>
            <w:vMerge/>
            <w:shd w:val="clear" w:color="auto" w:fill="D9D9D9" w:themeFill="background1" w:themeFillShade="D9"/>
            <w:vAlign w:val="center"/>
          </w:tcPr>
          <w:p w14:paraId="18DFDEB1" w14:textId="77777777" w:rsidR="005525AC" w:rsidRPr="00AF4F3B" w:rsidRDefault="005525AC" w:rsidP="00294243">
            <w:pPr>
              <w:pStyle w:val="NoSpacing"/>
              <w:widowControl w:val="0"/>
              <w:jc w:val="both"/>
              <w:rPr>
                <w:b/>
                <w:bCs/>
                <w:sz w:val="20"/>
                <w:szCs w:val="20"/>
              </w:rPr>
            </w:pPr>
          </w:p>
        </w:tc>
        <w:tc>
          <w:tcPr>
            <w:tcW w:w="556" w:type="pct"/>
            <w:vMerge w:val="restart"/>
            <w:shd w:val="clear" w:color="auto" w:fill="D9D9D9" w:themeFill="background1" w:themeFillShade="D9"/>
            <w:vAlign w:val="center"/>
          </w:tcPr>
          <w:p w14:paraId="5F6EED43" w14:textId="77777777" w:rsidR="005525AC" w:rsidRPr="00AF4F3B" w:rsidRDefault="005525AC" w:rsidP="00294243">
            <w:pPr>
              <w:pStyle w:val="NoSpacing"/>
              <w:widowControl w:val="0"/>
              <w:jc w:val="center"/>
              <w:rPr>
                <w:b/>
                <w:bCs/>
                <w:sz w:val="20"/>
                <w:szCs w:val="20"/>
              </w:rPr>
            </w:pPr>
            <w:r w:rsidRPr="00AF4F3B">
              <w:rPr>
                <w:b/>
                <w:bCs/>
                <w:sz w:val="20"/>
                <w:szCs w:val="20"/>
                <w:lang w:val="en"/>
              </w:rPr>
              <w:t>Result</w:t>
            </w:r>
          </w:p>
        </w:tc>
        <w:tc>
          <w:tcPr>
            <w:tcW w:w="1183" w:type="pct"/>
            <w:gridSpan w:val="2"/>
            <w:shd w:val="clear" w:color="auto" w:fill="D9D9D9" w:themeFill="background1" w:themeFillShade="D9"/>
            <w:vAlign w:val="center"/>
          </w:tcPr>
          <w:p w14:paraId="3D910FB0" w14:textId="77777777" w:rsidR="005525AC" w:rsidRPr="00AF4F3B" w:rsidRDefault="005525AC" w:rsidP="00294243">
            <w:pPr>
              <w:pStyle w:val="NoSpacing"/>
              <w:widowControl w:val="0"/>
              <w:jc w:val="center"/>
              <w:rPr>
                <w:b/>
                <w:bCs/>
                <w:sz w:val="20"/>
                <w:szCs w:val="20"/>
              </w:rPr>
            </w:pPr>
            <w:r w:rsidRPr="00AF4F3B">
              <w:rPr>
                <w:b/>
                <w:bCs/>
                <w:sz w:val="20"/>
                <w:szCs w:val="20"/>
                <w:lang w:val="en"/>
              </w:rPr>
              <w:t>0-14</w:t>
            </w:r>
          </w:p>
        </w:tc>
        <w:tc>
          <w:tcPr>
            <w:tcW w:w="1456" w:type="pct"/>
            <w:gridSpan w:val="2"/>
            <w:shd w:val="clear" w:color="auto" w:fill="D9D9D9" w:themeFill="background1" w:themeFillShade="D9"/>
            <w:vAlign w:val="center"/>
          </w:tcPr>
          <w:p w14:paraId="01139F72" w14:textId="77777777" w:rsidR="005525AC" w:rsidRPr="00AF4F3B" w:rsidRDefault="005525AC" w:rsidP="00294243">
            <w:pPr>
              <w:pStyle w:val="NoSpacing"/>
              <w:widowControl w:val="0"/>
              <w:jc w:val="center"/>
              <w:rPr>
                <w:b/>
                <w:bCs/>
                <w:sz w:val="20"/>
                <w:szCs w:val="20"/>
              </w:rPr>
            </w:pPr>
            <w:r w:rsidRPr="00AF4F3B">
              <w:rPr>
                <w:b/>
                <w:bCs/>
                <w:sz w:val="20"/>
                <w:szCs w:val="20"/>
                <w:lang w:val="en"/>
              </w:rPr>
              <w:t>15 years old and over</w:t>
            </w:r>
          </w:p>
        </w:tc>
      </w:tr>
      <w:tr w:rsidR="00833B0A" w14:paraId="222DF424" w14:textId="77777777" w:rsidTr="00833B0A">
        <w:tc>
          <w:tcPr>
            <w:tcW w:w="1805" w:type="pct"/>
            <w:vMerge/>
            <w:shd w:val="clear" w:color="auto" w:fill="D9D9D9" w:themeFill="background1" w:themeFillShade="D9"/>
            <w:vAlign w:val="center"/>
          </w:tcPr>
          <w:p w14:paraId="53597F95" w14:textId="77777777" w:rsidR="005525AC" w:rsidRPr="00AF4F3B" w:rsidRDefault="005525AC" w:rsidP="00294243">
            <w:pPr>
              <w:pStyle w:val="NoSpacing"/>
              <w:widowControl w:val="0"/>
              <w:jc w:val="both"/>
              <w:rPr>
                <w:b/>
                <w:bCs/>
                <w:sz w:val="20"/>
                <w:szCs w:val="20"/>
              </w:rPr>
            </w:pPr>
          </w:p>
        </w:tc>
        <w:tc>
          <w:tcPr>
            <w:tcW w:w="556" w:type="pct"/>
            <w:vMerge/>
            <w:shd w:val="clear" w:color="auto" w:fill="D9D9D9" w:themeFill="background1" w:themeFillShade="D9"/>
            <w:vAlign w:val="center"/>
          </w:tcPr>
          <w:p w14:paraId="2B805ADC" w14:textId="77777777" w:rsidR="005525AC" w:rsidRPr="00AF4F3B" w:rsidRDefault="005525AC" w:rsidP="00294243">
            <w:pPr>
              <w:pStyle w:val="NoSpacing"/>
              <w:widowControl w:val="0"/>
              <w:jc w:val="center"/>
              <w:rPr>
                <w:b/>
                <w:bCs/>
                <w:sz w:val="20"/>
                <w:szCs w:val="20"/>
              </w:rPr>
            </w:pPr>
          </w:p>
        </w:tc>
        <w:tc>
          <w:tcPr>
            <w:tcW w:w="557" w:type="pct"/>
            <w:shd w:val="clear" w:color="auto" w:fill="D9D9D9" w:themeFill="background1" w:themeFillShade="D9"/>
            <w:vAlign w:val="center"/>
          </w:tcPr>
          <w:p w14:paraId="762A7AB1" w14:textId="77777777" w:rsidR="005525AC" w:rsidRPr="00AF4F3B" w:rsidRDefault="005525AC" w:rsidP="00294243">
            <w:pPr>
              <w:pStyle w:val="NoSpacing"/>
              <w:widowControl w:val="0"/>
              <w:jc w:val="center"/>
              <w:rPr>
                <w:b/>
                <w:bCs/>
                <w:sz w:val="20"/>
                <w:szCs w:val="20"/>
              </w:rPr>
            </w:pPr>
            <w:r w:rsidRPr="00AF4F3B">
              <w:rPr>
                <w:b/>
                <w:bCs/>
                <w:sz w:val="20"/>
                <w:szCs w:val="20"/>
                <w:lang w:val="en"/>
              </w:rPr>
              <w:t>0-4</w:t>
            </w:r>
          </w:p>
        </w:tc>
        <w:tc>
          <w:tcPr>
            <w:tcW w:w="625" w:type="pct"/>
            <w:shd w:val="clear" w:color="auto" w:fill="D9D9D9" w:themeFill="background1" w:themeFillShade="D9"/>
            <w:vAlign w:val="center"/>
          </w:tcPr>
          <w:p w14:paraId="56B1D129" w14:textId="77777777" w:rsidR="005525AC" w:rsidRPr="00AF4F3B" w:rsidRDefault="005525AC" w:rsidP="00294243">
            <w:pPr>
              <w:pStyle w:val="NoSpacing"/>
              <w:widowControl w:val="0"/>
              <w:jc w:val="center"/>
              <w:rPr>
                <w:b/>
                <w:bCs/>
                <w:sz w:val="20"/>
                <w:szCs w:val="20"/>
              </w:rPr>
            </w:pPr>
            <w:r w:rsidRPr="00AF4F3B">
              <w:rPr>
                <w:b/>
                <w:bCs/>
                <w:sz w:val="20"/>
                <w:szCs w:val="20"/>
                <w:lang w:val="en"/>
              </w:rPr>
              <w:t>5-14</w:t>
            </w:r>
          </w:p>
        </w:tc>
        <w:tc>
          <w:tcPr>
            <w:tcW w:w="936" w:type="pct"/>
            <w:shd w:val="clear" w:color="auto" w:fill="D9D9D9" w:themeFill="background1" w:themeFillShade="D9"/>
            <w:vAlign w:val="center"/>
          </w:tcPr>
          <w:p w14:paraId="7EB1EB48" w14:textId="77777777" w:rsidR="005525AC" w:rsidRPr="00AF4F3B" w:rsidRDefault="005525AC" w:rsidP="00294243">
            <w:pPr>
              <w:pStyle w:val="NoSpacing"/>
              <w:widowControl w:val="0"/>
              <w:jc w:val="center"/>
              <w:rPr>
                <w:b/>
                <w:bCs/>
                <w:sz w:val="20"/>
                <w:szCs w:val="20"/>
              </w:rPr>
            </w:pPr>
            <w:r w:rsidRPr="00AF4F3B">
              <w:rPr>
                <w:b/>
                <w:bCs/>
                <w:sz w:val="20"/>
                <w:szCs w:val="20"/>
                <w:lang w:val="en"/>
              </w:rPr>
              <w:t>15-17</w:t>
            </w:r>
          </w:p>
        </w:tc>
        <w:tc>
          <w:tcPr>
            <w:tcW w:w="520" w:type="pct"/>
            <w:shd w:val="clear" w:color="auto" w:fill="D9D9D9" w:themeFill="background1" w:themeFillShade="D9"/>
            <w:vAlign w:val="center"/>
          </w:tcPr>
          <w:p w14:paraId="0A9C1DC0" w14:textId="77777777" w:rsidR="005525AC" w:rsidRPr="00AF4F3B" w:rsidRDefault="005525AC" w:rsidP="00294243">
            <w:pPr>
              <w:pStyle w:val="NoSpacing"/>
              <w:widowControl w:val="0"/>
              <w:jc w:val="center"/>
              <w:rPr>
                <w:b/>
                <w:bCs/>
                <w:sz w:val="20"/>
                <w:szCs w:val="20"/>
              </w:rPr>
            </w:pPr>
            <w:r w:rsidRPr="00AF4F3B">
              <w:rPr>
                <w:b/>
                <w:bCs/>
                <w:sz w:val="20"/>
                <w:szCs w:val="20"/>
                <w:lang w:val="en"/>
              </w:rPr>
              <w:t>&gt; 18</w:t>
            </w:r>
          </w:p>
        </w:tc>
      </w:tr>
      <w:tr w:rsidR="005525AC" w14:paraId="21E35016" w14:textId="77777777" w:rsidTr="00833B0A">
        <w:tc>
          <w:tcPr>
            <w:tcW w:w="1805" w:type="pct"/>
            <w:tcBorders>
              <w:bottom w:val="single" w:sz="4" w:space="0" w:color="auto"/>
            </w:tcBorders>
            <w:vAlign w:val="center"/>
          </w:tcPr>
          <w:p w14:paraId="57FBD50E" w14:textId="77777777" w:rsidR="005525AC" w:rsidRPr="00E769B9" w:rsidRDefault="005525AC" w:rsidP="00294243">
            <w:pPr>
              <w:widowControl w:val="0"/>
              <w:jc w:val="both"/>
              <w:rPr>
                <w:sz w:val="20"/>
                <w:szCs w:val="20"/>
              </w:rPr>
            </w:pPr>
            <w:r w:rsidRPr="00AF4F3B">
              <w:rPr>
                <w:sz w:val="20"/>
                <w:szCs w:val="20"/>
                <w:lang w:val="en"/>
              </w:rPr>
              <w:t xml:space="preserve">All verified exposed </w:t>
            </w:r>
            <w:r>
              <w:rPr>
                <w:sz w:val="20"/>
                <w:szCs w:val="20"/>
                <w:lang w:val="en"/>
              </w:rPr>
              <w:t>people</w:t>
            </w:r>
            <w:r w:rsidRPr="00AF4F3B">
              <w:rPr>
                <w:sz w:val="20"/>
                <w:szCs w:val="20"/>
                <w:lang w:val="en"/>
              </w:rPr>
              <w:t>, including:</w:t>
            </w:r>
          </w:p>
        </w:tc>
        <w:tc>
          <w:tcPr>
            <w:tcW w:w="556" w:type="pct"/>
            <w:tcBorders>
              <w:bottom w:val="single" w:sz="4" w:space="0" w:color="auto"/>
            </w:tcBorders>
            <w:vAlign w:val="center"/>
          </w:tcPr>
          <w:p w14:paraId="73295AF7" w14:textId="77777777" w:rsidR="005525AC" w:rsidRPr="00AF4F3B" w:rsidRDefault="005525AC" w:rsidP="00294243">
            <w:pPr>
              <w:widowControl w:val="0"/>
              <w:jc w:val="center"/>
              <w:rPr>
                <w:sz w:val="20"/>
                <w:szCs w:val="20"/>
              </w:rPr>
            </w:pPr>
            <w:r w:rsidRPr="00AF4F3B">
              <w:rPr>
                <w:sz w:val="20"/>
                <w:szCs w:val="20"/>
                <w:lang w:val="en"/>
              </w:rPr>
              <w:t>13,461</w:t>
            </w:r>
          </w:p>
        </w:tc>
        <w:tc>
          <w:tcPr>
            <w:tcW w:w="557" w:type="pct"/>
            <w:tcBorders>
              <w:bottom w:val="single" w:sz="4" w:space="0" w:color="auto"/>
            </w:tcBorders>
            <w:shd w:val="clear" w:color="auto" w:fill="auto"/>
          </w:tcPr>
          <w:p w14:paraId="1493B09E" w14:textId="77777777" w:rsidR="005525AC" w:rsidRPr="00AF4F3B" w:rsidRDefault="005525AC" w:rsidP="00294243">
            <w:pPr>
              <w:widowControl w:val="0"/>
              <w:jc w:val="center"/>
              <w:rPr>
                <w:sz w:val="20"/>
                <w:szCs w:val="20"/>
              </w:rPr>
            </w:pPr>
            <w:r w:rsidRPr="00AF4F3B">
              <w:rPr>
                <w:sz w:val="20"/>
                <w:szCs w:val="20"/>
                <w:lang w:val="en"/>
              </w:rPr>
              <w:t>1,422</w:t>
            </w:r>
          </w:p>
        </w:tc>
        <w:tc>
          <w:tcPr>
            <w:tcW w:w="625" w:type="pct"/>
            <w:tcBorders>
              <w:bottom w:val="single" w:sz="4" w:space="0" w:color="auto"/>
            </w:tcBorders>
            <w:shd w:val="clear" w:color="auto" w:fill="auto"/>
          </w:tcPr>
          <w:p w14:paraId="00EB4CAF" w14:textId="77777777" w:rsidR="005525AC" w:rsidRPr="00AF4F3B" w:rsidRDefault="005525AC" w:rsidP="00294243">
            <w:pPr>
              <w:widowControl w:val="0"/>
              <w:jc w:val="center"/>
              <w:rPr>
                <w:sz w:val="20"/>
                <w:szCs w:val="20"/>
              </w:rPr>
            </w:pPr>
            <w:r w:rsidRPr="00AF4F3B">
              <w:rPr>
                <w:sz w:val="20"/>
                <w:szCs w:val="20"/>
                <w:lang w:val="en"/>
              </w:rPr>
              <w:t>3,656</w:t>
            </w:r>
          </w:p>
        </w:tc>
        <w:tc>
          <w:tcPr>
            <w:tcW w:w="936" w:type="pct"/>
            <w:tcBorders>
              <w:bottom w:val="single" w:sz="4" w:space="0" w:color="auto"/>
            </w:tcBorders>
            <w:shd w:val="clear" w:color="auto" w:fill="auto"/>
          </w:tcPr>
          <w:p w14:paraId="5DE97A4A" w14:textId="77777777" w:rsidR="005525AC" w:rsidRPr="00AF4F3B" w:rsidRDefault="005525AC" w:rsidP="00294243">
            <w:pPr>
              <w:widowControl w:val="0"/>
              <w:jc w:val="center"/>
              <w:rPr>
                <w:sz w:val="20"/>
                <w:szCs w:val="20"/>
              </w:rPr>
            </w:pPr>
            <w:r w:rsidRPr="00AF4F3B">
              <w:rPr>
                <w:sz w:val="20"/>
                <w:szCs w:val="20"/>
                <w:lang w:val="en"/>
              </w:rPr>
              <w:t>829</w:t>
            </w:r>
          </w:p>
        </w:tc>
        <w:tc>
          <w:tcPr>
            <w:tcW w:w="520" w:type="pct"/>
            <w:tcBorders>
              <w:bottom w:val="single" w:sz="4" w:space="0" w:color="auto"/>
            </w:tcBorders>
          </w:tcPr>
          <w:p w14:paraId="610542DF" w14:textId="77777777" w:rsidR="005525AC" w:rsidRPr="00AF4F3B" w:rsidRDefault="005525AC" w:rsidP="00294243">
            <w:pPr>
              <w:widowControl w:val="0"/>
              <w:jc w:val="center"/>
              <w:rPr>
                <w:sz w:val="20"/>
                <w:szCs w:val="20"/>
              </w:rPr>
            </w:pPr>
            <w:r w:rsidRPr="00AF4F3B">
              <w:rPr>
                <w:sz w:val="20"/>
                <w:szCs w:val="20"/>
                <w:lang w:val="en"/>
              </w:rPr>
              <w:t>7,554</w:t>
            </w:r>
          </w:p>
        </w:tc>
      </w:tr>
      <w:tr w:rsidR="005525AC" w14:paraId="0FA79803" w14:textId="77777777" w:rsidTr="00833B0A">
        <w:tc>
          <w:tcPr>
            <w:tcW w:w="1805" w:type="pct"/>
            <w:tcBorders>
              <w:top w:val="nil"/>
              <w:bottom w:val="nil"/>
            </w:tcBorders>
            <w:vAlign w:val="center"/>
          </w:tcPr>
          <w:p w14:paraId="28842520" w14:textId="77777777" w:rsidR="005525AC" w:rsidRPr="00AF4F3B" w:rsidRDefault="005525AC" w:rsidP="00294243">
            <w:pPr>
              <w:widowControl w:val="0"/>
              <w:jc w:val="both"/>
              <w:rPr>
                <w:i/>
                <w:iCs/>
                <w:sz w:val="20"/>
                <w:szCs w:val="20"/>
              </w:rPr>
            </w:pPr>
            <w:r w:rsidRPr="00AF4F3B">
              <w:rPr>
                <w:i/>
                <w:iCs/>
                <w:sz w:val="20"/>
                <w:szCs w:val="20"/>
                <w:lang w:val="en"/>
              </w:rPr>
              <w:t xml:space="preserve">- diagnosed with tuberculosis </w:t>
            </w:r>
          </w:p>
        </w:tc>
        <w:tc>
          <w:tcPr>
            <w:tcW w:w="556" w:type="pct"/>
            <w:tcBorders>
              <w:top w:val="nil"/>
              <w:bottom w:val="nil"/>
            </w:tcBorders>
            <w:vAlign w:val="center"/>
          </w:tcPr>
          <w:p w14:paraId="7090FAE3" w14:textId="77777777" w:rsidR="005525AC" w:rsidRPr="00AF4F3B" w:rsidRDefault="005525AC" w:rsidP="00294243">
            <w:pPr>
              <w:widowControl w:val="0"/>
              <w:jc w:val="center"/>
              <w:rPr>
                <w:i/>
                <w:iCs/>
                <w:sz w:val="20"/>
                <w:szCs w:val="20"/>
              </w:rPr>
            </w:pPr>
            <w:r w:rsidRPr="00AF4F3B">
              <w:rPr>
                <w:i/>
                <w:iCs/>
                <w:sz w:val="20"/>
                <w:szCs w:val="20"/>
                <w:lang w:val="en"/>
              </w:rPr>
              <w:t>113</w:t>
            </w:r>
          </w:p>
        </w:tc>
        <w:tc>
          <w:tcPr>
            <w:tcW w:w="557" w:type="pct"/>
            <w:tcBorders>
              <w:top w:val="nil"/>
              <w:bottom w:val="nil"/>
            </w:tcBorders>
            <w:shd w:val="clear" w:color="auto" w:fill="auto"/>
            <w:vAlign w:val="center"/>
          </w:tcPr>
          <w:p w14:paraId="04F5D480" w14:textId="77777777" w:rsidR="005525AC" w:rsidRPr="00AF4F3B" w:rsidRDefault="005525AC" w:rsidP="00294243">
            <w:pPr>
              <w:widowControl w:val="0"/>
              <w:jc w:val="center"/>
              <w:rPr>
                <w:i/>
                <w:iCs/>
                <w:sz w:val="20"/>
                <w:szCs w:val="20"/>
              </w:rPr>
            </w:pPr>
            <w:r w:rsidRPr="00AF4F3B">
              <w:rPr>
                <w:i/>
                <w:iCs/>
                <w:sz w:val="20"/>
                <w:szCs w:val="20"/>
                <w:lang w:val="en"/>
              </w:rPr>
              <w:t>27</w:t>
            </w:r>
          </w:p>
        </w:tc>
        <w:tc>
          <w:tcPr>
            <w:tcW w:w="625" w:type="pct"/>
            <w:tcBorders>
              <w:top w:val="nil"/>
              <w:bottom w:val="nil"/>
            </w:tcBorders>
            <w:shd w:val="clear" w:color="auto" w:fill="auto"/>
            <w:vAlign w:val="center"/>
          </w:tcPr>
          <w:p w14:paraId="65E5D3B1" w14:textId="77777777" w:rsidR="005525AC" w:rsidRPr="00AF4F3B" w:rsidRDefault="005525AC" w:rsidP="00294243">
            <w:pPr>
              <w:widowControl w:val="0"/>
              <w:jc w:val="center"/>
              <w:rPr>
                <w:i/>
                <w:iCs/>
                <w:sz w:val="20"/>
                <w:szCs w:val="20"/>
              </w:rPr>
            </w:pPr>
            <w:r w:rsidRPr="00AF4F3B">
              <w:rPr>
                <w:i/>
                <w:iCs/>
                <w:sz w:val="20"/>
                <w:szCs w:val="20"/>
                <w:lang w:val="en"/>
              </w:rPr>
              <w:t>49</w:t>
            </w:r>
          </w:p>
        </w:tc>
        <w:tc>
          <w:tcPr>
            <w:tcW w:w="936" w:type="pct"/>
            <w:tcBorders>
              <w:top w:val="nil"/>
              <w:bottom w:val="nil"/>
            </w:tcBorders>
            <w:shd w:val="clear" w:color="auto" w:fill="auto"/>
            <w:vAlign w:val="center"/>
          </w:tcPr>
          <w:p w14:paraId="3CF7190C" w14:textId="77777777" w:rsidR="005525AC" w:rsidRPr="00AF4F3B" w:rsidRDefault="005525AC" w:rsidP="00294243">
            <w:pPr>
              <w:widowControl w:val="0"/>
              <w:jc w:val="center"/>
              <w:rPr>
                <w:i/>
                <w:iCs/>
                <w:sz w:val="20"/>
                <w:szCs w:val="20"/>
              </w:rPr>
            </w:pPr>
            <w:r w:rsidRPr="00AF4F3B">
              <w:rPr>
                <w:i/>
                <w:iCs/>
                <w:sz w:val="20"/>
                <w:szCs w:val="20"/>
                <w:lang w:val="en"/>
              </w:rPr>
              <w:t>9</w:t>
            </w:r>
          </w:p>
        </w:tc>
        <w:tc>
          <w:tcPr>
            <w:tcW w:w="520" w:type="pct"/>
            <w:tcBorders>
              <w:top w:val="nil"/>
              <w:bottom w:val="nil"/>
            </w:tcBorders>
            <w:vAlign w:val="center"/>
          </w:tcPr>
          <w:p w14:paraId="6E88C2D7" w14:textId="77777777" w:rsidR="005525AC" w:rsidRPr="00AF4F3B" w:rsidRDefault="005525AC" w:rsidP="00294243">
            <w:pPr>
              <w:widowControl w:val="0"/>
              <w:jc w:val="center"/>
              <w:rPr>
                <w:i/>
                <w:iCs/>
                <w:sz w:val="20"/>
                <w:szCs w:val="20"/>
              </w:rPr>
            </w:pPr>
            <w:r w:rsidRPr="00AF4F3B">
              <w:rPr>
                <w:i/>
                <w:iCs/>
                <w:sz w:val="20"/>
                <w:szCs w:val="20"/>
                <w:lang w:val="en"/>
              </w:rPr>
              <w:t>28</w:t>
            </w:r>
          </w:p>
        </w:tc>
      </w:tr>
      <w:tr w:rsidR="005525AC" w14:paraId="46BA1707" w14:textId="77777777" w:rsidTr="00833B0A">
        <w:tc>
          <w:tcPr>
            <w:tcW w:w="1805" w:type="pct"/>
            <w:tcBorders>
              <w:top w:val="nil"/>
              <w:bottom w:val="single" w:sz="4" w:space="0" w:color="auto"/>
            </w:tcBorders>
            <w:vAlign w:val="center"/>
          </w:tcPr>
          <w:p w14:paraId="2B7F5FC4" w14:textId="77777777" w:rsidR="005525AC" w:rsidRPr="00AF4F3B" w:rsidRDefault="005525AC" w:rsidP="00294243">
            <w:pPr>
              <w:widowControl w:val="0"/>
              <w:jc w:val="both"/>
              <w:rPr>
                <w:i/>
                <w:iCs/>
                <w:sz w:val="20"/>
                <w:szCs w:val="20"/>
              </w:rPr>
            </w:pPr>
            <w:r w:rsidRPr="00AF4F3B">
              <w:rPr>
                <w:i/>
                <w:iCs/>
                <w:sz w:val="20"/>
                <w:szCs w:val="20"/>
                <w:lang w:val="en"/>
              </w:rPr>
              <w:t xml:space="preserve">- % of detection </w:t>
            </w:r>
          </w:p>
        </w:tc>
        <w:tc>
          <w:tcPr>
            <w:tcW w:w="556" w:type="pct"/>
            <w:tcBorders>
              <w:top w:val="nil"/>
              <w:bottom w:val="single" w:sz="4" w:space="0" w:color="auto"/>
            </w:tcBorders>
          </w:tcPr>
          <w:p w14:paraId="5089B047" w14:textId="77777777" w:rsidR="005525AC" w:rsidRPr="00AF4F3B" w:rsidRDefault="005525AC" w:rsidP="00294243">
            <w:pPr>
              <w:widowControl w:val="0"/>
              <w:jc w:val="center"/>
              <w:rPr>
                <w:i/>
                <w:iCs/>
                <w:sz w:val="20"/>
                <w:szCs w:val="20"/>
              </w:rPr>
            </w:pPr>
            <w:r w:rsidRPr="00AF4F3B">
              <w:rPr>
                <w:i/>
                <w:iCs/>
                <w:sz w:val="20"/>
                <w:szCs w:val="20"/>
                <w:lang w:val="en"/>
              </w:rPr>
              <w:t>0,8%</w:t>
            </w:r>
          </w:p>
        </w:tc>
        <w:tc>
          <w:tcPr>
            <w:tcW w:w="557" w:type="pct"/>
            <w:tcBorders>
              <w:top w:val="nil"/>
              <w:bottom w:val="single" w:sz="4" w:space="0" w:color="auto"/>
            </w:tcBorders>
            <w:shd w:val="clear" w:color="auto" w:fill="auto"/>
          </w:tcPr>
          <w:p w14:paraId="4D3C77F9" w14:textId="77777777" w:rsidR="005525AC" w:rsidRPr="00AF4F3B" w:rsidRDefault="005525AC" w:rsidP="00294243">
            <w:pPr>
              <w:widowControl w:val="0"/>
              <w:jc w:val="center"/>
              <w:rPr>
                <w:i/>
                <w:iCs/>
                <w:sz w:val="20"/>
                <w:szCs w:val="20"/>
              </w:rPr>
            </w:pPr>
            <w:r w:rsidRPr="00AF4F3B">
              <w:rPr>
                <w:i/>
                <w:iCs/>
                <w:sz w:val="20"/>
                <w:szCs w:val="20"/>
                <w:lang w:val="en"/>
              </w:rPr>
              <w:t>1,9%</w:t>
            </w:r>
          </w:p>
        </w:tc>
        <w:tc>
          <w:tcPr>
            <w:tcW w:w="625" w:type="pct"/>
            <w:tcBorders>
              <w:top w:val="nil"/>
              <w:bottom w:val="single" w:sz="4" w:space="0" w:color="auto"/>
            </w:tcBorders>
            <w:shd w:val="clear" w:color="auto" w:fill="auto"/>
          </w:tcPr>
          <w:p w14:paraId="23D35FAE" w14:textId="77777777" w:rsidR="005525AC" w:rsidRPr="00AF4F3B" w:rsidRDefault="005525AC" w:rsidP="00294243">
            <w:pPr>
              <w:widowControl w:val="0"/>
              <w:jc w:val="center"/>
              <w:rPr>
                <w:i/>
                <w:iCs/>
                <w:sz w:val="20"/>
                <w:szCs w:val="20"/>
              </w:rPr>
            </w:pPr>
            <w:r w:rsidRPr="00AF4F3B">
              <w:rPr>
                <w:i/>
                <w:iCs/>
                <w:sz w:val="20"/>
                <w:szCs w:val="20"/>
                <w:lang w:val="en"/>
              </w:rPr>
              <w:t>1,3%</w:t>
            </w:r>
          </w:p>
        </w:tc>
        <w:tc>
          <w:tcPr>
            <w:tcW w:w="936" w:type="pct"/>
            <w:tcBorders>
              <w:top w:val="nil"/>
              <w:bottom w:val="single" w:sz="4" w:space="0" w:color="auto"/>
            </w:tcBorders>
            <w:shd w:val="clear" w:color="auto" w:fill="auto"/>
          </w:tcPr>
          <w:p w14:paraId="7F0A4FFA" w14:textId="77777777" w:rsidR="005525AC" w:rsidRPr="00AF4F3B" w:rsidRDefault="005525AC" w:rsidP="00294243">
            <w:pPr>
              <w:widowControl w:val="0"/>
              <w:jc w:val="center"/>
              <w:rPr>
                <w:i/>
                <w:iCs/>
                <w:sz w:val="20"/>
                <w:szCs w:val="20"/>
              </w:rPr>
            </w:pPr>
            <w:r w:rsidRPr="00AF4F3B">
              <w:rPr>
                <w:i/>
                <w:iCs/>
                <w:sz w:val="20"/>
                <w:szCs w:val="20"/>
                <w:lang w:val="en"/>
              </w:rPr>
              <w:t>1,1%</w:t>
            </w:r>
          </w:p>
        </w:tc>
        <w:tc>
          <w:tcPr>
            <w:tcW w:w="520" w:type="pct"/>
            <w:tcBorders>
              <w:top w:val="nil"/>
              <w:bottom w:val="single" w:sz="4" w:space="0" w:color="auto"/>
            </w:tcBorders>
          </w:tcPr>
          <w:p w14:paraId="49AB2BBF" w14:textId="77777777" w:rsidR="005525AC" w:rsidRPr="00AF4F3B" w:rsidRDefault="005525AC" w:rsidP="00294243">
            <w:pPr>
              <w:widowControl w:val="0"/>
              <w:jc w:val="center"/>
              <w:rPr>
                <w:i/>
                <w:iCs/>
                <w:sz w:val="20"/>
                <w:szCs w:val="20"/>
              </w:rPr>
            </w:pPr>
            <w:r w:rsidRPr="00AF4F3B">
              <w:rPr>
                <w:i/>
                <w:iCs/>
                <w:sz w:val="20"/>
                <w:szCs w:val="20"/>
                <w:lang w:val="en"/>
              </w:rPr>
              <w:t>0,4%</w:t>
            </w:r>
          </w:p>
        </w:tc>
      </w:tr>
    </w:tbl>
    <w:p w14:paraId="6C123CCF" w14:textId="77777777" w:rsidR="005525AC" w:rsidRDefault="005525AC" w:rsidP="005525AC">
      <w:pPr>
        <w:pStyle w:val="Subcaption"/>
        <w:widowControl w:val="0"/>
        <w:jc w:val="both"/>
      </w:pPr>
      <w:r w:rsidRPr="0004727C">
        <w:rPr>
          <w:i/>
          <w:iCs/>
          <w:lang w:val="en"/>
        </w:rPr>
        <w:t>Source</w:t>
      </w:r>
      <w:r w:rsidRPr="0004727C">
        <w:rPr>
          <w:lang w:val="en"/>
        </w:rPr>
        <w:t>: NTP.</w:t>
      </w:r>
    </w:p>
    <w:p w14:paraId="12B3C62A" w14:textId="6B88C76F" w:rsidR="005525AC" w:rsidRPr="000622A2" w:rsidRDefault="005525AC" w:rsidP="005525AC">
      <w:pPr>
        <w:widowControl w:val="0"/>
        <w:spacing w:line="240" w:lineRule="auto"/>
        <w:jc w:val="both"/>
        <w:rPr>
          <w:sz w:val="24"/>
          <w:szCs w:val="24"/>
        </w:rPr>
      </w:pPr>
      <w:r w:rsidRPr="000622A2">
        <w:rPr>
          <w:sz w:val="24"/>
          <w:szCs w:val="24"/>
          <w:lang w:val="en"/>
        </w:rPr>
        <w:t xml:space="preserve">The coverage of TPT remains low in all priority groups and particularly low in those over 5 years of age. Current guidelines prescribe TPT to children under the age of 14 and PLHIV, however, </w:t>
      </w:r>
      <w:r w:rsidR="00F25F2F" w:rsidRPr="000622A2">
        <w:rPr>
          <w:sz w:val="24"/>
          <w:szCs w:val="24"/>
          <w:lang w:val="en"/>
        </w:rPr>
        <w:t>usually</w:t>
      </w:r>
      <w:r w:rsidRPr="000622A2">
        <w:rPr>
          <w:sz w:val="24"/>
          <w:szCs w:val="24"/>
          <w:lang w:val="en"/>
        </w:rPr>
        <w:t xml:space="preserve">, only children under the age of 5 and PLHIV receive it. Monitoring of the TPT is </w:t>
      </w:r>
      <w:r w:rsidR="00C820FC" w:rsidRPr="000622A2">
        <w:rPr>
          <w:sz w:val="24"/>
          <w:szCs w:val="24"/>
          <w:lang w:val="en"/>
        </w:rPr>
        <w:t>done at suboptimal</w:t>
      </w:r>
      <w:r w:rsidRPr="000622A2">
        <w:rPr>
          <w:sz w:val="24"/>
          <w:szCs w:val="24"/>
          <w:lang w:val="en"/>
        </w:rPr>
        <w:t xml:space="preserve"> level. The total coverage of the TPT in the country decreased from 479 in 2019 to 307 in 2021 (including 126 children under the age of 5). The </w:t>
      </w:r>
      <w:r w:rsidR="0050227B" w:rsidRPr="000622A2">
        <w:rPr>
          <w:sz w:val="24"/>
          <w:szCs w:val="24"/>
          <w:lang w:val="en"/>
        </w:rPr>
        <w:t>TST</w:t>
      </w:r>
      <w:r w:rsidRPr="000622A2">
        <w:rPr>
          <w:sz w:val="24"/>
          <w:szCs w:val="24"/>
          <w:lang w:val="en"/>
        </w:rPr>
        <w:t xml:space="preserve"> is used exclusively for the diagnosis of </w:t>
      </w:r>
      <w:r w:rsidR="0094376A" w:rsidRPr="000622A2">
        <w:rPr>
          <w:sz w:val="24"/>
          <w:szCs w:val="24"/>
          <w:lang w:val="en"/>
        </w:rPr>
        <w:t>LTBI</w:t>
      </w:r>
      <w:r w:rsidRPr="000622A2">
        <w:rPr>
          <w:sz w:val="24"/>
          <w:szCs w:val="24"/>
          <w:lang w:val="en"/>
        </w:rPr>
        <w:t xml:space="preserve">. IGRA testing was introduced in pilot research projects in 2018 but is currently unavailable. </w:t>
      </w:r>
      <w:r w:rsidRPr="000622A2">
        <w:rPr>
          <w:sz w:val="24"/>
          <w:szCs w:val="24"/>
          <w:lang w:val="en"/>
        </w:rPr>
        <w:lastRenderedPageBreak/>
        <w:t>The results of the study indicate a 40% level of LTBI among close and household contacts [</w:t>
      </w:r>
      <w:r w:rsidRPr="000622A2">
        <w:rPr>
          <w:rStyle w:val="FootnoteReference"/>
          <w:sz w:val="24"/>
          <w:szCs w:val="24"/>
          <w:lang w:val="ru"/>
        </w:rPr>
        <w:footnoteReference w:id="50"/>
      </w:r>
      <w:r w:rsidRPr="000622A2">
        <w:rPr>
          <w:sz w:val="24"/>
          <w:szCs w:val="24"/>
          <w:lang w:val="en"/>
        </w:rPr>
        <w:t>]. To achieve this coverage, the country is developing a new LTBI management manual that will include new diagnostic tools such as IGRA and shorter TPT schemes along with revised target groups.</w:t>
      </w:r>
    </w:p>
    <w:p w14:paraId="15C60191" w14:textId="2464285D" w:rsidR="005525AC" w:rsidRPr="00E769B9" w:rsidRDefault="005525AC" w:rsidP="005525AC">
      <w:pPr>
        <w:pStyle w:val="Caption"/>
        <w:keepNext w:val="0"/>
        <w:widowControl w:val="0"/>
        <w:jc w:val="both"/>
      </w:pPr>
      <w:r>
        <w:rPr>
          <w:lang w:val="en"/>
        </w:rPr>
        <w:t>People who started tuberculosis preventive treatment, Kyrgyzstan, 2015-2021</w:t>
      </w:r>
    </w:p>
    <w:p w14:paraId="6836D604" w14:textId="77777777" w:rsidR="005525AC" w:rsidRDefault="005525AC" w:rsidP="005525AC">
      <w:pPr>
        <w:pStyle w:val="NoSpacing"/>
        <w:widowControl w:val="0"/>
        <w:jc w:val="both"/>
      </w:pPr>
      <w:r>
        <w:rPr>
          <w:noProof/>
          <w:lang w:val="ru-RU" w:eastAsia="ru-RU"/>
        </w:rPr>
        <w:drawing>
          <wp:inline distT="0" distB="0" distL="0" distR="0" wp14:anchorId="3B05875A" wp14:editId="5E266CFF">
            <wp:extent cx="3948853" cy="1476546"/>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19711"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3957348" cy="1479722"/>
                    </a:xfrm>
                    <a:prstGeom prst="rect">
                      <a:avLst/>
                    </a:prstGeom>
                    <a:noFill/>
                    <a:ln>
                      <a:noFill/>
                    </a:ln>
                  </pic:spPr>
                </pic:pic>
              </a:graphicData>
            </a:graphic>
          </wp:inline>
        </w:drawing>
      </w:r>
    </w:p>
    <w:p w14:paraId="1ABD3617" w14:textId="77777777" w:rsidR="005525AC" w:rsidRPr="00E769B9" w:rsidRDefault="005525AC" w:rsidP="005525AC">
      <w:pPr>
        <w:pStyle w:val="Subcaption"/>
        <w:widowControl w:val="0"/>
        <w:jc w:val="both"/>
        <w:rPr>
          <w:iCs/>
        </w:rPr>
      </w:pPr>
      <w:r w:rsidRPr="003226EA">
        <w:rPr>
          <w:i/>
          <w:iCs/>
          <w:lang w:val="en"/>
        </w:rPr>
        <w:t>Source</w:t>
      </w:r>
      <w:r w:rsidRPr="002613C5">
        <w:rPr>
          <w:lang w:val="en"/>
        </w:rPr>
        <w:t xml:space="preserve">: WHO Global Tuberculosis Database, 2022 </w:t>
      </w:r>
    </w:p>
    <w:p w14:paraId="12B4918C" w14:textId="63C7D735" w:rsidR="005525AC" w:rsidRPr="0009092A" w:rsidRDefault="005525AC" w:rsidP="006F3244">
      <w:pPr>
        <w:widowControl w:val="0"/>
        <w:spacing w:line="240" w:lineRule="auto"/>
        <w:jc w:val="both"/>
        <w:rPr>
          <w:sz w:val="24"/>
          <w:szCs w:val="24"/>
        </w:rPr>
      </w:pPr>
      <w:r w:rsidRPr="0009092A">
        <w:rPr>
          <w:sz w:val="24"/>
          <w:szCs w:val="24"/>
          <w:lang w:val="en"/>
        </w:rPr>
        <w:t xml:space="preserve">Laboratory diagnostics of </w:t>
      </w:r>
      <w:r w:rsidR="007F74F6" w:rsidRPr="0009092A">
        <w:rPr>
          <w:sz w:val="24"/>
          <w:szCs w:val="24"/>
          <w:lang w:val="en"/>
        </w:rPr>
        <w:t>TB</w:t>
      </w:r>
      <w:r w:rsidRPr="0009092A">
        <w:rPr>
          <w:sz w:val="24"/>
          <w:szCs w:val="24"/>
          <w:lang w:val="en"/>
        </w:rPr>
        <w:t xml:space="preserve"> is carried out in 104 GMPCs across the country using microscopy and rapid diagnostic test (</w:t>
      </w:r>
      <w:proofErr w:type="spellStart"/>
      <w:r w:rsidRPr="0009092A">
        <w:rPr>
          <w:sz w:val="24"/>
          <w:szCs w:val="24"/>
          <w:lang w:val="en"/>
        </w:rPr>
        <w:t>Xpert</w:t>
      </w:r>
      <w:proofErr w:type="spellEnd"/>
      <w:r w:rsidRPr="0009092A">
        <w:rPr>
          <w:sz w:val="24"/>
          <w:szCs w:val="24"/>
          <w:lang w:val="en"/>
        </w:rPr>
        <w:t xml:space="preserve">). There are 25 GeneXpert platforms in the country, located at the central, regional, and district levels. Five new GeneXpert platforms will be delivered to the country in 2023. The nationwide network of TB laboratories also includes 6 laboratories performing culture tests and the National Reference Laboratory (NRL) in Bishkek, which conducts all DST, and since 2017 has also introduced the method of genome sequencing. </w:t>
      </w:r>
    </w:p>
    <w:tbl>
      <w:tblPr>
        <w:tblStyle w:val="TableGrid"/>
        <w:tblW w:w="5000" w:type="pct"/>
        <w:tblLook w:val="04A0" w:firstRow="1" w:lastRow="0" w:firstColumn="1" w:lastColumn="0" w:noHBand="0" w:noVBand="1"/>
      </w:tblPr>
      <w:tblGrid>
        <w:gridCol w:w="1786"/>
        <w:gridCol w:w="1894"/>
        <w:gridCol w:w="1702"/>
        <w:gridCol w:w="2451"/>
        <w:gridCol w:w="2361"/>
      </w:tblGrid>
      <w:tr w:rsidR="005525AC" w14:paraId="2FEA7FA8" w14:textId="77777777" w:rsidTr="00294243">
        <w:tc>
          <w:tcPr>
            <w:tcW w:w="876" w:type="pct"/>
            <w:vMerge w:val="restart"/>
            <w:shd w:val="clear" w:color="auto" w:fill="D9D9D9" w:themeFill="background1" w:themeFillShade="D9"/>
            <w:vAlign w:val="center"/>
          </w:tcPr>
          <w:p w14:paraId="34406574" w14:textId="77777777" w:rsidR="005525AC" w:rsidRPr="005B166B" w:rsidRDefault="005525AC" w:rsidP="00294243">
            <w:pPr>
              <w:widowControl w:val="0"/>
              <w:suppressAutoHyphens/>
              <w:spacing w:after="0"/>
              <w:contextualSpacing/>
              <w:jc w:val="both"/>
              <w:rPr>
                <w:b/>
                <w:bCs/>
                <w:sz w:val="20"/>
                <w:szCs w:val="20"/>
              </w:rPr>
            </w:pPr>
            <w:r w:rsidRPr="005B166B">
              <w:rPr>
                <w:b/>
                <w:bCs/>
                <w:sz w:val="20"/>
                <w:szCs w:val="20"/>
                <w:lang w:val="en"/>
              </w:rPr>
              <w:t>Geography</w:t>
            </w:r>
          </w:p>
        </w:tc>
        <w:tc>
          <w:tcPr>
            <w:tcW w:w="929" w:type="pct"/>
            <w:vMerge w:val="restart"/>
            <w:shd w:val="clear" w:color="auto" w:fill="D9D9D9" w:themeFill="background1" w:themeFillShade="D9"/>
            <w:vAlign w:val="center"/>
          </w:tcPr>
          <w:p w14:paraId="2580D275" w14:textId="77777777" w:rsidR="005525AC" w:rsidRPr="00E769B9" w:rsidRDefault="005525AC" w:rsidP="00294243">
            <w:pPr>
              <w:widowControl w:val="0"/>
              <w:suppressAutoHyphens/>
              <w:spacing w:after="0"/>
              <w:contextualSpacing/>
              <w:jc w:val="center"/>
              <w:rPr>
                <w:b/>
                <w:bCs/>
                <w:sz w:val="20"/>
                <w:szCs w:val="20"/>
              </w:rPr>
            </w:pPr>
            <w:r w:rsidRPr="005B166B">
              <w:rPr>
                <w:b/>
                <w:bCs/>
                <w:sz w:val="20"/>
                <w:szCs w:val="20"/>
                <w:lang w:val="en"/>
              </w:rPr>
              <w:t xml:space="preserve">Number of </w:t>
            </w:r>
            <w:proofErr w:type="spellStart"/>
            <w:r w:rsidRPr="005B166B">
              <w:rPr>
                <w:b/>
                <w:bCs/>
                <w:sz w:val="20"/>
                <w:szCs w:val="20"/>
                <w:lang w:val="en"/>
              </w:rPr>
              <w:t>Xpert</w:t>
            </w:r>
            <w:proofErr w:type="spellEnd"/>
            <w:r w:rsidRPr="005B166B">
              <w:rPr>
                <w:b/>
                <w:bCs/>
                <w:sz w:val="20"/>
                <w:szCs w:val="20"/>
                <w:lang w:val="en"/>
              </w:rPr>
              <w:t xml:space="preserve"> platforms (modules)</w:t>
            </w:r>
          </w:p>
        </w:tc>
        <w:tc>
          <w:tcPr>
            <w:tcW w:w="3195" w:type="pct"/>
            <w:gridSpan w:val="3"/>
            <w:shd w:val="clear" w:color="auto" w:fill="D9D9D9" w:themeFill="background1" w:themeFillShade="D9"/>
            <w:vAlign w:val="center"/>
          </w:tcPr>
          <w:p w14:paraId="5A1698A3" w14:textId="77777777" w:rsidR="005525AC" w:rsidRPr="00E769B9" w:rsidRDefault="005525AC" w:rsidP="00294243">
            <w:pPr>
              <w:widowControl w:val="0"/>
              <w:suppressAutoHyphens/>
              <w:spacing w:after="0"/>
              <w:contextualSpacing/>
              <w:jc w:val="center"/>
              <w:rPr>
                <w:b/>
                <w:bCs/>
                <w:sz w:val="20"/>
                <w:szCs w:val="20"/>
              </w:rPr>
            </w:pPr>
            <w:r w:rsidRPr="005B166B">
              <w:rPr>
                <w:b/>
                <w:sz w:val="20"/>
                <w:szCs w:val="20"/>
                <w:lang w:val="en"/>
              </w:rPr>
              <w:t>Distribution by region (number of modules)</w:t>
            </w:r>
          </w:p>
        </w:tc>
      </w:tr>
      <w:tr w:rsidR="005525AC" w14:paraId="63E3B1B8" w14:textId="77777777" w:rsidTr="00294243">
        <w:tc>
          <w:tcPr>
            <w:tcW w:w="876" w:type="pct"/>
            <w:vMerge/>
            <w:shd w:val="clear" w:color="auto" w:fill="D9D9D9" w:themeFill="background1" w:themeFillShade="D9"/>
            <w:vAlign w:val="center"/>
          </w:tcPr>
          <w:p w14:paraId="52300CB9" w14:textId="77777777" w:rsidR="005525AC" w:rsidRPr="00E769B9" w:rsidRDefault="005525AC" w:rsidP="00294243">
            <w:pPr>
              <w:widowControl w:val="0"/>
              <w:suppressAutoHyphens/>
              <w:spacing w:after="0"/>
              <w:contextualSpacing/>
              <w:jc w:val="both"/>
              <w:rPr>
                <w:b/>
                <w:bCs/>
                <w:sz w:val="20"/>
                <w:szCs w:val="20"/>
              </w:rPr>
            </w:pPr>
          </w:p>
        </w:tc>
        <w:tc>
          <w:tcPr>
            <w:tcW w:w="929" w:type="pct"/>
            <w:vMerge/>
            <w:shd w:val="clear" w:color="auto" w:fill="D9D9D9" w:themeFill="background1" w:themeFillShade="D9"/>
            <w:vAlign w:val="center"/>
          </w:tcPr>
          <w:p w14:paraId="1864F3FE" w14:textId="77777777" w:rsidR="005525AC" w:rsidRPr="00E769B9" w:rsidRDefault="005525AC" w:rsidP="00294243">
            <w:pPr>
              <w:widowControl w:val="0"/>
              <w:suppressAutoHyphens/>
              <w:spacing w:after="0"/>
              <w:contextualSpacing/>
              <w:jc w:val="center"/>
              <w:rPr>
                <w:b/>
                <w:bCs/>
                <w:sz w:val="20"/>
                <w:szCs w:val="20"/>
              </w:rPr>
            </w:pPr>
          </w:p>
        </w:tc>
        <w:tc>
          <w:tcPr>
            <w:tcW w:w="835" w:type="pct"/>
            <w:shd w:val="clear" w:color="auto" w:fill="D9D9D9" w:themeFill="background1" w:themeFillShade="D9"/>
            <w:vAlign w:val="center"/>
          </w:tcPr>
          <w:p w14:paraId="73F1287E" w14:textId="4ECC1851" w:rsidR="005525AC" w:rsidRPr="005B166B" w:rsidRDefault="005525AC" w:rsidP="00294243">
            <w:pPr>
              <w:widowControl w:val="0"/>
              <w:suppressAutoHyphens/>
              <w:spacing w:after="0"/>
              <w:contextualSpacing/>
              <w:jc w:val="center"/>
              <w:rPr>
                <w:b/>
                <w:bCs/>
                <w:sz w:val="20"/>
                <w:szCs w:val="20"/>
                <w:lang w:val="en"/>
              </w:rPr>
            </w:pPr>
            <w:r w:rsidRPr="005B166B">
              <w:rPr>
                <w:b/>
                <w:sz w:val="20"/>
                <w:szCs w:val="20"/>
                <w:lang w:val="en"/>
              </w:rPr>
              <w:t xml:space="preserve">TB </w:t>
            </w:r>
            <w:r w:rsidR="006F3244">
              <w:rPr>
                <w:b/>
                <w:sz w:val="20"/>
                <w:szCs w:val="20"/>
                <w:lang w:val="en"/>
              </w:rPr>
              <w:t>service</w:t>
            </w:r>
          </w:p>
        </w:tc>
        <w:tc>
          <w:tcPr>
            <w:tcW w:w="1202" w:type="pct"/>
            <w:shd w:val="clear" w:color="auto" w:fill="D9D9D9" w:themeFill="background1" w:themeFillShade="D9"/>
            <w:vAlign w:val="center"/>
          </w:tcPr>
          <w:p w14:paraId="05AB6615" w14:textId="77777777" w:rsidR="005525AC" w:rsidRPr="005B166B" w:rsidRDefault="005525AC" w:rsidP="00294243">
            <w:pPr>
              <w:widowControl w:val="0"/>
              <w:suppressAutoHyphens/>
              <w:spacing w:after="0"/>
              <w:contextualSpacing/>
              <w:jc w:val="center"/>
              <w:rPr>
                <w:b/>
                <w:bCs/>
                <w:sz w:val="20"/>
                <w:szCs w:val="20"/>
                <w:lang w:val="en"/>
              </w:rPr>
            </w:pPr>
            <w:r w:rsidRPr="005B166B">
              <w:rPr>
                <w:b/>
                <w:sz w:val="20"/>
                <w:szCs w:val="20"/>
                <w:lang w:val="en"/>
              </w:rPr>
              <w:t>PHC system</w:t>
            </w:r>
          </w:p>
        </w:tc>
        <w:tc>
          <w:tcPr>
            <w:tcW w:w="1158" w:type="pct"/>
            <w:shd w:val="clear" w:color="auto" w:fill="D9D9D9" w:themeFill="background1" w:themeFillShade="D9"/>
            <w:vAlign w:val="center"/>
          </w:tcPr>
          <w:p w14:paraId="1B77F44B" w14:textId="77777777" w:rsidR="005525AC" w:rsidRPr="005B166B" w:rsidRDefault="005525AC" w:rsidP="00294243">
            <w:pPr>
              <w:widowControl w:val="0"/>
              <w:suppressAutoHyphens/>
              <w:spacing w:after="0"/>
              <w:contextualSpacing/>
              <w:jc w:val="center"/>
              <w:rPr>
                <w:b/>
                <w:bCs/>
                <w:sz w:val="20"/>
                <w:szCs w:val="20"/>
                <w:lang w:val="ru-RU"/>
              </w:rPr>
            </w:pPr>
            <w:r w:rsidRPr="005B166B">
              <w:rPr>
                <w:b/>
                <w:bCs/>
                <w:sz w:val="20"/>
                <w:szCs w:val="20"/>
                <w:lang w:val="en"/>
              </w:rPr>
              <w:t>Penitentiary system</w:t>
            </w:r>
          </w:p>
        </w:tc>
      </w:tr>
      <w:tr w:rsidR="005525AC" w14:paraId="3CB2E0D3" w14:textId="77777777" w:rsidTr="00294243">
        <w:tc>
          <w:tcPr>
            <w:tcW w:w="876" w:type="pct"/>
            <w:vAlign w:val="center"/>
          </w:tcPr>
          <w:p w14:paraId="3125BCD5" w14:textId="77777777" w:rsidR="005525AC" w:rsidRPr="005B166B" w:rsidRDefault="005525AC" w:rsidP="00294243">
            <w:pPr>
              <w:widowControl w:val="0"/>
              <w:suppressAutoHyphens/>
              <w:spacing w:after="0"/>
              <w:contextualSpacing/>
              <w:jc w:val="both"/>
              <w:rPr>
                <w:sz w:val="20"/>
                <w:szCs w:val="20"/>
              </w:rPr>
            </w:pPr>
            <w:r w:rsidRPr="005B166B">
              <w:rPr>
                <w:sz w:val="20"/>
                <w:szCs w:val="20"/>
                <w:lang w:val="en"/>
              </w:rPr>
              <w:t>Bishkek</w:t>
            </w:r>
          </w:p>
        </w:tc>
        <w:tc>
          <w:tcPr>
            <w:tcW w:w="929" w:type="pct"/>
            <w:vAlign w:val="center"/>
          </w:tcPr>
          <w:p w14:paraId="0FC9FAD1" w14:textId="77777777" w:rsidR="005525AC" w:rsidRPr="005B166B" w:rsidRDefault="005525AC" w:rsidP="00294243">
            <w:pPr>
              <w:widowControl w:val="0"/>
              <w:suppressAutoHyphens/>
              <w:spacing w:after="0"/>
              <w:contextualSpacing/>
              <w:jc w:val="center"/>
              <w:rPr>
                <w:sz w:val="20"/>
                <w:szCs w:val="20"/>
              </w:rPr>
            </w:pPr>
            <w:r w:rsidRPr="005B166B">
              <w:rPr>
                <w:sz w:val="20"/>
                <w:szCs w:val="20"/>
                <w:lang w:val="en"/>
              </w:rPr>
              <w:t>2 (8)</w:t>
            </w:r>
          </w:p>
        </w:tc>
        <w:tc>
          <w:tcPr>
            <w:tcW w:w="835" w:type="pct"/>
            <w:vAlign w:val="center"/>
          </w:tcPr>
          <w:p w14:paraId="52A7E9AF" w14:textId="77777777" w:rsidR="005525AC" w:rsidRPr="005B166B" w:rsidRDefault="005525AC" w:rsidP="00294243">
            <w:pPr>
              <w:widowControl w:val="0"/>
              <w:suppressAutoHyphens/>
              <w:spacing w:after="0"/>
              <w:contextualSpacing/>
              <w:jc w:val="center"/>
              <w:rPr>
                <w:sz w:val="20"/>
                <w:szCs w:val="20"/>
                <w:lang w:val="ru"/>
              </w:rPr>
            </w:pPr>
            <w:r w:rsidRPr="005B166B">
              <w:rPr>
                <w:sz w:val="20"/>
                <w:szCs w:val="20"/>
                <w:lang w:val="en"/>
              </w:rPr>
              <w:t>City TB Center (4);</w:t>
            </w:r>
          </w:p>
          <w:p w14:paraId="0EBCBC8A" w14:textId="77777777" w:rsidR="005525AC" w:rsidRPr="005B166B" w:rsidRDefault="005525AC" w:rsidP="00294243">
            <w:pPr>
              <w:widowControl w:val="0"/>
              <w:suppressAutoHyphens/>
              <w:spacing w:after="0"/>
              <w:contextualSpacing/>
              <w:jc w:val="center"/>
              <w:rPr>
                <w:rFonts w:ascii="Arial Narrow" w:hAnsi="Arial Narrow"/>
                <w:sz w:val="20"/>
                <w:szCs w:val="20"/>
              </w:rPr>
            </w:pPr>
            <w:r w:rsidRPr="005B166B">
              <w:rPr>
                <w:sz w:val="20"/>
                <w:szCs w:val="20"/>
                <w:lang w:val="en"/>
              </w:rPr>
              <w:t>NRL (4)</w:t>
            </w:r>
          </w:p>
        </w:tc>
        <w:tc>
          <w:tcPr>
            <w:tcW w:w="1202" w:type="pct"/>
          </w:tcPr>
          <w:p w14:paraId="7999A510" w14:textId="77777777" w:rsidR="005525AC" w:rsidRPr="005B166B" w:rsidRDefault="005525AC" w:rsidP="00294243">
            <w:pPr>
              <w:widowControl w:val="0"/>
              <w:suppressAutoHyphens/>
              <w:spacing w:after="0"/>
              <w:contextualSpacing/>
              <w:jc w:val="center"/>
              <w:rPr>
                <w:rFonts w:ascii="Arial Narrow" w:hAnsi="Arial Narrow"/>
                <w:sz w:val="20"/>
                <w:szCs w:val="20"/>
              </w:rPr>
            </w:pPr>
          </w:p>
        </w:tc>
        <w:tc>
          <w:tcPr>
            <w:tcW w:w="1158" w:type="pct"/>
          </w:tcPr>
          <w:p w14:paraId="165E5A17" w14:textId="77777777" w:rsidR="005525AC" w:rsidRPr="005B166B" w:rsidRDefault="005525AC" w:rsidP="00294243">
            <w:pPr>
              <w:widowControl w:val="0"/>
              <w:suppressAutoHyphens/>
              <w:spacing w:after="0"/>
              <w:contextualSpacing/>
              <w:jc w:val="center"/>
              <w:rPr>
                <w:rFonts w:ascii="Arial Narrow" w:hAnsi="Arial Narrow"/>
                <w:sz w:val="20"/>
                <w:szCs w:val="20"/>
              </w:rPr>
            </w:pPr>
          </w:p>
        </w:tc>
      </w:tr>
      <w:tr w:rsidR="005525AC" w14:paraId="4038F11F" w14:textId="77777777" w:rsidTr="00294243">
        <w:tc>
          <w:tcPr>
            <w:tcW w:w="876" w:type="pct"/>
          </w:tcPr>
          <w:p w14:paraId="3567C888" w14:textId="77777777" w:rsidR="005525AC" w:rsidRPr="005B166B" w:rsidRDefault="005525AC" w:rsidP="00294243">
            <w:pPr>
              <w:widowControl w:val="0"/>
              <w:suppressAutoHyphens/>
              <w:spacing w:after="0"/>
              <w:contextualSpacing/>
              <w:jc w:val="both"/>
              <w:rPr>
                <w:sz w:val="20"/>
                <w:szCs w:val="20"/>
                <w:lang w:val="en"/>
              </w:rPr>
            </w:pPr>
            <w:r w:rsidRPr="005B166B">
              <w:rPr>
                <w:sz w:val="20"/>
                <w:szCs w:val="20"/>
                <w:lang w:val="en"/>
              </w:rPr>
              <w:t>Chui region</w:t>
            </w:r>
          </w:p>
        </w:tc>
        <w:tc>
          <w:tcPr>
            <w:tcW w:w="929" w:type="pct"/>
          </w:tcPr>
          <w:p w14:paraId="6984E6FD"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4 (14)</w:t>
            </w:r>
          </w:p>
        </w:tc>
        <w:tc>
          <w:tcPr>
            <w:tcW w:w="835" w:type="pct"/>
            <w:vAlign w:val="center"/>
          </w:tcPr>
          <w:p w14:paraId="2A9E7318" w14:textId="77777777" w:rsidR="005525AC" w:rsidRPr="005B166B" w:rsidRDefault="005525AC" w:rsidP="00294243">
            <w:pPr>
              <w:widowControl w:val="0"/>
              <w:suppressAutoHyphens/>
              <w:spacing w:after="0"/>
              <w:contextualSpacing/>
              <w:jc w:val="center"/>
              <w:rPr>
                <w:rFonts w:ascii="Arial Narrow" w:hAnsi="Arial Narrow"/>
                <w:sz w:val="20"/>
                <w:szCs w:val="20"/>
                <w:lang w:val="ru-RU"/>
              </w:rPr>
            </w:pPr>
          </w:p>
        </w:tc>
        <w:tc>
          <w:tcPr>
            <w:tcW w:w="1202" w:type="pct"/>
            <w:vAlign w:val="center"/>
          </w:tcPr>
          <w:p w14:paraId="1BB22AE0" w14:textId="77777777" w:rsidR="005525AC" w:rsidRPr="00761686" w:rsidRDefault="005525AC" w:rsidP="00294243">
            <w:pPr>
              <w:widowControl w:val="0"/>
              <w:suppressAutoHyphens/>
              <w:spacing w:after="0"/>
              <w:contextualSpacing/>
              <w:jc w:val="center"/>
              <w:rPr>
                <w:sz w:val="20"/>
                <w:szCs w:val="20"/>
                <w:lang w:val="ru-RU"/>
              </w:rPr>
            </w:pPr>
            <w:proofErr w:type="spellStart"/>
            <w:r w:rsidRPr="005B166B">
              <w:rPr>
                <w:sz w:val="20"/>
                <w:szCs w:val="20"/>
                <w:lang w:val="en"/>
              </w:rPr>
              <w:t>Ysyk</w:t>
            </w:r>
            <w:proofErr w:type="spellEnd"/>
            <w:r w:rsidRPr="00761686">
              <w:rPr>
                <w:sz w:val="20"/>
                <w:szCs w:val="20"/>
                <w:lang w:val="ru-RU"/>
              </w:rPr>
              <w:t>-</w:t>
            </w:r>
            <w:r w:rsidRPr="005B166B">
              <w:rPr>
                <w:sz w:val="20"/>
                <w:szCs w:val="20"/>
                <w:lang w:val="en"/>
              </w:rPr>
              <w:t>Ata</w:t>
            </w:r>
            <w:r w:rsidRPr="00761686">
              <w:rPr>
                <w:sz w:val="20"/>
                <w:szCs w:val="20"/>
                <w:lang w:val="ru-RU"/>
              </w:rPr>
              <w:t xml:space="preserve"> </w:t>
            </w:r>
            <w:r w:rsidRPr="005B166B">
              <w:rPr>
                <w:sz w:val="20"/>
                <w:szCs w:val="20"/>
                <w:lang w:val="en"/>
              </w:rPr>
              <w:t>GMPC</w:t>
            </w:r>
            <w:r w:rsidRPr="00761686">
              <w:rPr>
                <w:sz w:val="20"/>
                <w:szCs w:val="20"/>
                <w:lang w:val="ru-RU"/>
              </w:rPr>
              <w:t xml:space="preserve"> (4); </w:t>
            </w:r>
            <w:proofErr w:type="spellStart"/>
            <w:r w:rsidRPr="005B166B">
              <w:rPr>
                <w:sz w:val="20"/>
                <w:szCs w:val="20"/>
                <w:lang w:val="en"/>
              </w:rPr>
              <w:t>Sokuluk</w:t>
            </w:r>
            <w:proofErr w:type="spellEnd"/>
            <w:r w:rsidRPr="00761686">
              <w:rPr>
                <w:sz w:val="20"/>
                <w:szCs w:val="20"/>
                <w:lang w:val="ru-RU"/>
              </w:rPr>
              <w:t xml:space="preserve"> </w:t>
            </w:r>
            <w:r w:rsidRPr="005B166B">
              <w:rPr>
                <w:sz w:val="20"/>
                <w:szCs w:val="20"/>
                <w:lang w:val="en"/>
              </w:rPr>
              <w:t>GMPC</w:t>
            </w:r>
            <w:r w:rsidRPr="00761686">
              <w:rPr>
                <w:sz w:val="20"/>
                <w:szCs w:val="20"/>
                <w:lang w:val="ru-RU"/>
              </w:rPr>
              <w:t xml:space="preserve"> (4);</w:t>
            </w:r>
          </w:p>
          <w:p w14:paraId="1D238DF9" w14:textId="77777777" w:rsidR="005525AC" w:rsidRPr="005B166B" w:rsidRDefault="005525AC" w:rsidP="00294243">
            <w:pPr>
              <w:widowControl w:val="0"/>
              <w:suppressAutoHyphens/>
              <w:spacing w:after="0"/>
              <w:contextualSpacing/>
              <w:jc w:val="center"/>
              <w:rPr>
                <w:sz w:val="20"/>
                <w:szCs w:val="20"/>
                <w:lang w:val="ru"/>
              </w:rPr>
            </w:pPr>
            <w:proofErr w:type="spellStart"/>
            <w:r>
              <w:rPr>
                <w:sz w:val="20"/>
                <w:szCs w:val="20"/>
                <w:lang w:val="en"/>
              </w:rPr>
              <w:t>Zh</w:t>
            </w:r>
            <w:r w:rsidRPr="005B166B">
              <w:rPr>
                <w:sz w:val="20"/>
                <w:szCs w:val="20"/>
                <w:lang w:val="en"/>
              </w:rPr>
              <w:t>aiyl</w:t>
            </w:r>
            <w:proofErr w:type="spellEnd"/>
            <w:r w:rsidRPr="00761686">
              <w:rPr>
                <w:sz w:val="20"/>
                <w:szCs w:val="20"/>
                <w:lang w:val="ru-RU"/>
              </w:rPr>
              <w:t xml:space="preserve"> </w:t>
            </w:r>
            <w:r w:rsidRPr="005B166B">
              <w:rPr>
                <w:sz w:val="20"/>
                <w:szCs w:val="20"/>
                <w:lang w:val="en"/>
              </w:rPr>
              <w:t>GMPC</w:t>
            </w:r>
            <w:r w:rsidRPr="00761686">
              <w:rPr>
                <w:sz w:val="20"/>
                <w:szCs w:val="20"/>
                <w:lang w:val="ru-RU"/>
              </w:rPr>
              <w:t xml:space="preserve"> (4);</w:t>
            </w:r>
          </w:p>
          <w:p w14:paraId="780A3E94" w14:textId="77777777" w:rsidR="005525AC" w:rsidRPr="005B166B" w:rsidRDefault="005525AC" w:rsidP="00294243">
            <w:pPr>
              <w:widowControl w:val="0"/>
              <w:suppressAutoHyphens/>
              <w:spacing w:after="0"/>
              <w:contextualSpacing/>
              <w:jc w:val="center"/>
              <w:rPr>
                <w:rFonts w:ascii="Arial Narrow" w:hAnsi="Arial Narrow"/>
                <w:sz w:val="20"/>
                <w:szCs w:val="20"/>
                <w:lang w:val="ru-RU"/>
              </w:rPr>
            </w:pPr>
            <w:proofErr w:type="spellStart"/>
            <w:r w:rsidRPr="005B166B">
              <w:rPr>
                <w:sz w:val="20"/>
                <w:szCs w:val="20"/>
                <w:lang w:val="en"/>
              </w:rPr>
              <w:t>Tokmok</w:t>
            </w:r>
            <w:proofErr w:type="spellEnd"/>
            <w:r w:rsidRPr="005B166B">
              <w:rPr>
                <w:sz w:val="20"/>
                <w:szCs w:val="20"/>
                <w:lang w:val="en"/>
              </w:rPr>
              <w:t xml:space="preserve"> GMPC (2)</w:t>
            </w:r>
          </w:p>
        </w:tc>
        <w:tc>
          <w:tcPr>
            <w:tcW w:w="1158" w:type="pct"/>
          </w:tcPr>
          <w:p w14:paraId="3C0FABA7" w14:textId="77777777" w:rsidR="005525AC" w:rsidRPr="005B166B" w:rsidRDefault="005525AC" w:rsidP="00294243">
            <w:pPr>
              <w:widowControl w:val="0"/>
              <w:suppressAutoHyphens/>
              <w:spacing w:after="0"/>
              <w:contextualSpacing/>
              <w:jc w:val="center"/>
              <w:rPr>
                <w:rFonts w:ascii="Arial Narrow" w:hAnsi="Arial Narrow"/>
                <w:sz w:val="20"/>
                <w:szCs w:val="20"/>
                <w:lang w:val="ru-RU"/>
              </w:rPr>
            </w:pPr>
          </w:p>
        </w:tc>
      </w:tr>
      <w:tr w:rsidR="005525AC" w14:paraId="47F77E49" w14:textId="77777777" w:rsidTr="00294243">
        <w:tc>
          <w:tcPr>
            <w:tcW w:w="876" w:type="pct"/>
          </w:tcPr>
          <w:p w14:paraId="638708BA" w14:textId="77777777" w:rsidR="005525AC" w:rsidRPr="005B166B" w:rsidRDefault="005525AC" w:rsidP="00294243">
            <w:pPr>
              <w:widowControl w:val="0"/>
              <w:suppressAutoHyphens/>
              <w:spacing w:after="0"/>
              <w:contextualSpacing/>
              <w:jc w:val="both"/>
              <w:rPr>
                <w:sz w:val="20"/>
                <w:szCs w:val="20"/>
                <w:lang w:val="en"/>
              </w:rPr>
            </w:pPr>
            <w:proofErr w:type="spellStart"/>
            <w:r w:rsidRPr="005B166B">
              <w:rPr>
                <w:sz w:val="20"/>
                <w:szCs w:val="20"/>
                <w:lang w:val="en"/>
              </w:rPr>
              <w:t>Naryn</w:t>
            </w:r>
            <w:proofErr w:type="spellEnd"/>
            <w:r w:rsidRPr="005B166B">
              <w:rPr>
                <w:sz w:val="20"/>
                <w:szCs w:val="20"/>
                <w:lang w:val="en"/>
              </w:rPr>
              <w:t xml:space="preserve"> region </w:t>
            </w:r>
          </w:p>
        </w:tc>
        <w:tc>
          <w:tcPr>
            <w:tcW w:w="929" w:type="pct"/>
            <w:vAlign w:val="center"/>
          </w:tcPr>
          <w:p w14:paraId="4E66B8F0"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1 (4)</w:t>
            </w:r>
          </w:p>
        </w:tc>
        <w:tc>
          <w:tcPr>
            <w:tcW w:w="835" w:type="pct"/>
            <w:vAlign w:val="center"/>
          </w:tcPr>
          <w:p w14:paraId="55D1A235"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r w:rsidRPr="005B166B">
              <w:rPr>
                <w:sz w:val="20"/>
                <w:szCs w:val="20"/>
                <w:lang w:val="en"/>
              </w:rPr>
              <w:t>Regional TB Center (4)</w:t>
            </w:r>
          </w:p>
        </w:tc>
        <w:tc>
          <w:tcPr>
            <w:tcW w:w="1202" w:type="pct"/>
          </w:tcPr>
          <w:p w14:paraId="6648AEFB"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c>
          <w:tcPr>
            <w:tcW w:w="1158" w:type="pct"/>
          </w:tcPr>
          <w:p w14:paraId="0D6DCA53"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r>
      <w:tr w:rsidR="005525AC" w14:paraId="6D91A608" w14:textId="77777777" w:rsidTr="00294243">
        <w:tc>
          <w:tcPr>
            <w:tcW w:w="876" w:type="pct"/>
          </w:tcPr>
          <w:p w14:paraId="7CB48FD5" w14:textId="77777777" w:rsidR="005525AC" w:rsidRPr="005B166B" w:rsidRDefault="005525AC" w:rsidP="00294243">
            <w:pPr>
              <w:widowControl w:val="0"/>
              <w:suppressAutoHyphens/>
              <w:spacing w:after="0"/>
              <w:contextualSpacing/>
              <w:jc w:val="both"/>
              <w:rPr>
                <w:sz w:val="20"/>
                <w:szCs w:val="20"/>
                <w:lang w:val="en"/>
              </w:rPr>
            </w:pPr>
            <w:proofErr w:type="gramStart"/>
            <w:r w:rsidRPr="005B166B">
              <w:rPr>
                <w:sz w:val="20"/>
                <w:szCs w:val="20"/>
                <w:lang w:val="en"/>
              </w:rPr>
              <w:t>Talas</w:t>
            </w:r>
            <w:proofErr w:type="gramEnd"/>
            <w:r w:rsidRPr="005B166B">
              <w:rPr>
                <w:sz w:val="20"/>
                <w:szCs w:val="20"/>
                <w:lang w:val="en"/>
              </w:rPr>
              <w:t xml:space="preserve"> region </w:t>
            </w:r>
          </w:p>
        </w:tc>
        <w:tc>
          <w:tcPr>
            <w:tcW w:w="929" w:type="pct"/>
            <w:vAlign w:val="center"/>
          </w:tcPr>
          <w:p w14:paraId="35FECC00"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1 (4)</w:t>
            </w:r>
          </w:p>
        </w:tc>
        <w:tc>
          <w:tcPr>
            <w:tcW w:w="835" w:type="pct"/>
            <w:vAlign w:val="center"/>
          </w:tcPr>
          <w:p w14:paraId="0AE4EBF4"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r w:rsidRPr="005B166B">
              <w:rPr>
                <w:sz w:val="20"/>
                <w:szCs w:val="20"/>
                <w:lang w:val="en"/>
              </w:rPr>
              <w:t>Regional TB Center (4)</w:t>
            </w:r>
          </w:p>
        </w:tc>
        <w:tc>
          <w:tcPr>
            <w:tcW w:w="1202" w:type="pct"/>
          </w:tcPr>
          <w:p w14:paraId="0B3C9BDA"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c>
          <w:tcPr>
            <w:tcW w:w="1158" w:type="pct"/>
          </w:tcPr>
          <w:p w14:paraId="2F33B41E"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r>
      <w:tr w:rsidR="005525AC" w14:paraId="28374334" w14:textId="77777777" w:rsidTr="00294243">
        <w:tc>
          <w:tcPr>
            <w:tcW w:w="876" w:type="pct"/>
            <w:vAlign w:val="center"/>
          </w:tcPr>
          <w:p w14:paraId="079B7786" w14:textId="77777777" w:rsidR="005525AC" w:rsidRPr="005B166B" w:rsidRDefault="005525AC" w:rsidP="00294243">
            <w:pPr>
              <w:widowControl w:val="0"/>
              <w:suppressAutoHyphens/>
              <w:spacing w:after="0"/>
              <w:contextualSpacing/>
              <w:jc w:val="both"/>
              <w:rPr>
                <w:sz w:val="20"/>
                <w:szCs w:val="20"/>
                <w:lang w:val="en"/>
              </w:rPr>
            </w:pPr>
            <w:r w:rsidRPr="005B166B">
              <w:rPr>
                <w:sz w:val="20"/>
                <w:szCs w:val="20"/>
                <w:lang w:val="en"/>
              </w:rPr>
              <w:t>Issyk-Kul region</w:t>
            </w:r>
          </w:p>
        </w:tc>
        <w:tc>
          <w:tcPr>
            <w:tcW w:w="929" w:type="pct"/>
            <w:vAlign w:val="center"/>
          </w:tcPr>
          <w:p w14:paraId="7244F178"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2 (6)</w:t>
            </w:r>
          </w:p>
        </w:tc>
        <w:tc>
          <w:tcPr>
            <w:tcW w:w="835" w:type="pct"/>
            <w:vAlign w:val="center"/>
          </w:tcPr>
          <w:p w14:paraId="59F085B9" w14:textId="77777777" w:rsidR="005525AC" w:rsidRPr="005B166B" w:rsidRDefault="005525AC" w:rsidP="00294243">
            <w:pPr>
              <w:widowControl w:val="0"/>
              <w:suppressAutoHyphens/>
              <w:spacing w:after="0"/>
              <w:contextualSpacing/>
              <w:jc w:val="center"/>
              <w:rPr>
                <w:rFonts w:ascii="Arial Narrow" w:hAnsi="Arial Narrow"/>
                <w:sz w:val="20"/>
                <w:szCs w:val="20"/>
              </w:rPr>
            </w:pPr>
            <w:r w:rsidRPr="005B166B">
              <w:rPr>
                <w:sz w:val="20"/>
                <w:szCs w:val="20"/>
                <w:lang w:val="en"/>
              </w:rPr>
              <w:t>Regional TB Center (4)</w:t>
            </w:r>
          </w:p>
        </w:tc>
        <w:tc>
          <w:tcPr>
            <w:tcW w:w="1202" w:type="pct"/>
          </w:tcPr>
          <w:p w14:paraId="7B46F13B"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roofErr w:type="spellStart"/>
            <w:r w:rsidRPr="005B166B">
              <w:rPr>
                <w:sz w:val="20"/>
                <w:szCs w:val="20"/>
                <w:lang w:val="en"/>
              </w:rPr>
              <w:t>Balykchy</w:t>
            </w:r>
            <w:proofErr w:type="spellEnd"/>
            <w:r w:rsidRPr="005B166B">
              <w:rPr>
                <w:sz w:val="20"/>
                <w:szCs w:val="20"/>
                <w:lang w:val="en"/>
              </w:rPr>
              <w:t xml:space="preserve"> GMPC (2)</w:t>
            </w:r>
          </w:p>
        </w:tc>
        <w:tc>
          <w:tcPr>
            <w:tcW w:w="1158" w:type="pct"/>
          </w:tcPr>
          <w:p w14:paraId="6BA15B44"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r>
      <w:tr w:rsidR="005525AC" w14:paraId="3231672C" w14:textId="77777777" w:rsidTr="00294243">
        <w:tc>
          <w:tcPr>
            <w:tcW w:w="876" w:type="pct"/>
          </w:tcPr>
          <w:p w14:paraId="6B19F356" w14:textId="77777777" w:rsidR="005525AC" w:rsidRPr="005B166B" w:rsidRDefault="005525AC" w:rsidP="00294243">
            <w:pPr>
              <w:widowControl w:val="0"/>
              <w:suppressAutoHyphens/>
              <w:spacing w:after="0"/>
              <w:contextualSpacing/>
              <w:jc w:val="both"/>
              <w:rPr>
                <w:sz w:val="20"/>
                <w:szCs w:val="20"/>
                <w:lang w:val="en"/>
              </w:rPr>
            </w:pPr>
            <w:r w:rsidRPr="005B166B">
              <w:rPr>
                <w:sz w:val="20"/>
                <w:szCs w:val="20"/>
                <w:lang w:val="en"/>
              </w:rPr>
              <w:t>Osh region</w:t>
            </w:r>
          </w:p>
        </w:tc>
        <w:tc>
          <w:tcPr>
            <w:tcW w:w="929" w:type="pct"/>
            <w:vAlign w:val="center"/>
          </w:tcPr>
          <w:p w14:paraId="5D991517"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5 (16)</w:t>
            </w:r>
          </w:p>
        </w:tc>
        <w:tc>
          <w:tcPr>
            <w:tcW w:w="835" w:type="pct"/>
            <w:vAlign w:val="center"/>
          </w:tcPr>
          <w:p w14:paraId="54CAEE18" w14:textId="77777777" w:rsidR="005525AC" w:rsidRPr="005B166B" w:rsidRDefault="005525AC" w:rsidP="00294243">
            <w:pPr>
              <w:widowControl w:val="0"/>
              <w:suppressAutoHyphens/>
              <w:spacing w:after="0"/>
              <w:contextualSpacing/>
              <w:jc w:val="center"/>
              <w:rPr>
                <w:sz w:val="20"/>
                <w:szCs w:val="20"/>
                <w:lang w:val="ru"/>
              </w:rPr>
            </w:pPr>
            <w:r w:rsidRPr="005B166B">
              <w:rPr>
                <w:sz w:val="20"/>
                <w:szCs w:val="20"/>
                <w:lang w:val="en"/>
              </w:rPr>
              <w:t>Regional TB Center (4)</w:t>
            </w:r>
          </w:p>
          <w:p w14:paraId="081CE74A" w14:textId="77777777" w:rsidR="005525AC" w:rsidRPr="005B166B" w:rsidRDefault="005525AC" w:rsidP="00294243">
            <w:pPr>
              <w:widowControl w:val="0"/>
              <w:suppressAutoHyphens/>
              <w:spacing w:after="0"/>
              <w:contextualSpacing/>
              <w:jc w:val="center"/>
              <w:rPr>
                <w:rFonts w:ascii="Arial Narrow" w:hAnsi="Arial Narrow"/>
                <w:sz w:val="20"/>
                <w:szCs w:val="20"/>
              </w:rPr>
            </w:pPr>
            <w:r w:rsidRPr="005B166B">
              <w:rPr>
                <w:sz w:val="20"/>
                <w:szCs w:val="20"/>
                <w:lang w:val="en"/>
              </w:rPr>
              <w:t>СТС (4)</w:t>
            </w:r>
          </w:p>
        </w:tc>
        <w:tc>
          <w:tcPr>
            <w:tcW w:w="1202" w:type="pct"/>
          </w:tcPr>
          <w:p w14:paraId="57E1A9D2" w14:textId="77777777" w:rsidR="005525AC" w:rsidRPr="00E769B9" w:rsidRDefault="005525AC" w:rsidP="00294243">
            <w:pPr>
              <w:widowControl w:val="0"/>
              <w:suppressAutoHyphens/>
              <w:spacing w:after="0"/>
              <w:contextualSpacing/>
              <w:jc w:val="center"/>
              <w:rPr>
                <w:sz w:val="20"/>
                <w:szCs w:val="20"/>
              </w:rPr>
            </w:pPr>
            <w:r w:rsidRPr="005B166B">
              <w:rPr>
                <w:sz w:val="20"/>
                <w:szCs w:val="20"/>
                <w:lang w:val="en"/>
              </w:rPr>
              <w:t xml:space="preserve">Kara-Suu GMPC (4); </w:t>
            </w:r>
            <w:proofErr w:type="spellStart"/>
            <w:r w:rsidRPr="005B166B">
              <w:rPr>
                <w:sz w:val="20"/>
                <w:szCs w:val="20"/>
                <w:lang w:val="en"/>
              </w:rPr>
              <w:t>Nookat</w:t>
            </w:r>
            <w:proofErr w:type="spellEnd"/>
            <w:r w:rsidRPr="005B166B">
              <w:rPr>
                <w:sz w:val="20"/>
                <w:szCs w:val="20"/>
                <w:lang w:val="en"/>
              </w:rPr>
              <w:t xml:space="preserve"> GMPC (2); </w:t>
            </w:r>
          </w:p>
          <w:p w14:paraId="073CB004" w14:textId="77777777" w:rsidR="005525AC" w:rsidRPr="005B166B" w:rsidRDefault="005525AC" w:rsidP="00294243">
            <w:pPr>
              <w:widowControl w:val="0"/>
              <w:suppressAutoHyphens/>
              <w:spacing w:after="0"/>
              <w:contextualSpacing/>
              <w:jc w:val="center"/>
              <w:rPr>
                <w:rFonts w:ascii="Arial Narrow" w:hAnsi="Arial Narrow"/>
                <w:sz w:val="20"/>
                <w:szCs w:val="20"/>
                <w:lang w:val="ru-RU"/>
              </w:rPr>
            </w:pPr>
            <w:r w:rsidRPr="005B166B">
              <w:rPr>
                <w:sz w:val="20"/>
                <w:szCs w:val="20"/>
                <w:lang w:val="en"/>
              </w:rPr>
              <w:t>Uzgen GMPC (2)</w:t>
            </w:r>
          </w:p>
        </w:tc>
        <w:tc>
          <w:tcPr>
            <w:tcW w:w="1158" w:type="pct"/>
          </w:tcPr>
          <w:p w14:paraId="3E392AF2" w14:textId="77777777" w:rsidR="005525AC" w:rsidRPr="005B166B" w:rsidRDefault="005525AC" w:rsidP="00294243">
            <w:pPr>
              <w:widowControl w:val="0"/>
              <w:suppressAutoHyphens/>
              <w:spacing w:after="0"/>
              <w:contextualSpacing/>
              <w:jc w:val="center"/>
              <w:rPr>
                <w:rFonts w:ascii="Arial Narrow" w:hAnsi="Arial Narrow"/>
                <w:sz w:val="20"/>
                <w:szCs w:val="20"/>
                <w:lang w:val="ru-RU"/>
              </w:rPr>
            </w:pPr>
          </w:p>
        </w:tc>
      </w:tr>
      <w:tr w:rsidR="005525AC" w14:paraId="2B2F1CAE" w14:textId="77777777" w:rsidTr="00294243">
        <w:tc>
          <w:tcPr>
            <w:tcW w:w="876" w:type="pct"/>
          </w:tcPr>
          <w:p w14:paraId="2C4FD3FC" w14:textId="77777777" w:rsidR="005525AC" w:rsidRPr="005B166B" w:rsidRDefault="005525AC" w:rsidP="00294243">
            <w:pPr>
              <w:widowControl w:val="0"/>
              <w:suppressAutoHyphens/>
              <w:spacing w:after="0"/>
              <w:contextualSpacing/>
              <w:jc w:val="both"/>
              <w:rPr>
                <w:sz w:val="20"/>
                <w:szCs w:val="20"/>
                <w:lang w:val="en"/>
              </w:rPr>
            </w:pPr>
            <w:r w:rsidRPr="005B166B">
              <w:rPr>
                <w:sz w:val="20"/>
                <w:szCs w:val="20"/>
                <w:lang w:val="en"/>
              </w:rPr>
              <w:t>Jalal-Abad region</w:t>
            </w:r>
          </w:p>
        </w:tc>
        <w:tc>
          <w:tcPr>
            <w:tcW w:w="929" w:type="pct"/>
            <w:vAlign w:val="center"/>
          </w:tcPr>
          <w:p w14:paraId="0D842B97"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4 (12)</w:t>
            </w:r>
          </w:p>
        </w:tc>
        <w:tc>
          <w:tcPr>
            <w:tcW w:w="835" w:type="pct"/>
            <w:vAlign w:val="center"/>
          </w:tcPr>
          <w:p w14:paraId="2288E672"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r w:rsidRPr="005B166B">
              <w:rPr>
                <w:sz w:val="20"/>
                <w:szCs w:val="20"/>
                <w:lang w:val="en"/>
              </w:rPr>
              <w:t>Regional TB Center (4)</w:t>
            </w:r>
          </w:p>
        </w:tc>
        <w:tc>
          <w:tcPr>
            <w:tcW w:w="1202" w:type="pct"/>
          </w:tcPr>
          <w:p w14:paraId="78FD6BCB" w14:textId="77777777" w:rsidR="005525AC" w:rsidRPr="00E769B9" w:rsidRDefault="005525AC" w:rsidP="00294243">
            <w:pPr>
              <w:widowControl w:val="0"/>
              <w:suppressAutoHyphens/>
              <w:spacing w:after="0"/>
              <w:contextualSpacing/>
              <w:jc w:val="center"/>
              <w:rPr>
                <w:sz w:val="20"/>
                <w:szCs w:val="20"/>
                <w:lang w:val="en"/>
              </w:rPr>
            </w:pPr>
            <w:proofErr w:type="spellStart"/>
            <w:r w:rsidRPr="005B166B">
              <w:rPr>
                <w:sz w:val="20"/>
                <w:szCs w:val="20"/>
                <w:lang w:val="en"/>
              </w:rPr>
              <w:t>Suzak</w:t>
            </w:r>
            <w:proofErr w:type="spellEnd"/>
            <w:r w:rsidRPr="005B166B">
              <w:rPr>
                <w:sz w:val="20"/>
                <w:szCs w:val="20"/>
                <w:lang w:val="en"/>
              </w:rPr>
              <w:t xml:space="preserve"> GMPC (4);</w:t>
            </w:r>
          </w:p>
          <w:p w14:paraId="2D1D366B" w14:textId="77777777" w:rsidR="005525AC" w:rsidRPr="00E769B9" w:rsidRDefault="005525AC" w:rsidP="00294243">
            <w:pPr>
              <w:widowControl w:val="0"/>
              <w:suppressAutoHyphens/>
              <w:spacing w:after="0"/>
              <w:contextualSpacing/>
              <w:jc w:val="center"/>
              <w:rPr>
                <w:sz w:val="20"/>
                <w:szCs w:val="20"/>
                <w:lang w:val="en"/>
              </w:rPr>
            </w:pPr>
            <w:proofErr w:type="spellStart"/>
            <w:r w:rsidRPr="005B166B">
              <w:rPr>
                <w:sz w:val="20"/>
                <w:szCs w:val="20"/>
                <w:lang w:val="en"/>
              </w:rPr>
              <w:t>Toktogul</w:t>
            </w:r>
            <w:proofErr w:type="spellEnd"/>
            <w:r w:rsidRPr="005B166B">
              <w:rPr>
                <w:sz w:val="20"/>
                <w:szCs w:val="20"/>
                <w:lang w:val="en"/>
              </w:rPr>
              <w:t xml:space="preserve"> GMPC (2);</w:t>
            </w:r>
          </w:p>
          <w:p w14:paraId="54BD8175" w14:textId="77777777" w:rsidR="005525AC" w:rsidRPr="00E769B9" w:rsidRDefault="005525AC" w:rsidP="00294243">
            <w:pPr>
              <w:widowControl w:val="0"/>
              <w:suppressAutoHyphens/>
              <w:spacing w:after="0"/>
              <w:contextualSpacing/>
              <w:jc w:val="center"/>
              <w:rPr>
                <w:rFonts w:ascii="Arial Narrow" w:hAnsi="Arial Narrow"/>
                <w:sz w:val="20"/>
                <w:szCs w:val="20"/>
                <w:lang w:val="en"/>
              </w:rPr>
            </w:pPr>
            <w:proofErr w:type="spellStart"/>
            <w:r w:rsidRPr="005B166B">
              <w:rPr>
                <w:sz w:val="20"/>
                <w:szCs w:val="20"/>
                <w:lang w:val="en"/>
              </w:rPr>
              <w:t>Aksy</w:t>
            </w:r>
            <w:proofErr w:type="spellEnd"/>
            <w:r w:rsidRPr="005B166B">
              <w:rPr>
                <w:sz w:val="20"/>
                <w:szCs w:val="20"/>
                <w:lang w:val="en"/>
              </w:rPr>
              <w:t xml:space="preserve"> GMPC (2)</w:t>
            </w:r>
          </w:p>
        </w:tc>
        <w:tc>
          <w:tcPr>
            <w:tcW w:w="1158" w:type="pct"/>
          </w:tcPr>
          <w:p w14:paraId="051C5680" w14:textId="77777777" w:rsidR="005525AC" w:rsidRPr="00E769B9" w:rsidRDefault="005525AC" w:rsidP="00294243">
            <w:pPr>
              <w:widowControl w:val="0"/>
              <w:suppressAutoHyphens/>
              <w:spacing w:after="0"/>
              <w:contextualSpacing/>
              <w:jc w:val="center"/>
              <w:rPr>
                <w:rFonts w:ascii="Arial Narrow" w:hAnsi="Arial Narrow"/>
                <w:sz w:val="20"/>
                <w:szCs w:val="20"/>
                <w:lang w:val="en"/>
              </w:rPr>
            </w:pPr>
          </w:p>
        </w:tc>
      </w:tr>
      <w:tr w:rsidR="005525AC" w14:paraId="11B3767C" w14:textId="77777777" w:rsidTr="00294243">
        <w:tc>
          <w:tcPr>
            <w:tcW w:w="876" w:type="pct"/>
          </w:tcPr>
          <w:p w14:paraId="496C112F" w14:textId="77777777" w:rsidR="005525AC" w:rsidRPr="005B166B" w:rsidRDefault="005525AC" w:rsidP="00294243">
            <w:pPr>
              <w:widowControl w:val="0"/>
              <w:suppressAutoHyphens/>
              <w:spacing w:after="0"/>
              <w:contextualSpacing/>
              <w:jc w:val="both"/>
              <w:rPr>
                <w:sz w:val="20"/>
                <w:szCs w:val="20"/>
              </w:rPr>
            </w:pPr>
            <w:proofErr w:type="spellStart"/>
            <w:r w:rsidRPr="005B166B">
              <w:rPr>
                <w:sz w:val="20"/>
                <w:szCs w:val="20"/>
                <w:lang w:val="en"/>
              </w:rPr>
              <w:t>Batken</w:t>
            </w:r>
            <w:proofErr w:type="spellEnd"/>
            <w:r w:rsidRPr="005B166B">
              <w:rPr>
                <w:sz w:val="20"/>
                <w:szCs w:val="20"/>
                <w:lang w:val="en"/>
              </w:rPr>
              <w:t xml:space="preserve"> region</w:t>
            </w:r>
          </w:p>
        </w:tc>
        <w:tc>
          <w:tcPr>
            <w:tcW w:w="929" w:type="pct"/>
            <w:vAlign w:val="center"/>
          </w:tcPr>
          <w:p w14:paraId="51DC06F9"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3 (8)</w:t>
            </w:r>
          </w:p>
        </w:tc>
        <w:tc>
          <w:tcPr>
            <w:tcW w:w="835" w:type="pct"/>
            <w:vAlign w:val="center"/>
          </w:tcPr>
          <w:p w14:paraId="01046291" w14:textId="77777777" w:rsidR="005525AC" w:rsidRPr="005B166B" w:rsidRDefault="005525AC" w:rsidP="00294243">
            <w:pPr>
              <w:widowControl w:val="0"/>
              <w:suppressAutoHyphens/>
              <w:spacing w:after="0"/>
              <w:contextualSpacing/>
              <w:jc w:val="center"/>
              <w:rPr>
                <w:rFonts w:ascii="Arial Narrow" w:hAnsi="Arial Narrow"/>
                <w:sz w:val="20"/>
                <w:szCs w:val="20"/>
              </w:rPr>
            </w:pPr>
            <w:r w:rsidRPr="005B166B">
              <w:rPr>
                <w:sz w:val="20"/>
                <w:szCs w:val="20"/>
                <w:lang w:val="en"/>
              </w:rPr>
              <w:t>Regional TB Center (4)</w:t>
            </w:r>
          </w:p>
        </w:tc>
        <w:tc>
          <w:tcPr>
            <w:tcW w:w="1202" w:type="pct"/>
          </w:tcPr>
          <w:p w14:paraId="2045FB91" w14:textId="77777777" w:rsidR="005525AC" w:rsidRPr="005B166B" w:rsidRDefault="005525AC" w:rsidP="00294243">
            <w:pPr>
              <w:widowControl w:val="0"/>
              <w:suppressAutoHyphens/>
              <w:spacing w:after="0"/>
              <w:contextualSpacing/>
              <w:jc w:val="center"/>
              <w:rPr>
                <w:sz w:val="20"/>
                <w:szCs w:val="20"/>
              </w:rPr>
            </w:pPr>
            <w:proofErr w:type="spellStart"/>
            <w:r w:rsidRPr="005B166B">
              <w:rPr>
                <w:sz w:val="20"/>
                <w:szCs w:val="20"/>
                <w:lang w:val="en"/>
              </w:rPr>
              <w:t>Leilek</w:t>
            </w:r>
            <w:proofErr w:type="spellEnd"/>
            <w:r w:rsidRPr="005B166B">
              <w:rPr>
                <w:sz w:val="20"/>
                <w:szCs w:val="20"/>
                <w:lang w:val="en"/>
              </w:rPr>
              <w:t xml:space="preserve"> GMPC (2);</w:t>
            </w:r>
          </w:p>
          <w:p w14:paraId="37D0A792"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r w:rsidRPr="005B166B">
              <w:rPr>
                <w:sz w:val="20"/>
                <w:szCs w:val="20"/>
                <w:lang w:val="en"/>
              </w:rPr>
              <w:t>Kyzyl-</w:t>
            </w:r>
            <w:proofErr w:type="spellStart"/>
            <w:r w:rsidRPr="005B166B">
              <w:rPr>
                <w:sz w:val="20"/>
                <w:szCs w:val="20"/>
                <w:lang w:val="en"/>
              </w:rPr>
              <w:t>Kyia</w:t>
            </w:r>
            <w:proofErr w:type="spellEnd"/>
            <w:r w:rsidRPr="005B166B">
              <w:rPr>
                <w:sz w:val="20"/>
                <w:szCs w:val="20"/>
                <w:lang w:val="en"/>
              </w:rPr>
              <w:t xml:space="preserve"> GMPC (2)</w:t>
            </w:r>
          </w:p>
        </w:tc>
        <w:tc>
          <w:tcPr>
            <w:tcW w:w="1158" w:type="pct"/>
          </w:tcPr>
          <w:p w14:paraId="5AB94C5D"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r>
      <w:tr w:rsidR="005525AC" w14:paraId="12CADF3B" w14:textId="77777777" w:rsidTr="00294243">
        <w:tc>
          <w:tcPr>
            <w:tcW w:w="876" w:type="pct"/>
          </w:tcPr>
          <w:p w14:paraId="2CD53FB3" w14:textId="77777777" w:rsidR="005525AC" w:rsidRPr="005B166B" w:rsidRDefault="005525AC" w:rsidP="00294243">
            <w:pPr>
              <w:widowControl w:val="0"/>
              <w:suppressAutoHyphens/>
              <w:spacing w:after="0"/>
              <w:contextualSpacing/>
              <w:jc w:val="both"/>
              <w:rPr>
                <w:sz w:val="20"/>
                <w:szCs w:val="20"/>
              </w:rPr>
            </w:pPr>
            <w:r w:rsidRPr="005B166B">
              <w:rPr>
                <w:sz w:val="20"/>
                <w:szCs w:val="20"/>
                <w:lang w:val="en"/>
              </w:rPr>
              <w:t>Penitentiary system</w:t>
            </w:r>
          </w:p>
        </w:tc>
        <w:tc>
          <w:tcPr>
            <w:tcW w:w="929" w:type="pct"/>
            <w:vAlign w:val="center"/>
          </w:tcPr>
          <w:p w14:paraId="0BF988E7" w14:textId="77777777" w:rsidR="005525AC" w:rsidRPr="005B166B" w:rsidRDefault="005525AC" w:rsidP="00294243">
            <w:pPr>
              <w:widowControl w:val="0"/>
              <w:suppressAutoHyphens/>
              <w:spacing w:after="0"/>
              <w:contextualSpacing/>
              <w:jc w:val="center"/>
              <w:rPr>
                <w:sz w:val="20"/>
                <w:szCs w:val="20"/>
                <w:lang w:val="en"/>
              </w:rPr>
            </w:pPr>
            <w:r w:rsidRPr="005B166B">
              <w:rPr>
                <w:sz w:val="20"/>
                <w:szCs w:val="20"/>
                <w:lang w:val="en"/>
              </w:rPr>
              <w:t>3 (12)</w:t>
            </w:r>
          </w:p>
        </w:tc>
        <w:tc>
          <w:tcPr>
            <w:tcW w:w="835" w:type="pct"/>
            <w:vAlign w:val="center"/>
          </w:tcPr>
          <w:p w14:paraId="7F05B558"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c>
          <w:tcPr>
            <w:tcW w:w="1202" w:type="pct"/>
          </w:tcPr>
          <w:p w14:paraId="190AF059" w14:textId="77777777" w:rsidR="005525AC" w:rsidRPr="005B166B" w:rsidRDefault="005525AC" w:rsidP="00294243">
            <w:pPr>
              <w:widowControl w:val="0"/>
              <w:suppressAutoHyphens/>
              <w:spacing w:after="0"/>
              <w:contextualSpacing/>
              <w:jc w:val="center"/>
              <w:rPr>
                <w:rFonts w:ascii="Arial Narrow" w:hAnsi="Arial Narrow"/>
                <w:sz w:val="20"/>
                <w:szCs w:val="20"/>
                <w:lang w:val="en"/>
              </w:rPr>
            </w:pPr>
          </w:p>
        </w:tc>
        <w:tc>
          <w:tcPr>
            <w:tcW w:w="1158" w:type="pct"/>
          </w:tcPr>
          <w:p w14:paraId="53B35814" w14:textId="77777777" w:rsidR="005525AC" w:rsidRPr="00FC0C69" w:rsidRDefault="005525AC" w:rsidP="00294243">
            <w:pPr>
              <w:widowControl w:val="0"/>
              <w:suppressAutoHyphens/>
              <w:spacing w:after="0"/>
              <w:contextualSpacing/>
              <w:jc w:val="center"/>
              <w:rPr>
                <w:sz w:val="20"/>
                <w:szCs w:val="20"/>
              </w:rPr>
            </w:pPr>
            <w:r w:rsidRPr="005B166B">
              <w:rPr>
                <w:sz w:val="20"/>
                <w:szCs w:val="20"/>
                <w:lang w:val="en"/>
              </w:rPr>
              <w:t>Pre-trial detention center No. 1: 2 units. (4+4);</w:t>
            </w:r>
          </w:p>
          <w:p w14:paraId="2246D7A0" w14:textId="77777777" w:rsidR="005525AC" w:rsidRPr="00FC0C69" w:rsidRDefault="005525AC" w:rsidP="00294243">
            <w:pPr>
              <w:widowControl w:val="0"/>
              <w:suppressAutoHyphens/>
              <w:spacing w:after="0"/>
              <w:contextualSpacing/>
              <w:jc w:val="center"/>
              <w:rPr>
                <w:rFonts w:ascii="Arial Narrow" w:hAnsi="Arial Narrow"/>
                <w:sz w:val="20"/>
                <w:szCs w:val="20"/>
              </w:rPr>
            </w:pPr>
            <w:r w:rsidRPr="005B166B">
              <w:rPr>
                <w:sz w:val="20"/>
                <w:szCs w:val="20"/>
                <w:lang w:val="en"/>
              </w:rPr>
              <w:t>Colony No. 31 (4)</w:t>
            </w:r>
          </w:p>
        </w:tc>
      </w:tr>
      <w:tr w:rsidR="005525AC" w14:paraId="671A6DEE" w14:textId="77777777" w:rsidTr="00294243">
        <w:tc>
          <w:tcPr>
            <w:tcW w:w="876" w:type="pct"/>
          </w:tcPr>
          <w:p w14:paraId="0BE2A690" w14:textId="77777777" w:rsidR="005525AC" w:rsidRPr="005B166B" w:rsidRDefault="005525AC" w:rsidP="00294243">
            <w:pPr>
              <w:widowControl w:val="0"/>
              <w:suppressAutoHyphens/>
              <w:spacing w:after="0"/>
              <w:contextualSpacing/>
              <w:jc w:val="both"/>
              <w:rPr>
                <w:b/>
                <w:bCs/>
                <w:sz w:val="20"/>
                <w:szCs w:val="20"/>
              </w:rPr>
            </w:pPr>
            <w:r w:rsidRPr="005B166B">
              <w:rPr>
                <w:b/>
                <w:bCs/>
                <w:sz w:val="20"/>
                <w:szCs w:val="20"/>
                <w:lang w:val="en"/>
              </w:rPr>
              <w:t>Country, total</w:t>
            </w:r>
          </w:p>
        </w:tc>
        <w:tc>
          <w:tcPr>
            <w:tcW w:w="929" w:type="pct"/>
          </w:tcPr>
          <w:p w14:paraId="111CAAC5" w14:textId="77777777" w:rsidR="005525AC" w:rsidRPr="005B166B" w:rsidRDefault="005525AC" w:rsidP="00294243">
            <w:pPr>
              <w:widowControl w:val="0"/>
              <w:suppressAutoHyphens/>
              <w:spacing w:after="0"/>
              <w:contextualSpacing/>
              <w:jc w:val="center"/>
              <w:rPr>
                <w:b/>
                <w:bCs/>
                <w:sz w:val="20"/>
                <w:szCs w:val="20"/>
                <w:lang w:val="en"/>
              </w:rPr>
            </w:pPr>
            <w:r w:rsidRPr="005B166B">
              <w:rPr>
                <w:b/>
                <w:bCs/>
                <w:sz w:val="20"/>
                <w:szCs w:val="20"/>
                <w:lang w:val="en"/>
              </w:rPr>
              <w:t>25 (84)</w:t>
            </w:r>
          </w:p>
        </w:tc>
        <w:tc>
          <w:tcPr>
            <w:tcW w:w="835" w:type="pct"/>
            <w:vAlign w:val="center"/>
          </w:tcPr>
          <w:p w14:paraId="13D013D9" w14:textId="77777777" w:rsidR="005525AC" w:rsidRPr="005B166B" w:rsidRDefault="005525AC" w:rsidP="00294243">
            <w:pPr>
              <w:widowControl w:val="0"/>
              <w:suppressAutoHyphens/>
              <w:spacing w:after="0"/>
              <w:contextualSpacing/>
              <w:jc w:val="center"/>
              <w:rPr>
                <w:b/>
                <w:bCs/>
                <w:sz w:val="20"/>
                <w:szCs w:val="20"/>
              </w:rPr>
            </w:pPr>
            <w:r w:rsidRPr="005B166B">
              <w:rPr>
                <w:b/>
                <w:bCs/>
                <w:sz w:val="20"/>
                <w:szCs w:val="20"/>
                <w:lang w:val="en"/>
              </w:rPr>
              <w:t>9 (36)</w:t>
            </w:r>
          </w:p>
        </w:tc>
        <w:tc>
          <w:tcPr>
            <w:tcW w:w="1202" w:type="pct"/>
          </w:tcPr>
          <w:p w14:paraId="30961BDD" w14:textId="77777777" w:rsidR="005525AC" w:rsidRPr="005B166B" w:rsidRDefault="005525AC" w:rsidP="00294243">
            <w:pPr>
              <w:widowControl w:val="0"/>
              <w:suppressAutoHyphens/>
              <w:spacing w:after="0"/>
              <w:contextualSpacing/>
              <w:jc w:val="center"/>
              <w:rPr>
                <w:b/>
                <w:bCs/>
                <w:sz w:val="20"/>
                <w:szCs w:val="20"/>
              </w:rPr>
            </w:pPr>
            <w:r w:rsidRPr="005B166B">
              <w:rPr>
                <w:b/>
                <w:bCs/>
                <w:sz w:val="20"/>
                <w:szCs w:val="20"/>
                <w:lang w:val="en"/>
              </w:rPr>
              <w:t>13 (36)</w:t>
            </w:r>
          </w:p>
        </w:tc>
        <w:tc>
          <w:tcPr>
            <w:tcW w:w="1158" w:type="pct"/>
          </w:tcPr>
          <w:p w14:paraId="09B7B153" w14:textId="77777777" w:rsidR="005525AC" w:rsidRPr="005B166B" w:rsidRDefault="005525AC" w:rsidP="00294243">
            <w:pPr>
              <w:widowControl w:val="0"/>
              <w:suppressAutoHyphens/>
              <w:spacing w:after="0"/>
              <w:contextualSpacing/>
              <w:jc w:val="center"/>
              <w:rPr>
                <w:b/>
                <w:bCs/>
                <w:sz w:val="20"/>
                <w:szCs w:val="20"/>
              </w:rPr>
            </w:pPr>
            <w:r w:rsidRPr="005B166B">
              <w:rPr>
                <w:b/>
                <w:bCs/>
                <w:sz w:val="20"/>
                <w:szCs w:val="20"/>
                <w:lang w:val="en"/>
              </w:rPr>
              <w:t>3 (12)</w:t>
            </w:r>
          </w:p>
        </w:tc>
      </w:tr>
    </w:tbl>
    <w:p w14:paraId="7BF826D0" w14:textId="77777777" w:rsidR="005525AC" w:rsidRPr="005567E5" w:rsidRDefault="005525AC" w:rsidP="005525AC">
      <w:pPr>
        <w:pStyle w:val="Subcaption"/>
        <w:widowControl w:val="0"/>
        <w:jc w:val="both"/>
        <w:rPr>
          <w:lang w:val="ru-RU"/>
        </w:rPr>
      </w:pPr>
      <w:r w:rsidRPr="003A22EB">
        <w:rPr>
          <w:i/>
          <w:iCs/>
          <w:lang w:val="en"/>
        </w:rPr>
        <w:t>Source</w:t>
      </w:r>
      <w:r>
        <w:rPr>
          <w:lang w:val="en"/>
        </w:rPr>
        <w:t>: NTP.</w:t>
      </w:r>
    </w:p>
    <w:p w14:paraId="7DC84C67" w14:textId="1E7AE0A2" w:rsidR="006F3244" w:rsidRPr="0009092A" w:rsidRDefault="005B1BD5" w:rsidP="006F3244">
      <w:pPr>
        <w:widowControl w:val="0"/>
        <w:spacing w:line="240" w:lineRule="auto"/>
        <w:jc w:val="both"/>
        <w:rPr>
          <w:rFonts w:ascii="Arial" w:hAnsi="Arial"/>
          <w:i/>
          <w:iCs/>
          <w:sz w:val="24"/>
          <w:szCs w:val="24"/>
          <w:lang w:val="en"/>
        </w:rPr>
      </w:pPr>
      <w:bookmarkStart w:id="2" w:name="_Ref124009465"/>
      <w:r>
        <w:rPr>
          <w:sz w:val="24"/>
          <w:szCs w:val="24"/>
          <w:lang w:val="en"/>
        </w:rPr>
        <w:t>In line with</w:t>
      </w:r>
      <w:r w:rsidR="006F3244" w:rsidRPr="0009092A">
        <w:rPr>
          <w:sz w:val="24"/>
          <w:szCs w:val="24"/>
          <w:lang w:val="en"/>
        </w:rPr>
        <w:t xml:space="preserve"> the </w:t>
      </w:r>
      <w:proofErr w:type="gramStart"/>
      <w:r w:rsidR="006F3244" w:rsidRPr="0009092A">
        <w:rPr>
          <w:sz w:val="24"/>
          <w:szCs w:val="24"/>
          <w:lang w:val="en"/>
        </w:rPr>
        <w:t>Roadmap</w:t>
      </w:r>
      <w:proofErr w:type="gramEnd"/>
      <w:r w:rsidR="006F3244" w:rsidRPr="0009092A">
        <w:rPr>
          <w:sz w:val="24"/>
          <w:szCs w:val="24"/>
          <w:lang w:val="en"/>
        </w:rPr>
        <w:t xml:space="preserve"> for the reorganization of the laboratory and diagnostic network of the tuberculosis service, the number of microscopic laboratories is expected to be reduced to match </w:t>
      </w:r>
      <w:r w:rsidR="006F3244" w:rsidRPr="0009092A">
        <w:rPr>
          <w:sz w:val="24"/>
          <w:szCs w:val="24"/>
          <w:lang w:val="en"/>
        </w:rPr>
        <w:lastRenderedPageBreak/>
        <w:t xml:space="preserve">the number of laboratories conducting diagnostics by </w:t>
      </w:r>
      <w:proofErr w:type="spellStart"/>
      <w:r w:rsidR="006F3244" w:rsidRPr="0009092A">
        <w:rPr>
          <w:sz w:val="24"/>
          <w:szCs w:val="24"/>
          <w:lang w:val="en"/>
        </w:rPr>
        <w:t>Xpert</w:t>
      </w:r>
      <w:proofErr w:type="spellEnd"/>
      <w:r w:rsidR="006F3244" w:rsidRPr="0009092A">
        <w:rPr>
          <w:sz w:val="24"/>
          <w:szCs w:val="24"/>
          <w:lang w:val="en"/>
        </w:rPr>
        <w:t xml:space="preserve">. The total number of </w:t>
      </w:r>
      <w:proofErr w:type="spellStart"/>
      <w:r w:rsidR="006F3244" w:rsidRPr="0009092A">
        <w:rPr>
          <w:sz w:val="24"/>
          <w:szCs w:val="24"/>
          <w:lang w:val="en"/>
        </w:rPr>
        <w:t>Xpert</w:t>
      </w:r>
      <w:proofErr w:type="spellEnd"/>
      <w:r w:rsidR="006F3244" w:rsidRPr="0009092A">
        <w:rPr>
          <w:sz w:val="24"/>
          <w:szCs w:val="24"/>
          <w:lang w:val="en"/>
        </w:rPr>
        <w:t xml:space="preserve"> studies decreased in 2020-2021, although unevenly across regions</w:t>
      </w:r>
    </w:p>
    <w:bookmarkEnd w:id="2"/>
    <w:p w14:paraId="79F5F438" w14:textId="076E4227" w:rsidR="005525AC" w:rsidRPr="00E769B9" w:rsidRDefault="005525AC" w:rsidP="005525AC">
      <w:pPr>
        <w:pStyle w:val="Caption"/>
        <w:keepNext w:val="0"/>
        <w:widowControl w:val="0"/>
        <w:jc w:val="both"/>
      </w:pPr>
      <w:proofErr w:type="spellStart"/>
      <w:r>
        <w:rPr>
          <w:lang w:val="en"/>
        </w:rPr>
        <w:t>Xpert</w:t>
      </w:r>
      <w:proofErr w:type="spellEnd"/>
      <w:r>
        <w:rPr>
          <w:lang w:val="en"/>
        </w:rPr>
        <w:t xml:space="preserve"> tests were conducted by regions, Kyrgyzstan, 2019-2021.</w:t>
      </w:r>
    </w:p>
    <w:p w14:paraId="6BA6EF85" w14:textId="77777777" w:rsidR="005525AC" w:rsidRDefault="005525AC" w:rsidP="005525AC">
      <w:pPr>
        <w:pStyle w:val="NoSpacing"/>
        <w:widowControl w:val="0"/>
        <w:jc w:val="both"/>
        <w:rPr>
          <w:lang w:val="en"/>
        </w:rPr>
      </w:pPr>
      <w:r>
        <w:rPr>
          <w:noProof/>
          <w:lang w:val="ru-RU" w:eastAsia="ru-RU"/>
        </w:rPr>
        <w:drawing>
          <wp:inline distT="0" distB="0" distL="0" distR="0" wp14:anchorId="033062A9" wp14:editId="72458FB5">
            <wp:extent cx="5936615" cy="2073965"/>
            <wp:effectExtent l="0" t="0" r="6985" b="2540"/>
            <wp:docPr id="24" name="Chart 11">
              <a:extLst xmlns:a="http://schemas.openxmlformats.org/drawingml/2006/main">
                <a:ext uri="{FF2B5EF4-FFF2-40B4-BE49-F238E27FC236}">
                  <a16:creationId xmlns:a16="http://schemas.microsoft.com/office/drawing/2014/main" id="{8527279F-6E69-3F6A-6EF2-AC2C1531D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E3F9FCC" w14:textId="77777777" w:rsidR="005525AC" w:rsidRPr="00E769B9" w:rsidRDefault="005525AC" w:rsidP="005525AC">
      <w:pPr>
        <w:pStyle w:val="Subcaption"/>
        <w:widowControl w:val="0"/>
        <w:jc w:val="both"/>
      </w:pPr>
      <w:r w:rsidRPr="003A22EB">
        <w:rPr>
          <w:i/>
          <w:iCs/>
          <w:lang w:val="en"/>
        </w:rPr>
        <w:t>Source</w:t>
      </w:r>
      <w:r>
        <w:rPr>
          <w:lang w:val="en"/>
        </w:rPr>
        <w:t>: Report of the GLC ERB WHO mission, Kyrgyzstan, 2021</w:t>
      </w:r>
    </w:p>
    <w:p w14:paraId="69E25742" w14:textId="0F91DA1A" w:rsidR="005525AC" w:rsidRPr="00E769B9" w:rsidRDefault="005525AC" w:rsidP="005525AC">
      <w:pPr>
        <w:pStyle w:val="Caption"/>
        <w:keepNext w:val="0"/>
        <w:widowControl w:val="0"/>
        <w:jc w:val="both"/>
      </w:pPr>
      <w:r>
        <w:rPr>
          <w:lang w:val="en"/>
        </w:rPr>
        <w:t>Coverage of DST at least to rifampicin among people with bacteriologically confirmed new and recurrent tuberculosis.</w:t>
      </w:r>
    </w:p>
    <w:tbl>
      <w:tblPr>
        <w:tblStyle w:val="TableGrid"/>
        <w:tblW w:w="0" w:type="auto"/>
        <w:tblLook w:val="04A0" w:firstRow="1" w:lastRow="0" w:firstColumn="1" w:lastColumn="0" w:noHBand="0" w:noVBand="1"/>
      </w:tblPr>
      <w:tblGrid>
        <w:gridCol w:w="3114"/>
        <w:gridCol w:w="1417"/>
        <w:gridCol w:w="1417"/>
      </w:tblGrid>
      <w:tr w:rsidR="005525AC" w14:paraId="241154E2" w14:textId="77777777" w:rsidTr="00294243">
        <w:tc>
          <w:tcPr>
            <w:tcW w:w="3114" w:type="dxa"/>
            <w:shd w:val="clear" w:color="auto" w:fill="D9D9D9" w:themeFill="background1" w:themeFillShade="D9"/>
          </w:tcPr>
          <w:p w14:paraId="2B3A6C73" w14:textId="77777777" w:rsidR="005525AC" w:rsidRPr="00416E9A" w:rsidRDefault="005525AC" w:rsidP="00294243">
            <w:pPr>
              <w:widowControl w:val="0"/>
              <w:jc w:val="both"/>
              <w:rPr>
                <w:b/>
                <w:bCs/>
                <w:sz w:val="20"/>
                <w:szCs w:val="20"/>
              </w:rPr>
            </w:pPr>
            <w:r w:rsidRPr="00416E9A">
              <w:rPr>
                <w:b/>
                <w:bCs/>
                <w:sz w:val="20"/>
                <w:szCs w:val="20"/>
                <w:lang w:val="en"/>
              </w:rPr>
              <w:t>Location</w:t>
            </w:r>
          </w:p>
        </w:tc>
        <w:tc>
          <w:tcPr>
            <w:tcW w:w="1417" w:type="dxa"/>
            <w:shd w:val="clear" w:color="auto" w:fill="D9D9D9" w:themeFill="background1" w:themeFillShade="D9"/>
          </w:tcPr>
          <w:p w14:paraId="7B5F39B6" w14:textId="77777777" w:rsidR="005525AC" w:rsidRPr="00416E9A" w:rsidRDefault="005525AC" w:rsidP="00294243">
            <w:pPr>
              <w:widowControl w:val="0"/>
              <w:jc w:val="center"/>
              <w:rPr>
                <w:b/>
                <w:bCs/>
                <w:sz w:val="20"/>
                <w:szCs w:val="20"/>
              </w:rPr>
            </w:pPr>
            <w:r w:rsidRPr="00416E9A">
              <w:rPr>
                <w:b/>
                <w:bCs/>
                <w:sz w:val="20"/>
                <w:szCs w:val="20"/>
                <w:lang w:val="en"/>
              </w:rPr>
              <w:t>2021</w:t>
            </w:r>
          </w:p>
        </w:tc>
        <w:tc>
          <w:tcPr>
            <w:tcW w:w="1417" w:type="dxa"/>
            <w:shd w:val="clear" w:color="auto" w:fill="D9D9D9" w:themeFill="background1" w:themeFillShade="D9"/>
          </w:tcPr>
          <w:p w14:paraId="0F35F554" w14:textId="77777777" w:rsidR="005525AC" w:rsidRPr="00416E9A" w:rsidRDefault="005525AC" w:rsidP="00294243">
            <w:pPr>
              <w:widowControl w:val="0"/>
              <w:jc w:val="center"/>
              <w:rPr>
                <w:b/>
                <w:bCs/>
                <w:sz w:val="20"/>
                <w:szCs w:val="20"/>
              </w:rPr>
            </w:pPr>
            <w:r w:rsidRPr="00416E9A">
              <w:rPr>
                <w:b/>
                <w:bCs/>
                <w:sz w:val="20"/>
                <w:szCs w:val="20"/>
                <w:lang w:val="en"/>
              </w:rPr>
              <w:t>Q1 2022</w:t>
            </w:r>
          </w:p>
        </w:tc>
      </w:tr>
      <w:tr w:rsidR="005525AC" w14:paraId="214DC6C6" w14:textId="77777777" w:rsidTr="00294243">
        <w:tc>
          <w:tcPr>
            <w:tcW w:w="3114" w:type="dxa"/>
          </w:tcPr>
          <w:p w14:paraId="47F232E0" w14:textId="77777777" w:rsidR="005525AC" w:rsidRPr="005B166B" w:rsidRDefault="005525AC" w:rsidP="00294243">
            <w:pPr>
              <w:widowControl w:val="0"/>
              <w:jc w:val="both"/>
              <w:rPr>
                <w:sz w:val="20"/>
                <w:szCs w:val="20"/>
              </w:rPr>
            </w:pPr>
            <w:r w:rsidRPr="005B166B">
              <w:rPr>
                <w:sz w:val="20"/>
                <w:szCs w:val="20"/>
                <w:lang w:val="en"/>
              </w:rPr>
              <w:t>Talas RTC</w:t>
            </w:r>
          </w:p>
        </w:tc>
        <w:tc>
          <w:tcPr>
            <w:tcW w:w="1417" w:type="dxa"/>
          </w:tcPr>
          <w:p w14:paraId="31968DDF" w14:textId="77777777" w:rsidR="005525AC" w:rsidRPr="005B166B" w:rsidRDefault="005525AC" w:rsidP="00294243">
            <w:pPr>
              <w:widowControl w:val="0"/>
              <w:jc w:val="center"/>
              <w:rPr>
                <w:sz w:val="20"/>
                <w:szCs w:val="20"/>
              </w:rPr>
            </w:pPr>
            <w:r w:rsidRPr="005B166B">
              <w:rPr>
                <w:sz w:val="20"/>
                <w:szCs w:val="20"/>
                <w:lang w:val="en"/>
              </w:rPr>
              <w:t>95%</w:t>
            </w:r>
          </w:p>
        </w:tc>
        <w:tc>
          <w:tcPr>
            <w:tcW w:w="1417" w:type="dxa"/>
          </w:tcPr>
          <w:p w14:paraId="77CD7D53" w14:textId="77777777" w:rsidR="005525AC" w:rsidRPr="005B166B" w:rsidRDefault="005525AC" w:rsidP="00294243">
            <w:pPr>
              <w:widowControl w:val="0"/>
              <w:jc w:val="center"/>
              <w:rPr>
                <w:sz w:val="20"/>
                <w:szCs w:val="20"/>
              </w:rPr>
            </w:pPr>
            <w:r w:rsidRPr="005B166B">
              <w:rPr>
                <w:sz w:val="20"/>
                <w:szCs w:val="20"/>
                <w:lang w:val="en"/>
              </w:rPr>
              <w:t>100%</w:t>
            </w:r>
          </w:p>
        </w:tc>
      </w:tr>
      <w:tr w:rsidR="005525AC" w14:paraId="1BB20BAF" w14:textId="77777777" w:rsidTr="00294243">
        <w:tc>
          <w:tcPr>
            <w:tcW w:w="3114" w:type="dxa"/>
          </w:tcPr>
          <w:p w14:paraId="3FCF69E1" w14:textId="77777777" w:rsidR="005525AC" w:rsidRPr="005B166B" w:rsidRDefault="005525AC" w:rsidP="00294243">
            <w:pPr>
              <w:widowControl w:val="0"/>
              <w:jc w:val="both"/>
              <w:rPr>
                <w:sz w:val="20"/>
                <w:szCs w:val="20"/>
              </w:rPr>
            </w:pPr>
            <w:proofErr w:type="spellStart"/>
            <w:r w:rsidRPr="005B166B">
              <w:rPr>
                <w:sz w:val="20"/>
                <w:szCs w:val="20"/>
                <w:lang w:val="en"/>
              </w:rPr>
              <w:t>Naryn</w:t>
            </w:r>
            <w:proofErr w:type="spellEnd"/>
            <w:r w:rsidRPr="005B166B">
              <w:rPr>
                <w:sz w:val="20"/>
                <w:szCs w:val="20"/>
                <w:lang w:val="en"/>
              </w:rPr>
              <w:t xml:space="preserve"> RTC</w:t>
            </w:r>
          </w:p>
        </w:tc>
        <w:tc>
          <w:tcPr>
            <w:tcW w:w="1417" w:type="dxa"/>
          </w:tcPr>
          <w:p w14:paraId="131DAF50" w14:textId="77777777" w:rsidR="005525AC" w:rsidRPr="005B166B" w:rsidRDefault="005525AC" w:rsidP="00294243">
            <w:pPr>
              <w:widowControl w:val="0"/>
              <w:jc w:val="center"/>
              <w:rPr>
                <w:sz w:val="20"/>
                <w:szCs w:val="20"/>
              </w:rPr>
            </w:pPr>
            <w:r w:rsidRPr="005B166B">
              <w:rPr>
                <w:sz w:val="20"/>
                <w:szCs w:val="20"/>
                <w:lang w:val="en"/>
              </w:rPr>
              <w:t>97%</w:t>
            </w:r>
          </w:p>
        </w:tc>
        <w:tc>
          <w:tcPr>
            <w:tcW w:w="1417" w:type="dxa"/>
          </w:tcPr>
          <w:p w14:paraId="74DB49FB" w14:textId="77777777" w:rsidR="005525AC" w:rsidRPr="005B166B" w:rsidRDefault="005525AC" w:rsidP="00294243">
            <w:pPr>
              <w:widowControl w:val="0"/>
              <w:jc w:val="center"/>
              <w:rPr>
                <w:sz w:val="20"/>
                <w:szCs w:val="20"/>
              </w:rPr>
            </w:pPr>
            <w:r w:rsidRPr="005B166B">
              <w:rPr>
                <w:sz w:val="20"/>
                <w:szCs w:val="20"/>
                <w:lang w:val="en"/>
              </w:rPr>
              <w:t>97%</w:t>
            </w:r>
          </w:p>
        </w:tc>
      </w:tr>
      <w:tr w:rsidR="005525AC" w14:paraId="56194DB7" w14:textId="77777777" w:rsidTr="00294243">
        <w:tc>
          <w:tcPr>
            <w:tcW w:w="3114" w:type="dxa"/>
          </w:tcPr>
          <w:p w14:paraId="187708D3" w14:textId="77777777" w:rsidR="005525AC" w:rsidRPr="005B166B" w:rsidRDefault="005525AC" w:rsidP="00294243">
            <w:pPr>
              <w:widowControl w:val="0"/>
              <w:jc w:val="both"/>
              <w:rPr>
                <w:sz w:val="20"/>
                <w:szCs w:val="20"/>
              </w:rPr>
            </w:pPr>
            <w:r w:rsidRPr="005B166B">
              <w:rPr>
                <w:sz w:val="20"/>
                <w:szCs w:val="20"/>
                <w:lang w:val="en"/>
              </w:rPr>
              <w:t>Issyk-Kul RTC</w:t>
            </w:r>
          </w:p>
        </w:tc>
        <w:tc>
          <w:tcPr>
            <w:tcW w:w="1417" w:type="dxa"/>
          </w:tcPr>
          <w:p w14:paraId="299A4EBC" w14:textId="77777777" w:rsidR="005525AC" w:rsidRPr="005B166B" w:rsidRDefault="005525AC" w:rsidP="00294243">
            <w:pPr>
              <w:widowControl w:val="0"/>
              <w:jc w:val="center"/>
              <w:rPr>
                <w:sz w:val="20"/>
                <w:szCs w:val="20"/>
              </w:rPr>
            </w:pPr>
            <w:r w:rsidRPr="005B166B">
              <w:rPr>
                <w:sz w:val="20"/>
                <w:szCs w:val="20"/>
                <w:lang w:val="en"/>
              </w:rPr>
              <w:t>92%</w:t>
            </w:r>
          </w:p>
        </w:tc>
        <w:tc>
          <w:tcPr>
            <w:tcW w:w="1417" w:type="dxa"/>
          </w:tcPr>
          <w:p w14:paraId="1FCB5219" w14:textId="77777777" w:rsidR="005525AC" w:rsidRPr="005B166B" w:rsidRDefault="005525AC" w:rsidP="00294243">
            <w:pPr>
              <w:widowControl w:val="0"/>
              <w:jc w:val="center"/>
              <w:rPr>
                <w:sz w:val="20"/>
                <w:szCs w:val="20"/>
              </w:rPr>
            </w:pPr>
            <w:r w:rsidRPr="005B166B">
              <w:rPr>
                <w:sz w:val="20"/>
                <w:szCs w:val="20"/>
                <w:lang w:val="en"/>
              </w:rPr>
              <w:t>100%</w:t>
            </w:r>
          </w:p>
        </w:tc>
      </w:tr>
      <w:tr w:rsidR="005525AC" w14:paraId="418CEFF2" w14:textId="77777777" w:rsidTr="00294243">
        <w:tc>
          <w:tcPr>
            <w:tcW w:w="3114" w:type="dxa"/>
          </w:tcPr>
          <w:p w14:paraId="23C74E02" w14:textId="77777777" w:rsidR="005525AC" w:rsidRPr="005B166B" w:rsidRDefault="005525AC" w:rsidP="00294243">
            <w:pPr>
              <w:widowControl w:val="0"/>
              <w:jc w:val="both"/>
              <w:rPr>
                <w:sz w:val="20"/>
                <w:szCs w:val="20"/>
              </w:rPr>
            </w:pPr>
            <w:r w:rsidRPr="005B166B">
              <w:rPr>
                <w:sz w:val="20"/>
                <w:szCs w:val="20"/>
                <w:lang w:val="en"/>
              </w:rPr>
              <w:t>Jalal-Abad RTC</w:t>
            </w:r>
          </w:p>
        </w:tc>
        <w:tc>
          <w:tcPr>
            <w:tcW w:w="1417" w:type="dxa"/>
          </w:tcPr>
          <w:p w14:paraId="3008651D" w14:textId="77777777" w:rsidR="005525AC" w:rsidRPr="005B166B" w:rsidRDefault="005525AC" w:rsidP="00294243">
            <w:pPr>
              <w:widowControl w:val="0"/>
              <w:jc w:val="center"/>
              <w:rPr>
                <w:sz w:val="20"/>
                <w:szCs w:val="20"/>
              </w:rPr>
            </w:pPr>
            <w:r w:rsidRPr="005B166B">
              <w:rPr>
                <w:sz w:val="20"/>
                <w:szCs w:val="20"/>
                <w:lang w:val="en"/>
              </w:rPr>
              <w:t>93%</w:t>
            </w:r>
          </w:p>
        </w:tc>
        <w:tc>
          <w:tcPr>
            <w:tcW w:w="1417" w:type="dxa"/>
          </w:tcPr>
          <w:p w14:paraId="4D1BE0D3" w14:textId="77777777" w:rsidR="005525AC" w:rsidRPr="005B166B" w:rsidRDefault="005525AC" w:rsidP="00294243">
            <w:pPr>
              <w:widowControl w:val="0"/>
              <w:jc w:val="center"/>
              <w:rPr>
                <w:sz w:val="20"/>
                <w:szCs w:val="20"/>
              </w:rPr>
            </w:pPr>
            <w:r w:rsidRPr="005B166B">
              <w:rPr>
                <w:sz w:val="20"/>
                <w:szCs w:val="20"/>
                <w:lang w:val="en"/>
              </w:rPr>
              <w:t>98%</w:t>
            </w:r>
          </w:p>
        </w:tc>
      </w:tr>
      <w:tr w:rsidR="005525AC" w14:paraId="08D31210" w14:textId="77777777" w:rsidTr="00294243">
        <w:tc>
          <w:tcPr>
            <w:tcW w:w="3114" w:type="dxa"/>
          </w:tcPr>
          <w:p w14:paraId="56DDE2F7" w14:textId="77777777" w:rsidR="005525AC" w:rsidRPr="005B166B" w:rsidRDefault="005525AC" w:rsidP="00294243">
            <w:pPr>
              <w:widowControl w:val="0"/>
              <w:jc w:val="both"/>
              <w:rPr>
                <w:sz w:val="20"/>
                <w:szCs w:val="20"/>
              </w:rPr>
            </w:pPr>
            <w:r w:rsidRPr="005B166B">
              <w:rPr>
                <w:sz w:val="20"/>
                <w:szCs w:val="20"/>
                <w:lang w:val="en"/>
              </w:rPr>
              <w:t>Osh RTC</w:t>
            </w:r>
          </w:p>
        </w:tc>
        <w:tc>
          <w:tcPr>
            <w:tcW w:w="1417" w:type="dxa"/>
          </w:tcPr>
          <w:p w14:paraId="19590595" w14:textId="77777777" w:rsidR="005525AC" w:rsidRPr="005B166B" w:rsidRDefault="005525AC" w:rsidP="00294243">
            <w:pPr>
              <w:widowControl w:val="0"/>
              <w:jc w:val="center"/>
              <w:rPr>
                <w:sz w:val="20"/>
                <w:szCs w:val="20"/>
              </w:rPr>
            </w:pPr>
            <w:r w:rsidRPr="005B166B">
              <w:rPr>
                <w:sz w:val="20"/>
                <w:szCs w:val="20"/>
                <w:lang w:val="en"/>
              </w:rPr>
              <w:t>94%</w:t>
            </w:r>
          </w:p>
        </w:tc>
        <w:tc>
          <w:tcPr>
            <w:tcW w:w="1417" w:type="dxa"/>
          </w:tcPr>
          <w:p w14:paraId="0737F588" w14:textId="77777777" w:rsidR="005525AC" w:rsidRPr="005B166B" w:rsidRDefault="005525AC" w:rsidP="00294243">
            <w:pPr>
              <w:widowControl w:val="0"/>
              <w:jc w:val="center"/>
              <w:rPr>
                <w:sz w:val="20"/>
                <w:szCs w:val="20"/>
              </w:rPr>
            </w:pPr>
            <w:r w:rsidRPr="005B166B">
              <w:rPr>
                <w:sz w:val="20"/>
                <w:szCs w:val="20"/>
                <w:lang w:val="en"/>
              </w:rPr>
              <w:t>95%</w:t>
            </w:r>
          </w:p>
        </w:tc>
      </w:tr>
      <w:tr w:rsidR="005525AC" w14:paraId="4DAC3263" w14:textId="77777777" w:rsidTr="00294243">
        <w:tc>
          <w:tcPr>
            <w:tcW w:w="3114" w:type="dxa"/>
          </w:tcPr>
          <w:p w14:paraId="2468B75F" w14:textId="77777777" w:rsidR="005525AC" w:rsidRPr="005B166B" w:rsidRDefault="005525AC" w:rsidP="00294243">
            <w:pPr>
              <w:widowControl w:val="0"/>
              <w:jc w:val="both"/>
              <w:rPr>
                <w:sz w:val="20"/>
                <w:szCs w:val="20"/>
              </w:rPr>
            </w:pPr>
            <w:r w:rsidRPr="005B166B">
              <w:rPr>
                <w:sz w:val="20"/>
                <w:szCs w:val="20"/>
                <w:lang w:val="en"/>
              </w:rPr>
              <w:t>Osh СТС</w:t>
            </w:r>
          </w:p>
        </w:tc>
        <w:tc>
          <w:tcPr>
            <w:tcW w:w="1417" w:type="dxa"/>
          </w:tcPr>
          <w:p w14:paraId="604F7CE5" w14:textId="77777777" w:rsidR="005525AC" w:rsidRPr="005B166B" w:rsidRDefault="005525AC" w:rsidP="00294243">
            <w:pPr>
              <w:widowControl w:val="0"/>
              <w:jc w:val="center"/>
              <w:rPr>
                <w:sz w:val="20"/>
                <w:szCs w:val="20"/>
              </w:rPr>
            </w:pPr>
            <w:r w:rsidRPr="005B166B">
              <w:rPr>
                <w:sz w:val="20"/>
                <w:szCs w:val="20"/>
                <w:lang w:val="en"/>
              </w:rPr>
              <w:t>87%</w:t>
            </w:r>
          </w:p>
        </w:tc>
        <w:tc>
          <w:tcPr>
            <w:tcW w:w="1417" w:type="dxa"/>
          </w:tcPr>
          <w:p w14:paraId="64773EAC" w14:textId="77777777" w:rsidR="005525AC" w:rsidRPr="005B166B" w:rsidRDefault="005525AC" w:rsidP="00294243">
            <w:pPr>
              <w:widowControl w:val="0"/>
              <w:jc w:val="center"/>
              <w:rPr>
                <w:sz w:val="20"/>
                <w:szCs w:val="20"/>
              </w:rPr>
            </w:pPr>
            <w:r w:rsidRPr="005B166B">
              <w:rPr>
                <w:sz w:val="20"/>
                <w:szCs w:val="20"/>
                <w:lang w:val="en"/>
              </w:rPr>
              <w:t>84%</w:t>
            </w:r>
          </w:p>
        </w:tc>
      </w:tr>
      <w:tr w:rsidR="005525AC" w14:paraId="34526FF2" w14:textId="77777777" w:rsidTr="00294243">
        <w:tc>
          <w:tcPr>
            <w:tcW w:w="3114" w:type="dxa"/>
          </w:tcPr>
          <w:p w14:paraId="6215DB00" w14:textId="77777777" w:rsidR="005525AC" w:rsidRPr="005B166B" w:rsidRDefault="005525AC" w:rsidP="00294243">
            <w:pPr>
              <w:widowControl w:val="0"/>
              <w:jc w:val="both"/>
              <w:rPr>
                <w:sz w:val="20"/>
                <w:szCs w:val="20"/>
              </w:rPr>
            </w:pPr>
            <w:proofErr w:type="spellStart"/>
            <w:r w:rsidRPr="005B166B">
              <w:rPr>
                <w:sz w:val="20"/>
                <w:szCs w:val="20"/>
                <w:lang w:val="en"/>
              </w:rPr>
              <w:t>Batken</w:t>
            </w:r>
            <w:proofErr w:type="spellEnd"/>
            <w:r w:rsidRPr="005B166B">
              <w:rPr>
                <w:sz w:val="20"/>
                <w:szCs w:val="20"/>
                <w:lang w:val="en"/>
              </w:rPr>
              <w:t xml:space="preserve"> СТС</w:t>
            </w:r>
          </w:p>
        </w:tc>
        <w:tc>
          <w:tcPr>
            <w:tcW w:w="1417" w:type="dxa"/>
          </w:tcPr>
          <w:p w14:paraId="7B7F836F" w14:textId="77777777" w:rsidR="005525AC" w:rsidRPr="005B166B" w:rsidRDefault="005525AC" w:rsidP="00294243">
            <w:pPr>
              <w:widowControl w:val="0"/>
              <w:jc w:val="center"/>
              <w:rPr>
                <w:sz w:val="20"/>
                <w:szCs w:val="20"/>
              </w:rPr>
            </w:pPr>
            <w:r w:rsidRPr="005B166B">
              <w:rPr>
                <w:sz w:val="20"/>
                <w:szCs w:val="20"/>
                <w:lang w:val="en"/>
              </w:rPr>
              <w:t>87%</w:t>
            </w:r>
          </w:p>
        </w:tc>
        <w:tc>
          <w:tcPr>
            <w:tcW w:w="1417" w:type="dxa"/>
          </w:tcPr>
          <w:p w14:paraId="65E243DD" w14:textId="77777777" w:rsidR="005525AC" w:rsidRPr="005B166B" w:rsidRDefault="005525AC" w:rsidP="00294243">
            <w:pPr>
              <w:widowControl w:val="0"/>
              <w:jc w:val="center"/>
              <w:rPr>
                <w:sz w:val="20"/>
                <w:szCs w:val="20"/>
              </w:rPr>
            </w:pPr>
            <w:r w:rsidRPr="005B166B">
              <w:rPr>
                <w:sz w:val="20"/>
                <w:szCs w:val="20"/>
                <w:lang w:val="en"/>
              </w:rPr>
              <w:t>98%</w:t>
            </w:r>
          </w:p>
        </w:tc>
      </w:tr>
      <w:tr w:rsidR="005525AC" w14:paraId="408D4371" w14:textId="77777777" w:rsidTr="00294243">
        <w:tc>
          <w:tcPr>
            <w:tcW w:w="3114" w:type="dxa"/>
          </w:tcPr>
          <w:p w14:paraId="599D57A7" w14:textId="77777777" w:rsidR="005525AC" w:rsidRPr="005B166B" w:rsidRDefault="005525AC" w:rsidP="00294243">
            <w:pPr>
              <w:widowControl w:val="0"/>
              <w:jc w:val="both"/>
              <w:rPr>
                <w:sz w:val="20"/>
                <w:szCs w:val="20"/>
              </w:rPr>
            </w:pPr>
            <w:r w:rsidRPr="005B166B">
              <w:rPr>
                <w:sz w:val="20"/>
                <w:szCs w:val="20"/>
                <w:lang w:val="en"/>
              </w:rPr>
              <w:t>Chui GMPC</w:t>
            </w:r>
          </w:p>
        </w:tc>
        <w:tc>
          <w:tcPr>
            <w:tcW w:w="1417" w:type="dxa"/>
          </w:tcPr>
          <w:p w14:paraId="0438791D" w14:textId="77777777" w:rsidR="005525AC" w:rsidRPr="005B166B" w:rsidRDefault="005525AC" w:rsidP="00294243">
            <w:pPr>
              <w:widowControl w:val="0"/>
              <w:jc w:val="center"/>
              <w:rPr>
                <w:sz w:val="20"/>
                <w:szCs w:val="20"/>
              </w:rPr>
            </w:pPr>
            <w:r w:rsidRPr="005B166B">
              <w:rPr>
                <w:sz w:val="20"/>
                <w:szCs w:val="20"/>
                <w:lang w:val="en"/>
              </w:rPr>
              <w:t>95%</w:t>
            </w:r>
          </w:p>
        </w:tc>
        <w:tc>
          <w:tcPr>
            <w:tcW w:w="1417" w:type="dxa"/>
          </w:tcPr>
          <w:p w14:paraId="058B000A" w14:textId="77777777" w:rsidR="005525AC" w:rsidRPr="005B166B" w:rsidRDefault="005525AC" w:rsidP="00294243">
            <w:pPr>
              <w:widowControl w:val="0"/>
              <w:jc w:val="center"/>
              <w:rPr>
                <w:sz w:val="20"/>
                <w:szCs w:val="20"/>
              </w:rPr>
            </w:pPr>
            <w:r w:rsidRPr="005B166B">
              <w:rPr>
                <w:sz w:val="20"/>
                <w:szCs w:val="20"/>
                <w:lang w:val="en"/>
              </w:rPr>
              <w:t>98%</w:t>
            </w:r>
          </w:p>
        </w:tc>
      </w:tr>
      <w:tr w:rsidR="005525AC" w14:paraId="59A2B2FF" w14:textId="77777777" w:rsidTr="00294243">
        <w:tc>
          <w:tcPr>
            <w:tcW w:w="3114" w:type="dxa"/>
          </w:tcPr>
          <w:p w14:paraId="06612EA8" w14:textId="77777777" w:rsidR="005525AC" w:rsidRPr="005B166B" w:rsidRDefault="005525AC" w:rsidP="00294243">
            <w:pPr>
              <w:widowControl w:val="0"/>
              <w:jc w:val="both"/>
              <w:rPr>
                <w:sz w:val="20"/>
                <w:szCs w:val="20"/>
              </w:rPr>
            </w:pPr>
            <w:r w:rsidRPr="005B166B">
              <w:rPr>
                <w:sz w:val="20"/>
                <w:szCs w:val="20"/>
                <w:lang w:val="en"/>
              </w:rPr>
              <w:t>Bishkek СТС</w:t>
            </w:r>
          </w:p>
        </w:tc>
        <w:tc>
          <w:tcPr>
            <w:tcW w:w="1417" w:type="dxa"/>
          </w:tcPr>
          <w:p w14:paraId="59478606" w14:textId="77777777" w:rsidR="005525AC" w:rsidRPr="005B166B" w:rsidRDefault="005525AC" w:rsidP="00294243">
            <w:pPr>
              <w:widowControl w:val="0"/>
              <w:jc w:val="center"/>
              <w:rPr>
                <w:sz w:val="20"/>
                <w:szCs w:val="20"/>
              </w:rPr>
            </w:pPr>
            <w:r w:rsidRPr="005B166B">
              <w:rPr>
                <w:sz w:val="20"/>
                <w:szCs w:val="20"/>
                <w:lang w:val="en"/>
              </w:rPr>
              <w:t>95%</w:t>
            </w:r>
          </w:p>
        </w:tc>
        <w:tc>
          <w:tcPr>
            <w:tcW w:w="1417" w:type="dxa"/>
          </w:tcPr>
          <w:p w14:paraId="27ED675A" w14:textId="77777777" w:rsidR="005525AC" w:rsidRPr="005B166B" w:rsidRDefault="005525AC" w:rsidP="00294243">
            <w:pPr>
              <w:widowControl w:val="0"/>
              <w:jc w:val="center"/>
              <w:rPr>
                <w:sz w:val="20"/>
                <w:szCs w:val="20"/>
              </w:rPr>
            </w:pPr>
            <w:r w:rsidRPr="005B166B">
              <w:rPr>
                <w:sz w:val="20"/>
                <w:szCs w:val="20"/>
                <w:lang w:val="en"/>
              </w:rPr>
              <w:t>87%</w:t>
            </w:r>
          </w:p>
        </w:tc>
      </w:tr>
      <w:tr w:rsidR="005525AC" w14:paraId="11CF38F7" w14:textId="77777777" w:rsidTr="00294243">
        <w:tc>
          <w:tcPr>
            <w:tcW w:w="3114" w:type="dxa"/>
          </w:tcPr>
          <w:p w14:paraId="51B9CF88" w14:textId="77777777" w:rsidR="005525AC" w:rsidRPr="005B166B" w:rsidRDefault="005525AC" w:rsidP="00294243">
            <w:pPr>
              <w:widowControl w:val="0"/>
              <w:jc w:val="both"/>
              <w:rPr>
                <w:sz w:val="20"/>
                <w:szCs w:val="20"/>
              </w:rPr>
            </w:pPr>
            <w:r w:rsidRPr="005B166B">
              <w:rPr>
                <w:sz w:val="20"/>
                <w:szCs w:val="20"/>
                <w:lang w:val="en"/>
              </w:rPr>
              <w:t>Penitentiary system</w:t>
            </w:r>
          </w:p>
        </w:tc>
        <w:tc>
          <w:tcPr>
            <w:tcW w:w="1417" w:type="dxa"/>
          </w:tcPr>
          <w:p w14:paraId="605B67A6" w14:textId="77777777" w:rsidR="005525AC" w:rsidRPr="005B166B" w:rsidRDefault="005525AC" w:rsidP="00294243">
            <w:pPr>
              <w:widowControl w:val="0"/>
              <w:jc w:val="center"/>
              <w:rPr>
                <w:sz w:val="20"/>
                <w:szCs w:val="20"/>
              </w:rPr>
            </w:pPr>
            <w:r w:rsidRPr="005B166B">
              <w:rPr>
                <w:sz w:val="20"/>
                <w:szCs w:val="20"/>
                <w:lang w:val="en"/>
              </w:rPr>
              <w:t>88%</w:t>
            </w:r>
          </w:p>
        </w:tc>
        <w:tc>
          <w:tcPr>
            <w:tcW w:w="1417" w:type="dxa"/>
          </w:tcPr>
          <w:p w14:paraId="2DA443F1" w14:textId="77777777" w:rsidR="005525AC" w:rsidRPr="005B166B" w:rsidRDefault="005525AC" w:rsidP="00294243">
            <w:pPr>
              <w:widowControl w:val="0"/>
              <w:jc w:val="center"/>
              <w:rPr>
                <w:sz w:val="20"/>
                <w:szCs w:val="20"/>
              </w:rPr>
            </w:pPr>
            <w:r w:rsidRPr="005B166B">
              <w:rPr>
                <w:sz w:val="20"/>
                <w:szCs w:val="20"/>
                <w:lang w:val="en"/>
              </w:rPr>
              <w:t>86%</w:t>
            </w:r>
          </w:p>
        </w:tc>
      </w:tr>
      <w:tr w:rsidR="005525AC" w14:paraId="09ECEECF" w14:textId="77777777" w:rsidTr="00294243">
        <w:tc>
          <w:tcPr>
            <w:tcW w:w="3114" w:type="dxa"/>
          </w:tcPr>
          <w:p w14:paraId="55C908FC" w14:textId="77777777" w:rsidR="005525AC" w:rsidRPr="00416E9A" w:rsidRDefault="005525AC" w:rsidP="00294243">
            <w:pPr>
              <w:widowControl w:val="0"/>
              <w:jc w:val="both"/>
              <w:rPr>
                <w:sz w:val="20"/>
                <w:szCs w:val="20"/>
              </w:rPr>
            </w:pPr>
            <w:r>
              <w:rPr>
                <w:sz w:val="20"/>
                <w:szCs w:val="20"/>
                <w:lang w:val="en"/>
              </w:rPr>
              <w:t>NRL</w:t>
            </w:r>
          </w:p>
        </w:tc>
        <w:tc>
          <w:tcPr>
            <w:tcW w:w="1417" w:type="dxa"/>
          </w:tcPr>
          <w:p w14:paraId="1C6AA0AA" w14:textId="77777777" w:rsidR="005525AC" w:rsidRPr="00416E9A" w:rsidRDefault="005525AC" w:rsidP="00294243">
            <w:pPr>
              <w:widowControl w:val="0"/>
              <w:jc w:val="center"/>
              <w:rPr>
                <w:sz w:val="20"/>
                <w:szCs w:val="20"/>
              </w:rPr>
            </w:pPr>
            <w:r w:rsidRPr="00416E9A">
              <w:rPr>
                <w:sz w:val="20"/>
                <w:szCs w:val="20"/>
                <w:lang w:val="en"/>
              </w:rPr>
              <w:t>94%</w:t>
            </w:r>
          </w:p>
        </w:tc>
        <w:tc>
          <w:tcPr>
            <w:tcW w:w="1417" w:type="dxa"/>
          </w:tcPr>
          <w:p w14:paraId="41A24990" w14:textId="77777777" w:rsidR="005525AC" w:rsidRPr="00416E9A" w:rsidRDefault="005525AC" w:rsidP="00294243">
            <w:pPr>
              <w:widowControl w:val="0"/>
              <w:jc w:val="center"/>
              <w:rPr>
                <w:sz w:val="20"/>
                <w:szCs w:val="20"/>
              </w:rPr>
            </w:pPr>
            <w:r w:rsidRPr="00416E9A">
              <w:rPr>
                <w:sz w:val="20"/>
                <w:szCs w:val="20"/>
                <w:lang w:val="en"/>
              </w:rPr>
              <w:t>96%</w:t>
            </w:r>
          </w:p>
        </w:tc>
      </w:tr>
    </w:tbl>
    <w:p w14:paraId="61923857" w14:textId="77777777" w:rsidR="005525AC" w:rsidRPr="004F50E3" w:rsidRDefault="005525AC" w:rsidP="005525AC">
      <w:pPr>
        <w:pStyle w:val="Subcaption"/>
        <w:widowControl w:val="0"/>
        <w:jc w:val="both"/>
      </w:pPr>
      <w:r w:rsidRPr="003226EA">
        <w:rPr>
          <w:i/>
          <w:iCs/>
          <w:lang w:val="en"/>
        </w:rPr>
        <w:t>Source</w:t>
      </w:r>
      <w:r>
        <w:rPr>
          <w:lang w:val="en"/>
        </w:rPr>
        <w:t>: UNDP, 2022</w:t>
      </w:r>
    </w:p>
    <w:p w14:paraId="418843D6" w14:textId="15C7F33F" w:rsidR="005525AC" w:rsidRPr="00E769B9" w:rsidRDefault="005525AC" w:rsidP="005525AC">
      <w:pPr>
        <w:pStyle w:val="Caption"/>
        <w:keepNext w:val="0"/>
        <w:widowControl w:val="0"/>
      </w:pPr>
      <w:r>
        <w:rPr>
          <w:lang w:val="en"/>
        </w:rPr>
        <w:t>Percentage of bacteriological confirmation among all patients with pulmonary tuberculosis, Kyrgyzstan, 2021</w:t>
      </w:r>
    </w:p>
    <w:p w14:paraId="239F479A" w14:textId="77777777" w:rsidR="005525AC" w:rsidRDefault="005525AC" w:rsidP="005525AC">
      <w:pPr>
        <w:pStyle w:val="NoSpacing"/>
        <w:widowControl w:val="0"/>
        <w:jc w:val="both"/>
      </w:pPr>
      <w:r>
        <w:rPr>
          <w:noProof/>
          <w:lang w:val="ru-RU" w:eastAsia="ru-RU"/>
        </w:rPr>
        <w:drawing>
          <wp:inline distT="0" distB="0" distL="0" distR="0" wp14:anchorId="71A71A4C" wp14:editId="32A8DD02">
            <wp:extent cx="5940425" cy="1954614"/>
            <wp:effectExtent l="0" t="0" r="3175" b="7620"/>
            <wp:docPr id="25" name="Chart 7">
              <a:extLst xmlns:a="http://schemas.openxmlformats.org/drawingml/2006/main">
                <a:ext uri="{FF2B5EF4-FFF2-40B4-BE49-F238E27FC236}">
                  <a16:creationId xmlns:a16="http://schemas.microsoft.com/office/drawing/2014/main" id="{D2E12AF8-0B3B-C343-73B8-CCEBB80FA7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08AB723" w14:textId="77777777" w:rsidR="005525AC" w:rsidRPr="00E769B9" w:rsidRDefault="005525AC" w:rsidP="005525AC">
      <w:pPr>
        <w:pStyle w:val="Subcaption"/>
        <w:widowControl w:val="0"/>
        <w:jc w:val="both"/>
      </w:pPr>
      <w:r w:rsidRPr="003226EA">
        <w:rPr>
          <w:i/>
          <w:iCs/>
          <w:lang w:val="en"/>
        </w:rPr>
        <w:t>Source</w:t>
      </w:r>
      <w:r>
        <w:rPr>
          <w:lang w:val="en"/>
        </w:rPr>
        <w:t>: UNDP, 2022</w:t>
      </w:r>
    </w:p>
    <w:p w14:paraId="54A08B89" w14:textId="78ADBAD3" w:rsidR="005525AC" w:rsidRPr="00976EBB" w:rsidRDefault="005525AC" w:rsidP="005525AC">
      <w:pPr>
        <w:widowControl w:val="0"/>
        <w:spacing w:line="240" w:lineRule="auto"/>
        <w:jc w:val="both"/>
        <w:rPr>
          <w:sz w:val="24"/>
          <w:szCs w:val="24"/>
        </w:rPr>
      </w:pPr>
      <w:r w:rsidRPr="00976EBB">
        <w:rPr>
          <w:sz w:val="24"/>
          <w:szCs w:val="24"/>
          <w:lang w:val="en"/>
        </w:rPr>
        <w:t xml:space="preserve">DSTs </w:t>
      </w:r>
      <w:r w:rsidR="002576EF" w:rsidRPr="00976EBB">
        <w:rPr>
          <w:sz w:val="24"/>
          <w:szCs w:val="24"/>
          <w:lang w:val="en"/>
        </w:rPr>
        <w:t>to</w:t>
      </w:r>
      <w:r w:rsidRPr="00976EBB">
        <w:rPr>
          <w:sz w:val="24"/>
          <w:szCs w:val="24"/>
          <w:lang w:val="en"/>
        </w:rPr>
        <w:t xml:space="preserve"> new </w:t>
      </w:r>
      <w:r w:rsidR="002576EF" w:rsidRPr="00976EBB">
        <w:rPr>
          <w:sz w:val="24"/>
          <w:szCs w:val="24"/>
          <w:lang w:val="en"/>
        </w:rPr>
        <w:t>TB</w:t>
      </w:r>
      <w:r w:rsidRPr="00976EBB">
        <w:rPr>
          <w:sz w:val="24"/>
          <w:szCs w:val="24"/>
          <w:lang w:val="en"/>
        </w:rPr>
        <w:t xml:space="preserve"> drugs (</w:t>
      </w:r>
      <w:proofErr w:type="spellStart"/>
      <w:r w:rsidRPr="00976EBB">
        <w:rPr>
          <w:sz w:val="24"/>
          <w:szCs w:val="24"/>
          <w:lang w:val="en"/>
        </w:rPr>
        <w:t>Bdq</w:t>
      </w:r>
      <w:proofErr w:type="spellEnd"/>
      <w:r w:rsidRPr="00976EBB">
        <w:rPr>
          <w:sz w:val="24"/>
          <w:szCs w:val="24"/>
          <w:lang w:val="en"/>
        </w:rPr>
        <w:t xml:space="preserve">, </w:t>
      </w:r>
      <w:proofErr w:type="spellStart"/>
      <w:r w:rsidRPr="00976EBB">
        <w:rPr>
          <w:sz w:val="24"/>
          <w:szCs w:val="24"/>
          <w:lang w:val="en"/>
        </w:rPr>
        <w:t>Dlm</w:t>
      </w:r>
      <w:proofErr w:type="spellEnd"/>
      <w:r w:rsidRPr="00976EBB">
        <w:rPr>
          <w:sz w:val="24"/>
          <w:szCs w:val="24"/>
          <w:lang w:val="en"/>
        </w:rPr>
        <w:t xml:space="preserve">, </w:t>
      </w:r>
      <w:proofErr w:type="spellStart"/>
      <w:r w:rsidRPr="00976EBB">
        <w:rPr>
          <w:sz w:val="24"/>
          <w:szCs w:val="24"/>
          <w:lang w:val="en"/>
        </w:rPr>
        <w:t>Cfz</w:t>
      </w:r>
      <w:proofErr w:type="spellEnd"/>
      <w:r w:rsidRPr="00976EBB">
        <w:rPr>
          <w:sz w:val="24"/>
          <w:szCs w:val="24"/>
          <w:lang w:val="en"/>
        </w:rPr>
        <w:t xml:space="preserve"> and </w:t>
      </w:r>
      <w:proofErr w:type="spellStart"/>
      <w:r w:rsidRPr="00976EBB">
        <w:rPr>
          <w:sz w:val="24"/>
          <w:szCs w:val="24"/>
          <w:lang w:val="en"/>
        </w:rPr>
        <w:t>Lzd</w:t>
      </w:r>
      <w:proofErr w:type="spellEnd"/>
      <w:r w:rsidRPr="00976EBB">
        <w:rPr>
          <w:sz w:val="24"/>
          <w:szCs w:val="24"/>
          <w:lang w:val="en"/>
        </w:rPr>
        <w:t xml:space="preserve">) were introduced in 2019 with the technical assistance of the SRL in </w:t>
      </w:r>
      <w:proofErr w:type="spellStart"/>
      <w:r w:rsidRPr="00976EBB">
        <w:rPr>
          <w:sz w:val="24"/>
          <w:szCs w:val="24"/>
          <w:lang w:val="en"/>
        </w:rPr>
        <w:t>Gauting</w:t>
      </w:r>
      <w:proofErr w:type="spellEnd"/>
      <w:r w:rsidRPr="00976EBB">
        <w:rPr>
          <w:sz w:val="24"/>
          <w:szCs w:val="24"/>
          <w:lang w:val="en"/>
        </w:rPr>
        <w:t xml:space="preserve">. </w:t>
      </w:r>
      <w:r w:rsidR="00B202E0" w:rsidRPr="00976EBB">
        <w:rPr>
          <w:sz w:val="24"/>
          <w:szCs w:val="24"/>
          <w:lang w:val="en"/>
        </w:rPr>
        <w:t>Since</w:t>
      </w:r>
      <w:r w:rsidRPr="00976EBB">
        <w:rPr>
          <w:sz w:val="24"/>
          <w:szCs w:val="24"/>
          <w:lang w:val="en"/>
        </w:rPr>
        <w:t xml:space="preserve"> January 2022, NRL </w:t>
      </w:r>
      <w:r w:rsidR="00B202E0" w:rsidRPr="00976EBB">
        <w:rPr>
          <w:sz w:val="24"/>
          <w:szCs w:val="24"/>
          <w:lang w:val="en"/>
        </w:rPr>
        <w:t xml:space="preserve">has been </w:t>
      </w:r>
      <w:r w:rsidRPr="00976EBB">
        <w:rPr>
          <w:sz w:val="24"/>
          <w:szCs w:val="24"/>
          <w:lang w:val="en"/>
        </w:rPr>
        <w:t>automatically upload</w:t>
      </w:r>
      <w:r w:rsidR="00B202E0" w:rsidRPr="00976EBB">
        <w:rPr>
          <w:sz w:val="24"/>
          <w:szCs w:val="24"/>
          <w:lang w:val="en"/>
        </w:rPr>
        <w:t>ed</w:t>
      </w:r>
      <w:r w:rsidRPr="00976EBB">
        <w:rPr>
          <w:sz w:val="24"/>
          <w:szCs w:val="24"/>
          <w:lang w:val="en"/>
        </w:rPr>
        <w:t xml:space="preserve"> DST results </w:t>
      </w:r>
      <w:r w:rsidR="00B202E0" w:rsidRPr="00976EBB">
        <w:rPr>
          <w:sz w:val="24"/>
          <w:szCs w:val="24"/>
          <w:lang w:val="en"/>
        </w:rPr>
        <w:t>to</w:t>
      </w:r>
      <w:r w:rsidRPr="00976EBB">
        <w:rPr>
          <w:sz w:val="24"/>
          <w:szCs w:val="24"/>
          <w:lang w:val="en"/>
        </w:rPr>
        <w:t xml:space="preserve"> new drugs to the Laboratory Information Management System (LIMS). In 2022, </w:t>
      </w:r>
      <w:r w:rsidRPr="00976EBB">
        <w:rPr>
          <w:sz w:val="24"/>
          <w:szCs w:val="24"/>
          <w:lang w:val="en"/>
        </w:rPr>
        <w:lastRenderedPageBreak/>
        <w:t>NRL was successfully accredited with ISO 15189 certification.</w:t>
      </w:r>
    </w:p>
    <w:p w14:paraId="2E15EE19" w14:textId="3E552ABB" w:rsidR="005525AC" w:rsidRPr="00976EBB" w:rsidRDefault="005525AC" w:rsidP="005525AC">
      <w:pPr>
        <w:widowControl w:val="0"/>
        <w:spacing w:line="240" w:lineRule="auto"/>
        <w:jc w:val="both"/>
        <w:rPr>
          <w:sz w:val="24"/>
          <w:szCs w:val="24"/>
        </w:rPr>
      </w:pPr>
      <w:r w:rsidRPr="00976EBB">
        <w:rPr>
          <w:sz w:val="24"/>
          <w:szCs w:val="24"/>
          <w:lang w:val="en"/>
        </w:rPr>
        <w:t xml:space="preserve">LIMS is currently implemented in all </w:t>
      </w:r>
      <w:r w:rsidR="00264FEA" w:rsidRPr="00976EBB">
        <w:rPr>
          <w:sz w:val="24"/>
          <w:szCs w:val="24"/>
          <w:lang w:val="en"/>
        </w:rPr>
        <w:t>TB</w:t>
      </w:r>
      <w:r w:rsidRPr="00976EBB">
        <w:rPr>
          <w:sz w:val="24"/>
          <w:szCs w:val="24"/>
          <w:lang w:val="en"/>
        </w:rPr>
        <w:t xml:space="preserve"> laboratories in the country. The synchronization of the LIMS with the National Tuberculosis Registry is aimed at providing integrated management of patient data, covering both clinical and laboratory components. It is planned to further expand the implementation of LIMS throughout the country, with special attention to the PHC network.</w:t>
      </w:r>
    </w:p>
    <w:p w14:paraId="1A5BFB11" w14:textId="6840134D" w:rsidR="005525AC" w:rsidRPr="00976EBB" w:rsidRDefault="005525AC" w:rsidP="005525AC">
      <w:pPr>
        <w:widowControl w:val="0"/>
        <w:spacing w:line="240" w:lineRule="auto"/>
        <w:jc w:val="both"/>
        <w:rPr>
          <w:sz w:val="24"/>
          <w:szCs w:val="24"/>
          <w:lang w:val="en"/>
        </w:rPr>
      </w:pPr>
      <w:r w:rsidRPr="00976EBB">
        <w:rPr>
          <w:sz w:val="24"/>
          <w:szCs w:val="24"/>
          <w:lang w:val="en"/>
        </w:rPr>
        <w:t xml:space="preserve">A critical problem with </w:t>
      </w:r>
      <w:r w:rsidR="00870883">
        <w:rPr>
          <w:sz w:val="24"/>
          <w:szCs w:val="24"/>
          <w:lang w:val="en"/>
        </w:rPr>
        <w:t>TB</w:t>
      </w:r>
      <w:r w:rsidRPr="00976EBB">
        <w:rPr>
          <w:sz w:val="24"/>
          <w:szCs w:val="24"/>
          <w:lang w:val="en"/>
        </w:rPr>
        <w:t xml:space="preserve"> diagnosis and DST in Kyrgyzstan is a large network of microscopic laboratories and only one </w:t>
      </w:r>
      <w:r w:rsidR="00870883" w:rsidRPr="00976EBB">
        <w:rPr>
          <w:sz w:val="24"/>
          <w:szCs w:val="24"/>
          <w:lang w:val="en"/>
        </w:rPr>
        <w:t>centralized</w:t>
      </w:r>
      <w:r w:rsidRPr="00976EBB">
        <w:rPr>
          <w:sz w:val="24"/>
          <w:szCs w:val="24"/>
          <w:lang w:val="en"/>
        </w:rPr>
        <w:t xml:space="preserve"> site (NRL), which covers the country's general needs for guaranteed quality of DST.</w:t>
      </w:r>
      <w:r w:rsidR="00E35C65">
        <w:rPr>
          <w:sz w:val="24"/>
          <w:szCs w:val="24"/>
          <w:lang w:val="en"/>
        </w:rPr>
        <w:t xml:space="preserve"> S</w:t>
      </w:r>
      <w:proofErr w:type="spellStart"/>
      <w:r w:rsidRPr="00976EBB">
        <w:rPr>
          <w:sz w:val="24"/>
          <w:szCs w:val="24"/>
        </w:rPr>
        <w:t>putum</w:t>
      </w:r>
      <w:proofErr w:type="spellEnd"/>
      <w:r w:rsidRPr="00976EBB">
        <w:rPr>
          <w:sz w:val="24"/>
          <w:szCs w:val="24"/>
        </w:rPr>
        <w:t xml:space="preserve"> (and cultures from some regions) are sent to the NRL, which is considered one of the best accredited laboratories in the region. Although the transportation of samples from the southern regions (Osh, Jalal-Abad, </w:t>
      </w:r>
      <w:proofErr w:type="spellStart"/>
      <w:r w:rsidRPr="00976EBB">
        <w:rPr>
          <w:sz w:val="24"/>
          <w:szCs w:val="24"/>
        </w:rPr>
        <w:t>Batken</w:t>
      </w:r>
      <w:proofErr w:type="spellEnd"/>
      <w:r w:rsidRPr="00976EBB">
        <w:rPr>
          <w:sz w:val="24"/>
          <w:szCs w:val="24"/>
        </w:rPr>
        <w:t xml:space="preserve">) through Osh is currently functioning, its sustainability has not been proven so far </w:t>
      </w:r>
      <w:r w:rsidR="00E35C65">
        <w:rPr>
          <w:sz w:val="24"/>
          <w:szCs w:val="24"/>
        </w:rPr>
        <w:t>–</w:t>
      </w:r>
      <w:r w:rsidRPr="00976EBB">
        <w:rPr>
          <w:sz w:val="24"/>
          <w:szCs w:val="24"/>
        </w:rPr>
        <w:t xml:space="preserve"> there are risks of interruptions related to climatic conditions, finding and hiring a transport agent, non-compliance of the conditions of transportation of biomaterial by the transport agent, etc. On the other hand, potential risks of unforeseen problems in the NRL itself may also hamper national efforts to eliminate </w:t>
      </w:r>
      <w:r w:rsidR="00FC77BA">
        <w:rPr>
          <w:sz w:val="24"/>
          <w:szCs w:val="24"/>
        </w:rPr>
        <w:t>TB</w:t>
      </w:r>
      <w:r w:rsidRPr="00976EBB">
        <w:rPr>
          <w:sz w:val="24"/>
          <w:szCs w:val="24"/>
        </w:rPr>
        <w:t xml:space="preserve">. The current GF C19RM grant to improve access to rapid and high quality TB diagnostics for the population in the southern regions of the country includes the procurement of an additional laboratory module for the Osh Inter-Oblast TB Reference Laboratory at the premises of the Osh TB Center, with savings from the C19RM grant to procure equipment, train staff and do some preparatory and repair work to install the lab module with technical support from GIZ through specialists from SRL </w:t>
      </w:r>
      <w:proofErr w:type="spellStart"/>
      <w:r w:rsidRPr="00976EBB">
        <w:rPr>
          <w:sz w:val="24"/>
          <w:szCs w:val="24"/>
        </w:rPr>
        <w:t>Gauting</w:t>
      </w:r>
      <w:proofErr w:type="spellEnd"/>
      <w:r w:rsidRPr="00976EBB">
        <w:rPr>
          <w:sz w:val="24"/>
          <w:szCs w:val="24"/>
        </w:rPr>
        <w:t>. The procurement of tests and reagents for Osh TB Centre will be done from GF grant funds within the country need. The relevance of the development of laboratory services in the south of the country becomes even higher in light of the need to strengthen the active detection of new TB cases and return to the positive trends of the previous pre-pandemic years.</w:t>
      </w:r>
    </w:p>
    <w:p w14:paraId="1650E326" w14:textId="7380A71E" w:rsidR="005525AC" w:rsidRPr="00A746CB" w:rsidRDefault="005525AC" w:rsidP="005525AC">
      <w:pPr>
        <w:widowControl w:val="0"/>
        <w:spacing w:line="240" w:lineRule="auto"/>
        <w:jc w:val="both"/>
        <w:rPr>
          <w:sz w:val="24"/>
          <w:szCs w:val="24"/>
        </w:rPr>
      </w:pPr>
      <w:r w:rsidRPr="00A746CB">
        <w:rPr>
          <w:sz w:val="24"/>
          <w:szCs w:val="24"/>
          <w:lang w:val="en"/>
        </w:rPr>
        <w:t xml:space="preserve">Currently, the laboratory diagnosis of </w:t>
      </w:r>
      <w:r w:rsidR="00A67234">
        <w:rPr>
          <w:sz w:val="24"/>
          <w:szCs w:val="24"/>
          <w:lang w:val="en"/>
        </w:rPr>
        <w:t>TB</w:t>
      </w:r>
      <w:r w:rsidRPr="00A746CB">
        <w:rPr>
          <w:sz w:val="24"/>
          <w:szCs w:val="24"/>
          <w:lang w:val="en"/>
        </w:rPr>
        <w:t xml:space="preserve"> is supported by two levels of the sputum transportation system. Level 1 covers PHCs and Family Practice Centers for the transportation of samples for </w:t>
      </w:r>
      <w:proofErr w:type="spellStart"/>
      <w:r w:rsidRPr="00A746CB">
        <w:rPr>
          <w:sz w:val="24"/>
          <w:szCs w:val="24"/>
          <w:lang w:val="en"/>
        </w:rPr>
        <w:t>Xpert</w:t>
      </w:r>
      <w:proofErr w:type="spellEnd"/>
      <w:r w:rsidRPr="00A746CB">
        <w:rPr>
          <w:sz w:val="24"/>
          <w:szCs w:val="24"/>
          <w:lang w:val="en"/>
        </w:rPr>
        <w:t xml:space="preserve"> MTB/RIF and microscopy from remote FMCs. Level 2 is carried out from the GMPC laboratories to the NRL. The model was tested in the Chui and Talas regions in 2017 as part of the USAID Defeat-TB project and then deployed throughout the country. Sputum transportation at level 1 is carried out by medical personnel, and at level 2 – by a transport company with which a contract was signed to ensure sampling at least two or three times a week in all regions. Previously, all transportation costs were covered by the </w:t>
      </w:r>
      <w:r w:rsidR="00DE719E">
        <w:rPr>
          <w:sz w:val="24"/>
          <w:szCs w:val="24"/>
          <w:lang w:val="en"/>
        </w:rPr>
        <w:t>GF</w:t>
      </w:r>
      <w:r w:rsidRPr="00A746CB">
        <w:rPr>
          <w:sz w:val="24"/>
          <w:szCs w:val="24"/>
          <w:lang w:val="en"/>
        </w:rPr>
        <w:t>, with the exception of the Talas and Chui regions, where they were covered from the state budget. According to the order of the Ministry of Health of the Kyrgyz Republic, the transportation of samples throughout the whole country will be covered by the state budget starting in 2023.</w:t>
      </w:r>
    </w:p>
    <w:p w14:paraId="467E8096" w14:textId="77777777" w:rsidR="005525AC" w:rsidRPr="00F92201" w:rsidRDefault="005525AC" w:rsidP="005525AC">
      <w:pPr>
        <w:pStyle w:val="BodyText"/>
        <w:widowControl w:val="0"/>
        <w:spacing w:line="240" w:lineRule="auto"/>
        <w:jc w:val="both"/>
        <w:rPr>
          <w:b/>
          <w:bCs/>
          <w:color w:val="000000" w:themeColor="text1"/>
          <w:szCs w:val="24"/>
          <w:lang w:val="en-US"/>
        </w:rPr>
      </w:pPr>
      <w:r w:rsidRPr="00F92201">
        <w:rPr>
          <w:b/>
          <w:bCs/>
          <w:color w:val="000000" w:themeColor="text1"/>
          <w:szCs w:val="24"/>
          <w:lang w:val="en"/>
        </w:rPr>
        <w:t xml:space="preserve">Resilient and Sustainable Systems for Health </w:t>
      </w:r>
    </w:p>
    <w:p w14:paraId="7E17D347" w14:textId="6B1C4AD6" w:rsidR="005525AC" w:rsidRPr="00F92201" w:rsidRDefault="00285053" w:rsidP="005525AC">
      <w:pPr>
        <w:widowControl w:val="0"/>
        <w:spacing w:line="240" w:lineRule="auto"/>
        <w:jc w:val="both"/>
        <w:rPr>
          <w:sz w:val="24"/>
          <w:szCs w:val="24"/>
        </w:rPr>
      </w:pPr>
      <w:r w:rsidRPr="00F92201">
        <w:rPr>
          <w:sz w:val="24"/>
          <w:szCs w:val="24"/>
        </w:rPr>
        <w:t xml:space="preserve">Kyrgyzstan’s current State health </w:t>
      </w:r>
      <w:proofErr w:type="spellStart"/>
      <w:r w:rsidRPr="00F92201">
        <w:rPr>
          <w:sz w:val="24"/>
          <w:szCs w:val="24"/>
        </w:rPr>
        <w:t>programme</w:t>
      </w:r>
      <w:proofErr w:type="spellEnd"/>
      <w:r w:rsidRPr="00F92201">
        <w:rPr>
          <w:sz w:val="24"/>
          <w:szCs w:val="24"/>
        </w:rPr>
        <w:t>, the Program of the Kyrgyz Republic Government on Public Health Protection and Health Care System Development for 2019–2030 “Healthy Person – Prosperous Country”</w:t>
      </w:r>
      <w:r w:rsidR="005525AC" w:rsidRPr="00F92201">
        <w:rPr>
          <w:sz w:val="24"/>
          <w:szCs w:val="24"/>
          <w:vertAlign w:val="superscript"/>
          <w:lang w:val="ru"/>
        </w:rPr>
        <w:footnoteReference w:id="51"/>
      </w:r>
      <w:r w:rsidR="005525AC" w:rsidRPr="00F92201">
        <w:rPr>
          <w:sz w:val="24"/>
          <w:szCs w:val="24"/>
          <w:lang w:val="en"/>
        </w:rPr>
        <w:t xml:space="preserve"> </w:t>
      </w:r>
      <w:r w:rsidRPr="00F92201">
        <w:rPr>
          <w:sz w:val="24"/>
          <w:szCs w:val="24"/>
        </w:rPr>
        <w:t>(hereinafter, Health 2030), was approved in 2018, and it is a continuation and acceleration of Kyrgyzstan’s ambitious health reform agenda from 1996.</w:t>
      </w:r>
      <w:r w:rsidR="005525AC" w:rsidRPr="00F92201">
        <w:rPr>
          <w:sz w:val="24"/>
          <w:szCs w:val="24"/>
          <w:vertAlign w:val="superscript"/>
          <w:lang w:val="ru"/>
        </w:rPr>
        <w:footnoteReference w:id="52"/>
      </w:r>
      <w:r w:rsidRPr="00F92201">
        <w:rPr>
          <w:sz w:val="24"/>
          <w:szCs w:val="24"/>
        </w:rPr>
        <w:t xml:space="preserve"> The country has been recognized for its efforts to undertake sweeping reforms of its public health system. One of the most important early reforms was the introduction of a</w:t>
      </w:r>
      <w:r w:rsidR="00F92201" w:rsidRPr="00F92201">
        <w:rPr>
          <w:sz w:val="24"/>
          <w:szCs w:val="24"/>
        </w:rPr>
        <w:t xml:space="preserve"> </w:t>
      </w:r>
      <w:r w:rsidRPr="00F92201">
        <w:rPr>
          <w:sz w:val="24"/>
          <w:szCs w:val="24"/>
        </w:rPr>
        <w:t>purchaser–provider split and the establishment of a</w:t>
      </w:r>
      <w:r w:rsidR="00BE033D" w:rsidRPr="00F92201">
        <w:rPr>
          <w:sz w:val="24"/>
          <w:szCs w:val="24"/>
        </w:rPr>
        <w:t xml:space="preserve"> </w:t>
      </w:r>
      <w:r w:rsidRPr="00F92201">
        <w:rPr>
          <w:sz w:val="24"/>
          <w:szCs w:val="24"/>
        </w:rPr>
        <w:t>single payer system for health services alongside a State-</w:t>
      </w:r>
      <w:r w:rsidRPr="00F92201">
        <w:rPr>
          <w:sz w:val="24"/>
          <w:szCs w:val="24"/>
        </w:rPr>
        <w:lastRenderedPageBreak/>
        <w:t>guaranteed benefit package (SGBP)</w:t>
      </w:r>
      <w:r w:rsidR="005525AC" w:rsidRPr="00F92201">
        <w:rPr>
          <w:sz w:val="24"/>
          <w:szCs w:val="24"/>
          <w:lang w:val="en"/>
        </w:rPr>
        <w:t>.</w:t>
      </w:r>
      <w:r w:rsidR="005525AC" w:rsidRPr="00F92201">
        <w:rPr>
          <w:sz w:val="24"/>
          <w:szCs w:val="24"/>
          <w:vertAlign w:val="superscript"/>
          <w:lang w:val="ru"/>
        </w:rPr>
        <w:footnoteReference w:id="53"/>
      </w:r>
      <w:r w:rsidR="005525AC" w:rsidRPr="00F92201">
        <w:rPr>
          <w:sz w:val="24"/>
          <w:szCs w:val="24"/>
          <w:lang w:val="en"/>
        </w:rPr>
        <w:t xml:space="preserve"> </w:t>
      </w:r>
      <w:r w:rsidR="00BE033D" w:rsidRPr="00F92201">
        <w:rPr>
          <w:sz w:val="24"/>
          <w:szCs w:val="24"/>
        </w:rPr>
        <w:t>The SGBP sought to provide essential PHC services for all and free or reduced cost hospital services for certain groups of people while defining citizens’ rights to free care. The responsibility for purchasing health services was consolidated under the Mandatory Health Insurance Fund (MHIF), while the authority for health policy development and oversight was granted to Kyrgyzstan’s Ministry of Health (MoH). Since 2006, the pooling of funds has been carried out at the national level (instead of the oblast level), which has allowed a more equitable distribution of the SGBP and the accompanying Additional Drug Package (ADP).</w:t>
      </w:r>
      <w:r w:rsidR="00BE033D" w:rsidRPr="00F92201">
        <w:rPr>
          <w:sz w:val="24"/>
          <w:szCs w:val="24"/>
          <w:lang w:val="en"/>
        </w:rPr>
        <w:t xml:space="preserve"> </w:t>
      </w:r>
      <w:r w:rsidR="005525AC" w:rsidRPr="00F92201">
        <w:rPr>
          <w:sz w:val="24"/>
          <w:szCs w:val="24"/>
          <w:lang w:val="en"/>
        </w:rPr>
        <w:t xml:space="preserve">As a result of the reform of the healthcare system, the Mandatory Health Insurance Fund (MHIF) became the single payer for services; its responsibilities include the accumulation of healthcare funds and the procurement of medical services; in addition, the MHIF administers the SGBP and the program of additional drug provision for the population; and is responsible for managing the quality of medical services and developing health care information systems. The powers to develop health policy and supervision were transferred to the Ministry of Health of Kyrgyzstan (MoH), whose powers also include the administration of high-tech programs, direct management of tertiary-level organizations, as well as services (HIV, psychiatry) that are not included in the single-payer system. </w:t>
      </w:r>
    </w:p>
    <w:p w14:paraId="7E92B67B" w14:textId="06E76360" w:rsidR="00BE033D" w:rsidRPr="00F92201" w:rsidRDefault="00BE033D" w:rsidP="005525AC">
      <w:pPr>
        <w:widowControl w:val="0"/>
        <w:spacing w:line="240" w:lineRule="auto"/>
        <w:jc w:val="both"/>
        <w:rPr>
          <w:sz w:val="24"/>
          <w:szCs w:val="24"/>
          <w:lang w:val="en"/>
        </w:rPr>
      </w:pPr>
      <w:r w:rsidRPr="00F92201">
        <w:rPr>
          <w:sz w:val="24"/>
          <w:szCs w:val="24"/>
        </w:rPr>
        <w:t>These early efforts also aimed to reorient the health-care system from providing costly, disease-oriented health care to providing less-expensive, prevention-oriented care within PHC. The family medicine model was introduced through the creation of the Family Medicine Institute and the establishment of a nationwide network of family doctors and group practices. Today, these service points and structures serve as the backbone of the PHC system.</w:t>
      </w:r>
    </w:p>
    <w:p w14:paraId="7ADE3A24" w14:textId="02FB57C0" w:rsidR="005525AC" w:rsidRPr="00F92201" w:rsidRDefault="005525AC" w:rsidP="005525AC">
      <w:pPr>
        <w:widowControl w:val="0"/>
        <w:spacing w:line="240" w:lineRule="auto"/>
        <w:jc w:val="both"/>
        <w:rPr>
          <w:sz w:val="24"/>
          <w:szCs w:val="24"/>
        </w:rPr>
      </w:pPr>
      <w:r w:rsidRPr="00F92201">
        <w:rPr>
          <w:sz w:val="24"/>
          <w:szCs w:val="24"/>
          <w:lang w:val="en"/>
        </w:rPr>
        <w:t xml:space="preserve">The implementation of measures to combat HIV and TB is carried out on regularly updated 5-year programs of the Government of the country. For the period 2023-2027, the Government's Program on 2 diseases, including HIV and </w:t>
      </w:r>
      <w:proofErr w:type="spellStart"/>
      <w:r w:rsidR="00AC7AD0" w:rsidRPr="00F92201">
        <w:rPr>
          <w:sz w:val="24"/>
          <w:szCs w:val="24"/>
          <w:lang w:val="en"/>
        </w:rPr>
        <w:t>hemocontact</w:t>
      </w:r>
      <w:proofErr w:type="spellEnd"/>
      <w:r w:rsidRPr="00F92201">
        <w:rPr>
          <w:sz w:val="24"/>
          <w:szCs w:val="24"/>
          <w:lang w:val="en"/>
        </w:rPr>
        <w:t xml:space="preserve"> viral hepatitis, has been developed for the first time and is being prepared for approval. In December 2022, the Republican AIDS Center was transformed into the Republican Center for the Control of </w:t>
      </w:r>
      <w:proofErr w:type="spellStart"/>
      <w:r w:rsidRPr="00F92201">
        <w:rPr>
          <w:sz w:val="24"/>
          <w:szCs w:val="24"/>
          <w:lang w:val="en"/>
        </w:rPr>
        <w:t>Hemocontact</w:t>
      </w:r>
      <w:proofErr w:type="spellEnd"/>
      <w:r w:rsidRPr="00F92201">
        <w:rPr>
          <w:sz w:val="24"/>
          <w:szCs w:val="24"/>
          <w:lang w:val="en"/>
        </w:rPr>
        <w:t xml:space="preserve"> </w:t>
      </w:r>
      <w:r w:rsidR="00AC7AD0" w:rsidRPr="00F92201">
        <w:rPr>
          <w:sz w:val="24"/>
          <w:szCs w:val="24"/>
          <w:lang w:val="en"/>
        </w:rPr>
        <w:t xml:space="preserve">Viral </w:t>
      </w:r>
      <w:r w:rsidRPr="00F92201">
        <w:rPr>
          <w:sz w:val="24"/>
          <w:szCs w:val="24"/>
          <w:lang w:val="en"/>
        </w:rPr>
        <w:t>Hepatitis and HIV (RCCHVHHIV).</w:t>
      </w:r>
    </w:p>
    <w:p w14:paraId="3A69667F" w14:textId="77777777" w:rsidR="005525AC" w:rsidRPr="00F92201" w:rsidRDefault="005525AC" w:rsidP="005525AC">
      <w:pPr>
        <w:widowControl w:val="0"/>
        <w:spacing w:line="240" w:lineRule="auto"/>
        <w:jc w:val="both"/>
        <w:rPr>
          <w:b/>
          <w:sz w:val="24"/>
          <w:szCs w:val="24"/>
        </w:rPr>
      </w:pPr>
      <w:r w:rsidRPr="00F92201">
        <w:rPr>
          <w:b/>
          <w:sz w:val="24"/>
          <w:szCs w:val="24"/>
          <w:lang w:val="en"/>
        </w:rPr>
        <w:t>Funding</w:t>
      </w:r>
    </w:p>
    <w:p w14:paraId="788DF3DE" w14:textId="77777777" w:rsidR="005525AC" w:rsidRPr="00F92201" w:rsidRDefault="005525AC" w:rsidP="005525AC">
      <w:pPr>
        <w:widowControl w:val="0"/>
        <w:spacing w:line="240" w:lineRule="auto"/>
        <w:jc w:val="both"/>
        <w:rPr>
          <w:sz w:val="24"/>
          <w:szCs w:val="24"/>
        </w:rPr>
      </w:pPr>
      <w:r w:rsidRPr="00F92201">
        <w:rPr>
          <w:sz w:val="24"/>
          <w:szCs w:val="24"/>
          <w:lang w:val="en"/>
        </w:rPr>
        <w:t>Total healthcare expenditures in Kyrgyzstan have been steadily increasing for a long period and increased sevenfold between 2000 and 2012. The level of government spending on healthcare in Kyrgyzstan varied between 10 and 15% of total government spending during the period 1995-2012. Since 2016, there has been a decrease in health care costs.</w:t>
      </w:r>
    </w:p>
    <w:p w14:paraId="78D194C4" w14:textId="6F838A55" w:rsidR="005525AC" w:rsidRPr="00F92201" w:rsidRDefault="005525AC" w:rsidP="005525AC">
      <w:pPr>
        <w:widowControl w:val="0"/>
        <w:spacing w:line="240" w:lineRule="auto"/>
        <w:jc w:val="both"/>
        <w:rPr>
          <w:sz w:val="24"/>
          <w:szCs w:val="24"/>
        </w:rPr>
      </w:pPr>
      <w:r w:rsidRPr="00F92201">
        <w:rPr>
          <w:sz w:val="24"/>
          <w:szCs w:val="24"/>
          <w:lang w:val="en"/>
        </w:rPr>
        <w:t>A significant part of the funding for HIV programs and funds for the fight against TB is provided by international partners. At the same time, starting in 2018, implementing programs for the transition to public funding, funding from the state budget began to expand. By 2022, more than 80% of the total need for ARV drugs and HIV diagnostics is carried out from public funds, since 2023 about $300</w:t>
      </w:r>
      <w:r w:rsidR="004346AB" w:rsidRPr="00F92201">
        <w:rPr>
          <w:sz w:val="24"/>
          <w:szCs w:val="24"/>
          <w:lang w:val="en"/>
        </w:rPr>
        <w:t xml:space="preserve">,000 </w:t>
      </w:r>
      <w:r w:rsidRPr="00F92201">
        <w:rPr>
          <w:sz w:val="24"/>
          <w:szCs w:val="24"/>
          <w:lang w:val="en"/>
        </w:rPr>
        <w:t xml:space="preserve">is allocated for OST, and the purchase of </w:t>
      </w:r>
      <w:r w:rsidR="004346AB" w:rsidRPr="00F92201">
        <w:rPr>
          <w:sz w:val="24"/>
          <w:szCs w:val="24"/>
          <w:lang w:val="en"/>
        </w:rPr>
        <w:t>TB</w:t>
      </w:r>
      <w:r w:rsidRPr="00F92201">
        <w:rPr>
          <w:sz w:val="24"/>
          <w:szCs w:val="24"/>
          <w:lang w:val="en"/>
        </w:rPr>
        <w:t xml:space="preserve"> drugs is increasing. At the same time, the funding gap for government programs in the field of HIV and TB remains high.</w:t>
      </w:r>
    </w:p>
    <w:p w14:paraId="1B450CA1" w14:textId="77777777" w:rsidR="005525AC" w:rsidRPr="00F92201" w:rsidRDefault="005525AC" w:rsidP="005525AC">
      <w:pPr>
        <w:jc w:val="both"/>
        <w:rPr>
          <w:b/>
          <w:sz w:val="24"/>
          <w:szCs w:val="24"/>
        </w:rPr>
      </w:pPr>
      <w:r w:rsidRPr="00F92201">
        <w:rPr>
          <w:b/>
          <w:sz w:val="24"/>
          <w:szCs w:val="24"/>
          <w:lang w:val="en"/>
        </w:rPr>
        <w:t>Human resources</w:t>
      </w:r>
    </w:p>
    <w:p w14:paraId="430245D8" w14:textId="77777777" w:rsidR="005525AC" w:rsidRPr="00F92201" w:rsidRDefault="005525AC" w:rsidP="005525AC">
      <w:pPr>
        <w:widowControl w:val="0"/>
        <w:spacing w:line="240" w:lineRule="auto"/>
        <w:jc w:val="both"/>
        <w:rPr>
          <w:sz w:val="24"/>
          <w:szCs w:val="24"/>
        </w:rPr>
      </w:pPr>
      <w:r w:rsidRPr="00F92201">
        <w:rPr>
          <w:sz w:val="24"/>
          <w:szCs w:val="24"/>
          <w:lang w:val="en"/>
        </w:rPr>
        <w:t xml:space="preserve">In 2022, the Government strengthened its support for healthcare, and significantly revised wages in the healthcare system, increasing by 50-70% from the level of 2021, which affected the motivation of medical workers and, against the background of a decrease in the attractiveness of migration to the Russian Federation, affected staff retention. </w:t>
      </w:r>
    </w:p>
    <w:p w14:paraId="493E42A4" w14:textId="05DA7D52" w:rsidR="005525AC" w:rsidRPr="00F92201" w:rsidRDefault="005525AC" w:rsidP="005525AC">
      <w:pPr>
        <w:widowControl w:val="0"/>
        <w:spacing w:line="240" w:lineRule="auto"/>
        <w:jc w:val="both"/>
        <w:rPr>
          <w:sz w:val="24"/>
          <w:szCs w:val="24"/>
        </w:rPr>
      </w:pPr>
      <w:r w:rsidRPr="00F92201">
        <w:rPr>
          <w:sz w:val="24"/>
          <w:szCs w:val="24"/>
          <w:lang w:val="en"/>
        </w:rPr>
        <w:t xml:space="preserve">In the field of HIV, decentralization and transfer of services to the primary healthcare level have already been implemented in most regions </w:t>
      </w:r>
      <w:r w:rsidR="005B1BD5">
        <w:rPr>
          <w:sz w:val="24"/>
          <w:szCs w:val="24"/>
          <w:lang w:val="en"/>
        </w:rPr>
        <w:t>In line with</w:t>
      </w:r>
      <w:r w:rsidRPr="00F92201">
        <w:rPr>
          <w:sz w:val="24"/>
          <w:szCs w:val="24"/>
          <w:lang w:val="en"/>
        </w:rPr>
        <w:t xml:space="preserve"> the order of the Ministry of Health of the </w:t>
      </w:r>
      <w:r w:rsidRPr="00F92201">
        <w:rPr>
          <w:sz w:val="24"/>
          <w:szCs w:val="24"/>
          <w:lang w:val="en"/>
        </w:rPr>
        <w:lastRenderedPageBreak/>
        <w:t>Kyrgyz Republic dated December 31, 2012, No. 717 "On the implementation of measures to improve the quality of services for people living with HIV"; the order of the Ministry of Health of the Kyrgyz Republic dated December 23, 2016, No. 923 "On piloting the decentralization of services for HIV infection and institutionalization of methadone maintenance therapy at the level of primary medical and social care". Currently, mechanisms for the decentralization of PLHIV services at the country level have been approved by Order of the Ministry of Health of the Kyrgyz Republic No. 542 dated 22.04.2019. "On the approval of mechanisms for the decentralization of medical services to people living with the human immunodeficiency virus in the Kyrgyz Republic."</w:t>
      </w:r>
      <w:r w:rsidRPr="00F92201">
        <w:rPr>
          <w:rStyle w:val="FootnoteReference"/>
          <w:sz w:val="24"/>
          <w:szCs w:val="24"/>
          <w:lang w:val="en"/>
        </w:rPr>
        <w:footnoteReference w:id="54"/>
      </w:r>
      <w:r w:rsidRPr="00F92201">
        <w:rPr>
          <w:sz w:val="24"/>
          <w:szCs w:val="24"/>
          <w:lang w:val="en"/>
        </w:rPr>
        <w:t xml:space="preserve"> HIV infection services are provided in 53 </w:t>
      </w:r>
      <w:r w:rsidR="00BB1FF4" w:rsidRPr="00F92201">
        <w:rPr>
          <w:sz w:val="24"/>
          <w:szCs w:val="24"/>
          <w:lang w:val="en"/>
        </w:rPr>
        <w:t>PHC</w:t>
      </w:r>
      <w:r w:rsidRPr="00F92201">
        <w:rPr>
          <w:sz w:val="24"/>
          <w:szCs w:val="24"/>
          <w:lang w:val="en"/>
        </w:rPr>
        <w:t xml:space="preserve"> </w:t>
      </w:r>
      <w:r w:rsidR="00BB1FF4" w:rsidRPr="00F92201">
        <w:rPr>
          <w:sz w:val="24"/>
          <w:szCs w:val="24"/>
          <w:lang w:val="en"/>
        </w:rPr>
        <w:t>facilities</w:t>
      </w:r>
      <w:r w:rsidRPr="00F92201">
        <w:rPr>
          <w:sz w:val="24"/>
          <w:szCs w:val="24"/>
          <w:lang w:val="en"/>
        </w:rPr>
        <w:t xml:space="preserve">, except for the city of Bishkek and the Talas region. In Bishkek, given the status of the capital, there is a </w:t>
      </w:r>
      <w:r w:rsidR="00BB1FF4" w:rsidRPr="00F92201">
        <w:rPr>
          <w:sz w:val="24"/>
          <w:szCs w:val="24"/>
          <w:lang w:val="en"/>
        </w:rPr>
        <w:t xml:space="preserve">HIV/AIDS </w:t>
      </w:r>
      <w:r w:rsidRPr="00F92201">
        <w:rPr>
          <w:sz w:val="24"/>
          <w:szCs w:val="24"/>
          <w:lang w:val="en"/>
        </w:rPr>
        <w:t>city center, and in the Talas region, the HIV prevalence remains low, mainly concentrated in the regional center of Talas.</w:t>
      </w:r>
    </w:p>
    <w:p w14:paraId="748F58E1" w14:textId="2CBC2B86" w:rsidR="005525AC" w:rsidRPr="00F92201" w:rsidRDefault="005525AC" w:rsidP="005525AC">
      <w:pPr>
        <w:widowControl w:val="0"/>
        <w:spacing w:line="240" w:lineRule="auto"/>
        <w:jc w:val="both"/>
        <w:rPr>
          <w:sz w:val="24"/>
          <w:szCs w:val="24"/>
        </w:rPr>
      </w:pPr>
      <w:r w:rsidRPr="00F92201">
        <w:rPr>
          <w:sz w:val="24"/>
          <w:szCs w:val="24"/>
          <w:lang w:val="en"/>
        </w:rPr>
        <w:t xml:space="preserve">In the </w:t>
      </w:r>
      <w:r w:rsidR="002607EB" w:rsidRPr="00F92201">
        <w:rPr>
          <w:sz w:val="24"/>
          <w:szCs w:val="24"/>
          <w:lang w:val="en"/>
        </w:rPr>
        <w:t>TB</w:t>
      </w:r>
      <w:r w:rsidRPr="00F92201">
        <w:rPr>
          <w:sz w:val="24"/>
          <w:szCs w:val="24"/>
          <w:lang w:val="en"/>
        </w:rPr>
        <w:t xml:space="preserve"> service of the Kyrgyz Republic, according to the National Statistical Committee, there are 256 </w:t>
      </w:r>
      <w:r w:rsidR="002607EB" w:rsidRPr="00F92201">
        <w:rPr>
          <w:sz w:val="24"/>
          <w:szCs w:val="24"/>
          <w:lang w:val="en"/>
        </w:rPr>
        <w:t>TB specialists</w:t>
      </w:r>
      <w:r w:rsidRPr="00F92201">
        <w:rPr>
          <w:sz w:val="24"/>
          <w:szCs w:val="24"/>
          <w:lang w:val="en"/>
        </w:rPr>
        <w:t xml:space="preserve">, most of whom are based in </w:t>
      </w:r>
      <w:r w:rsidR="00040DD0" w:rsidRPr="00F92201">
        <w:rPr>
          <w:sz w:val="24"/>
          <w:szCs w:val="24"/>
          <w:lang w:val="en"/>
        </w:rPr>
        <w:t>PHC facilities</w:t>
      </w:r>
      <w:r w:rsidRPr="00F92201">
        <w:rPr>
          <w:sz w:val="24"/>
          <w:szCs w:val="24"/>
          <w:lang w:val="en"/>
        </w:rPr>
        <w:t xml:space="preserve"> and provide services for the detection and outpatient treatment of </w:t>
      </w:r>
      <w:r w:rsidR="00D008B0" w:rsidRPr="00F92201">
        <w:rPr>
          <w:sz w:val="24"/>
          <w:szCs w:val="24"/>
          <w:lang w:val="en"/>
        </w:rPr>
        <w:t>TB</w:t>
      </w:r>
      <w:r w:rsidRPr="00F92201">
        <w:rPr>
          <w:sz w:val="24"/>
          <w:szCs w:val="24"/>
          <w:lang w:val="en"/>
        </w:rPr>
        <w:t xml:space="preserve"> at the PHC level. The National </w:t>
      </w:r>
      <w:r w:rsidR="00D008B0" w:rsidRPr="00F92201">
        <w:rPr>
          <w:sz w:val="24"/>
          <w:szCs w:val="24"/>
          <w:lang w:val="en"/>
        </w:rPr>
        <w:t>TB</w:t>
      </w:r>
      <w:r w:rsidRPr="00F92201">
        <w:rPr>
          <w:sz w:val="24"/>
          <w:szCs w:val="24"/>
          <w:lang w:val="en"/>
        </w:rPr>
        <w:t xml:space="preserve"> Service is represented by a network of medical </w:t>
      </w:r>
      <w:r w:rsidR="00D008B0" w:rsidRPr="00F92201">
        <w:rPr>
          <w:sz w:val="24"/>
          <w:szCs w:val="24"/>
          <w:lang w:val="en"/>
        </w:rPr>
        <w:t>facilities</w:t>
      </w:r>
      <w:r w:rsidRPr="00F92201">
        <w:rPr>
          <w:sz w:val="24"/>
          <w:szCs w:val="24"/>
          <w:lang w:val="en"/>
        </w:rPr>
        <w:t xml:space="preserve"> at </w:t>
      </w:r>
      <w:r w:rsidR="00D008B0" w:rsidRPr="00F92201">
        <w:rPr>
          <w:sz w:val="24"/>
          <w:szCs w:val="24"/>
          <w:lang w:val="en"/>
        </w:rPr>
        <w:t>all healthcare</w:t>
      </w:r>
      <w:r w:rsidRPr="00F92201">
        <w:rPr>
          <w:sz w:val="24"/>
          <w:szCs w:val="24"/>
          <w:lang w:val="en"/>
        </w:rPr>
        <w:t xml:space="preserve"> levels. The National </w:t>
      </w:r>
      <w:r w:rsidR="00AB4E76" w:rsidRPr="00F92201">
        <w:rPr>
          <w:sz w:val="24"/>
          <w:szCs w:val="24"/>
          <w:lang w:val="en"/>
        </w:rPr>
        <w:t xml:space="preserve">TB </w:t>
      </w:r>
      <w:r w:rsidRPr="00F92201">
        <w:rPr>
          <w:sz w:val="24"/>
          <w:szCs w:val="24"/>
          <w:lang w:val="en"/>
        </w:rPr>
        <w:t xml:space="preserve">Center is the umbrella organization for </w:t>
      </w:r>
      <w:r w:rsidR="00933205" w:rsidRPr="00F92201">
        <w:rPr>
          <w:sz w:val="24"/>
          <w:szCs w:val="24"/>
          <w:lang w:val="en"/>
        </w:rPr>
        <w:t>TB</w:t>
      </w:r>
      <w:r w:rsidRPr="00F92201">
        <w:rPr>
          <w:sz w:val="24"/>
          <w:szCs w:val="24"/>
          <w:lang w:val="en"/>
        </w:rPr>
        <w:t xml:space="preserve">. There are specialized hospitals in the </w:t>
      </w:r>
      <w:r w:rsidR="00131451" w:rsidRPr="00F92201">
        <w:rPr>
          <w:sz w:val="24"/>
          <w:szCs w:val="24"/>
          <w:lang w:val="en"/>
        </w:rPr>
        <w:t>country</w:t>
      </w:r>
      <w:r w:rsidRPr="00F92201">
        <w:rPr>
          <w:sz w:val="24"/>
          <w:szCs w:val="24"/>
          <w:lang w:val="en"/>
        </w:rPr>
        <w:t xml:space="preserve"> to provide inpatient care for TB patients. At the primary level, TB services are provided in 65 TB treatment rooms to manage patients at the outpatient stage. The action plan for optimizing the system of providing TB care to the population of the Kyrgyz Republic for 2017-2026</w:t>
      </w:r>
      <w:r w:rsidRPr="00F92201">
        <w:rPr>
          <w:rStyle w:val="FootnoteReference"/>
          <w:sz w:val="24"/>
          <w:szCs w:val="24"/>
          <w:lang w:val="ru"/>
        </w:rPr>
        <w:footnoteReference w:id="55"/>
      </w:r>
      <w:r w:rsidRPr="00F92201">
        <w:rPr>
          <w:sz w:val="24"/>
          <w:szCs w:val="24"/>
          <w:lang w:val="en"/>
        </w:rPr>
        <w:t xml:space="preserve"> accounts for the reduction of beds in TB hospitals. In 2021, according to this document, 400 beds were reduced across the country: hospitals were completely closed in 5 regions and beds in some hospitals were reduced due to non-fulfillment of the bed day. In 2022, the N</w:t>
      </w:r>
      <w:r w:rsidR="002E4046" w:rsidRPr="00F92201">
        <w:rPr>
          <w:sz w:val="24"/>
          <w:szCs w:val="24"/>
          <w:lang w:val="en"/>
        </w:rPr>
        <w:t>TB</w:t>
      </w:r>
      <w:r w:rsidRPr="00F92201">
        <w:rPr>
          <w:sz w:val="24"/>
          <w:szCs w:val="24"/>
          <w:lang w:val="en"/>
        </w:rPr>
        <w:t>C together with UNDP developed and adopted a "Plan to Improve Achievement of Program Indicators for TB Component 2022-2023" and a "Plan to Expand TB Outpatient Treatment in the Kyrgyz Republic 2022-2023".</w:t>
      </w:r>
    </w:p>
    <w:p w14:paraId="3A519EA2" w14:textId="77777777" w:rsidR="005525AC" w:rsidRPr="00F92201" w:rsidRDefault="005525AC" w:rsidP="005525AC">
      <w:pPr>
        <w:jc w:val="both"/>
        <w:rPr>
          <w:b/>
          <w:sz w:val="24"/>
          <w:szCs w:val="24"/>
        </w:rPr>
      </w:pPr>
      <w:r w:rsidRPr="00F92201">
        <w:rPr>
          <w:b/>
          <w:sz w:val="24"/>
          <w:szCs w:val="24"/>
          <w:lang w:val="en"/>
        </w:rPr>
        <w:t>Penitentiary system</w:t>
      </w:r>
    </w:p>
    <w:p w14:paraId="683F8018" w14:textId="2AB0A695" w:rsidR="005525AC" w:rsidRPr="00F92201" w:rsidRDefault="005525AC" w:rsidP="005525AC">
      <w:pPr>
        <w:widowControl w:val="0"/>
        <w:spacing w:line="240" w:lineRule="auto"/>
        <w:jc w:val="both"/>
        <w:rPr>
          <w:sz w:val="24"/>
          <w:szCs w:val="24"/>
        </w:rPr>
      </w:pPr>
      <w:r w:rsidRPr="00F92201">
        <w:rPr>
          <w:sz w:val="24"/>
          <w:szCs w:val="24"/>
          <w:lang w:val="en"/>
        </w:rPr>
        <w:t xml:space="preserve">The State Penitentiary Service has an independent medical service in its structure that serves the entire population of correctional facilities. Funding of the medical service of the State Penitentiary Service is carried out as part of the general State Penitentiary Service budget from the national budget. The HIV and TB Government </w:t>
      </w:r>
      <w:proofErr w:type="spellStart"/>
      <w:r w:rsidRPr="00F92201">
        <w:rPr>
          <w:sz w:val="24"/>
          <w:szCs w:val="24"/>
          <w:lang w:val="en"/>
        </w:rPr>
        <w:t>Programmes</w:t>
      </w:r>
      <w:proofErr w:type="spellEnd"/>
      <w:r w:rsidRPr="00F92201">
        <w:rPr>
          <w:sz w:val="24"/>
          <w:szCs w:val="24"/>
          <w:lang w:val="en"/>
        </w:rPr>
        <w:t xml:space="preserve"> include activities for </w:t>
      </w:r>
      <w:r w:rsidR="00C23FD1" w:rsidRPr="00F92201">
        <w:rPr>
          <w:sz w:val="24"/>
          <w:szCs w:val="24"/>
          <w:lang w:val="en"/>
        </w:rPr>
        <w:t>prisoners</w:t>
      </w:r>
      <w:r w:rsidRPr="00F92201">
        <w:rPr>
          <w:sz w:val="24"/>
          <w:szCs w:val="24"/>
          <w:lang w:val="en"/>
        </w:rPr>
        <w:t>, HIV and TB drugs, and diagnostic tools provided through the TB service and AIDS services. If necessary, all prisoners can receive medical care in civil</w:t>
      </w:r>
      <w:r w:rsidR="000C6F65" w:rsidRPr="00F92201">
        <w:rPr>
          <w:sz w:val="24"/>
          <w:szCs w:val="24"/>
          <w:lang w:val="en"/>
        </w:rPr>
        <w:t xml:space="preserve"> </w:t>
      </w:r>
      <w:r w:rsidRPr="00F92201">
        <w:rPr>
          <w:sz w:val="24"/>
          <w:szCs w:val="24"/>
          <w:lang w:val="en"/>
        </w:rPr>
        <w:t>health</w:t>
      </w:r>
      <w:r w:rsidR="000C6F65" w:rsidRPr="00F92201">
        <w:rPr>
          <w:sz w:val="24"/>
          <w:szCs w:val="24"/>
          <w:lang w:val="en"/>
        </w:rPr>
        <w:t>care</w:t>
      </w:r>
      <w:r w:rsidRPr="00F92201">
        <w:rPr>
          <w:sz w:val="24"/>
          <w:szCs w:val="24"/>
          <w:lang w:val="en"/>
        </w:rPr>
        <w:t xml:space="preserve"> facilities as needed for qualified and specialized medical care related to </w:t>
      </w:r>
      <w:r w:rsidR="00D32C4C" w:rsidRPr="00F92201">
        <w:rPr>
          <w:sz w:val="24"/>
          <w:szCs w:val="24"/>
          <w:lang w:val="en"/>
        </w:rPr>
        <w:t>TB</w:t>
      </w:r>
      <w:r w:rsidRPr="00F92201">
        <w:rPr>
          <w:sz w:val="24"/>
          <w:szCs w:val="24"/>
          <w:lang w:val="en"/>
        </w:rPr>
        <w:t xml:space="preserve">. At the same time, specialists of the AIDS and </w:t>
      </w:r>
      <w:r w:rsidR="00FF4681" w:rsidRPr="00F92201">
        <w:rPr>
          <w:sz w:val="24"/>
          <w:szCs w:val="24"/>
          <w:lang w:val="en"/>
        </w:rPr>
        <w:t>TB</w:t>
      </w:r>
      <w:r w:rsidRPr="00F92201">
        <w:rPr>
          <w:sz w:val="24"/>
          <w:szCs w:val="24"/>
          <w:lang w:val="en"/>
        </w:rPr>
        <w:t xml:space="preserve"> centers coordinate the treatment of PLHIV and </w:t>
      </w:r>
      <w:r w:rsidR="005F2352" w:rsidRPr="00F92201">
        <w:rPr>
          <w:sz w:val="24"/>
          <w:szCs w:val="24"/>
          <w:lang w:val="en"/>
        </w:rPr>
        <w:t>TB</w:t>
      </w:r>
      <w:r w:rsidRPr="00F92201">
        <w:rPr>
          <w:sz w:val="24"/>
          <w:szCs w:val="24"/>
          <w:lang w:val="en"/>
        </w:rPr>
        <w:t xml:space="preserve"> patients in places of detention and advise PLHIV and TB prisoners.</w:t>
      </w:r>
    </w:p>
    <w:p w14:paraId="6722115A" w14:textId="77777777" w:rsidR="005525AC" w:rsidRPr="00F92201" w:rsidRDefault="005525AC" w:rsidP="005525AC">
      <w:pPr>
        <w:jc w:val="both"/>
        <w:rPr>
          <w:b/>
          <w:sz w:val="24"/>
          <w:szCs w:val="24"/>
        </w:rPr>
      </w:pPr>
      <w:r w:rsidRPr="00F92201">
        <w:rPr>
          <w:b/>
          <w:sz w:val="24"/>
          <w:szCs w:val="24"/>
          <w:lang w:val="en"/>
        </w:rPr>
        <w:t>Data collection systems</w:t>
      </w:r>
    </w:p>
    <w:p w14:paraId="21009478" w14:textId="77777777" w:rsidR="005525AC" w:rsidRPr="00F92201" w:rsidRDefault="005525AC" w:rsidP="005525AC">
      <w:pPr>
        <w:widowControl w:val="0"/>
        <w:spacing w:line="240" w:lineRule="auto"/>
        <w:jc w:val="both"/>
        <w:rPr>
          <w:sz w:val="24"/>
          <w:szCs w:val="24"/>
        </w:rPr>
      </w:pPr>
      <w:r w:rsidRPr="00F92201">
        <w:rPr>
          <w:sz w:val="24"/>
          <w:szCs w:val="24"/>
          <w:lang w:val="en"/>
        </w:rPr>
        <w:t>Data on the HIV situation is regularly updated on the website of the RCCHVHHIV and is provided at the request of interested parties. With the support of international organizations, an assessment of the implementation of state programs is being carried out. HIV expenditure data is provided in the GAM national report and national HIV accounts. Since 2019, data on HIV expenditures is reflected in the program budget of the Ministry of Health in three lines - total expenses for the AIDS service, expenses for the purchase of medicines, medical products, and preventive programs for key groups.</w:t>
      </w:r>
    </w:p>
    <w:p w14:paraId="2E4C9337" w14:textId="77777777" w:rsidR="005525AC" w:rsidRPr="00F92201" w:rsidRDefault="005525AC" w:rsidP="005525AC">
      <w:pPr>
        <w:widowControl w:val="0"/>
        <w:spacing w:line="240" w:lineRule="auto"/>
        <w:jc w:val="both"/>
        <w:rPr>
          <w:sz w:val="24"/>
          <w:szCs w:val="24"/>
        </w:rPr>
      </w:pPr>
      <w:r w:rsidRPr="00F92201">
        <w:rPr>
          <w:sz w:val="24"/>
          <w:szCs w:val="24"/>
          <w:lang w:val="en"/>
        </w:rPr>
        <w:t xml:space="preserve">The country uses HIV case MIS to collect, store, process, and transmit epidemiological, laboratory, and clinical data on all reported HIV infections in order to make informed decisions </w:t>
      </w:r>
      <w:r w:rsidRPr="00F92201">
        <w:rPr>
          <w:sz w:val="24"/>
          <w:szCs w:val="24"/>
          <w:lang w:val="en"/>
        </w:rPr>
        <w:lastRenderedPageBreak/>
        <w:t>about prevention and treatment.</w:t>
      </w:r>
    </w:p>
    <w:p w14:paraId="4AB873BB" w14:textId="555CB00B" w:rsidR="005525AC" w:rsidRPr="00F92201" w:rsidRDefault="005525AC" w:rsidP="005525AC">
      <w:pPr>
        <w:widowControl w:val="0"/>
        <w:spacing w:line="240" w:lineRule="auto"/>
        <w:jc w:val="both"/>
        <w:rPr>
          <w:sz w:val="24"/>
          <w:szCs w:val="24"/>
        </w:rPr>
      </w:pPr>
      <w:r w:rsidRPr="00F92201">
        <w:rPr>
          <w:sz w:val="24"/>
          <w:szCs w:val="24"/>
          <w:lang w:val="en"/>
        </w:rPr>
        <w:t xml:space="preserve">This MIS provides complete and timely information on all registered cases of HIV infection, including ART and its effectiveness, TB/HIV co-infection, </w:t>
      </w:r>
      <w:r w:rsidR="00900184" w:rsidRPr="00F92201">
        <w:rPr>
          <w:sz w:val="24"/>
          <w:szCs w:val="24"/>
          <w:lang w:val="en"/>
        </w:rPr>
        <w:t>PMTCT</w:t>
      </w:r>
      <w:r w:rsidRPr="00F92201">
        <w:rPr>
          <w:sz w:val="24"/>
          <w:szCs w:val="24"/>
          <w:lang w:val="en"/>
        </w:rPr>
        <w:t xml:space="preserve">, indicators of PLHIV health status, and HIV infection stages in the context of institutions, region, and the entire country. RCCHVHHIV administers an electronic database for the country, </w:t>
      </w:r>
      <w:proofErr w:type="gramStart"/>
      <w:r w:rsidR="005B1BD5">
        <w:rPr>
          <w:sz w:val="24"/>
          <w:szCs w:val="24"/>
          <w:lang w:val="en"/>
        </w:rPr>
        <w:t>In</w:t>
      </w:r>
      <w:proofErr w:type="gramEnd"/>
      <w:r w:rsidR="005B1BD5">
        <w:rPr>
          <w:sz w:val="24"/>
          <w:szCs w:val="24"/>
          <w:lang w:val="en"/>
        </w:rPr>
        <w:t xml:space="preserve"> line with</w:t>
      </w:r>
      <w:r w:rsidRPr="00F92201">
        <w:rPr>
          <w:sz w:val="24"/>
          <w:szCs w:val="24"/>
          <w:lang w:val="en"/>
        </w:rPr>
        <w:t xml:space="preserve"> the data provided by PLHIV </w:t>
      </w:r>
      <w:r w:rsidR="000573D9" w:rsidRPr="00F92201">
        <w:rPr>
          <w:sz w:val="24"/>
          <w:szCs w:val="24"/>
          <w:lang w:val="en"/>
        </w:rPr>
        <w:t>points-of-care</w:t>
      </w:r>
      <w:r w:rsidRPr="00F92201">
        <w:rPr>
          <w:sz w:val="24"/>
          <w:szCs w:val="24"/>
          <w:lang w:val="en"/>
        </w:rPr>
        <w:t xml:space="preserve"> through regional AIDS centers. The system is installed and actively used in 31 institutions (9 AIDS centers, 21 FMC and State Penitentiary Services). As part of the decentralization of services, the MIS should be extended to all facilities that provide services for PLHIV. This in turn necessitates the development of infrastructure (computers) and capacity of health workers on using the MIS. The HIV case MIS needs to be integrated into the overall e-health system, as well as a countrywide module for recording and forecasting ARVs stock in the country. </w:t>
      </w:r>
      <w:r w:rsidR="00BB3F29">
        <w:rPr>
          <w:sz w:val="24"/>
          <w:szCs w:val="24"/>
          <w:lang w:val="en"/>
        </w:rPr>
        <w:t>A</w:t>
      </w:r>
      <w:r w:rsidRPr="00F92201">
        <w:rPr>
          <w:sz w:val="24"/>
          <w:szCs w:val="24"/>
          <w:lang w:val="en"/>
        </w:rPr>
        <w:t xml:space="preserve">n electronic registry of OST is used in all health facilities in the country that provide OST services, including the State Penitentiary System. The registry allows for monitoring the effectiveness of therapy, including controlling prescriptions/changes in methadone dosages; controlling the use of illegal substances; monitoring skips in taking the drug; timely information on patients' health status (co-morbidities, including HIV, TB, HBV, HCV); the </w:t>
      </w:r>
      <w:r w:rsidR="00AC3E25">
        <w:rPr>
          <w:sz w:val="24"/>
          <w:szCs w:val="24"/>
          <w:lang w:val="en"/>
        </w:rPr>
        <w:t>RCPN</w:t>
      </w:r>
      <w:r w:rsidRPr="00F92201">
        <w:rPr>
          <w:sz w:val="24"/>
          <w:szCs w:val="24"/>
          <w:lang w:val="en"/>
        </w:rPr>
        <w:t xml:space="preserve"> administers OST and performs data quality control and monitoring of the work of health facilities. OST also needs to be integrated into the overall e-health system, and existing capacities can be used to predict methadone spending.</w:t>
      </w:r>
    </w:p>
    <w:p w14:paraId="213CA31A" w14:textId="77777777" w:rsidR="005525AC" w:rsidRPr="00F92201" w:rsidRDefault="005525AC" w:rsidP="005525AC">
      <w:pPr>
        <w:widowControl w:val="0"/>
        <w:spacing w:line="240" w:lineRule="auto"/>
        <w:jc w:val="both"/>
        <w:rPr>
          <w:sz w:val="24"/>
          <w:szCs w:val="24"/>
        </w:rPr>
      </w:pPr>
      <w:r w:rsidRPr="00F92201">
        <w:rPr>
          <w:sz w:val="24"/>
          <w:szCs w:val="24"/>
          <w:lang w:val="en"/>
        </w:rPr>
        <w:t>The TB service has developed an electronic database similar to the HIV MIS in TB service, but it has not been universally implemented and is not integrated with the National Statistical Committee's reporting system. In addition, it is necessary to ensure the possibility of information exchange and analysis between HIV and TB information systems in order to make timely decisions and provide effective integrated services.</w:t>
      </w:r>
    </w:p>
    <w:p w14:paraId="2E49F1F1" w14:textId="77777777" w:rsidR="005525AC" w:rsidRPr="00055FAE" w:rsidRDefault="005525AC" w:rsidP="005525AC">
      <w:pPr>
        <w:jc w:val="both"/>
        <w:rPr>
          <w:b/>
          <w:sz w:val="24"/>
          <w:szCs w:val="24"/>
        </w:rPr>
      </w:pPr>
      <w:r w:rsidRPr="00055FAE">
        <w:rPr>
          <w:b/>
          <w:sz w:val="24"/>
          <w:szCs w:val="24"/>
          <w:lang w:val="en"/>
        </w:rPr>
        <w:t>Preventive program services</w:t>
      </w:r>
    </w:p>
    <w:p w14:paraId="65D367B1" w14:textId="39F36D18" w:rsidR="005525AC" w:rsidRPr="00055FAE" w:rsidRDefault="005525AC" w:rsidP="005525AC">
      <w:pPr>
        <w:widowControl w:val="0"/>
        <w:spacing w:line="240" w:lineRule="auto"/>
        <w:jc w:val="both"/>
        <w:rPr>
          <w:sz w:val="24"/>
          <w:szCs w:val="24"/>
        </w:rPr>
      </w:pPr>
      <w:r w:rsidRPr="00055FAE">
        <w:rPr>
          <w:sz w:val="24"/>
          <w:szCs w:val="24"/>
          <w:lang w:val="en"/>
        </w:rPr>
        <w:t xml:space="preserve">The HIV and TB treatment component is largely integrated at the primary level, but prevention programs are mainly implemented through NGOs, which until recently were not part of integrated services at the level of primary health care to the population. Mechanisms for the provision of services through the state social </w:t>
      </w:r>
      <w:r w:rsidR="00857616">
        <w:rPr>
          <w:sz w:val="24"/>
          <w:szCs w:val="24"/>
          <w:lang w:val="en"/>
        </w:rPr>
        <w:t>contracting</w:t>
      </w:r>
      <w:r w:rsidRPr="00055FAE">
        <w:rPr>
          <w:sz w:val="24"/>
          <w:szCs w:val="24"/>
          <w:lang w:val="en"/>
        </w:rPr>
        <w:t xml:space="preserve"> in the healthcare system have been introduced in the field of HIV since 2018 and will begin to be introduced in the field of TB services in 2023. At the same time, despite the allocation of funds from the state budget for social contracting for HIV programs, the attractiveness of projects within the </w:t>
      </w:r>
      <w:r w:rsidR="00821999" w:rsidRPr="00055FAE">
        <w:rPr>
          <w:sz w:val="24"/>
          <w:szCs w:val="24"/>
          <w:lang w:val="en"/>
        </w:rPr>
        <w:t xml:space="preserve">state social </w:t>
      </w:r>
      <w:r w:rsidR="00821999">
        <w:rPr>
          <w:sz w:val="24"/>
          <w:szCs w:val="24"/>
          <w:lang w:val="en"/>
        </w:rPr>
        <w:t>contracting</w:t>
      </w:r>
      <w:r w:rsidR="00821999" w:rsidRPr="00055FAE">
        <w:rPr>
          <w:sz w:val="24"/>
          <w:szCs w:val="24"/>
          <w:lang w:val="en"/>
        </w:rPr>
        <w:t xml:space="preserve"> </w:t>
      </w:r>
      <w:r w:rsidRPr="00055FAE">
        <w:rPr>
          <w:sz w:val="24"/>
          <w:szCs w:val="24"/>
          <w:lang w:val="en"/>
        </w:rPr>
        <w:t>remains low, since wages in these projects are low, there are no approved standards of services in this area, mechanisms have not been developed to ensure the confidentiality of program clients, NGOs do not have practice working with government agencies. At the same time, the structure of the budget cycle creates high risks for interrupting services due to the fact that funding</w:t>
      </w:r>
      <w:r w:rsidR="008D52E4">
        <w:rPr>
          <w:sz w:val="24"/>
          <w:szCs w:val="24"/>
          <w:lang w:val="en"/>
        </w:rPr>
        <w:t xml:space="preserve"> </w:t>
      </w:r>
      <w:r w:rsidRPr="00055FAE">
        <w:rPr>
          <w:sz w:val="24"/>
          <w:szCs w:val="24"/>
          <w:lang w:val="en"/>
        </w:rPr>
        <w:t>is allocated on an annual basis, which means that</w:t>
      </w:r>
      <w:r w:rsidR="008D52E4">
        <w:rPr>
          <w:sz w:val="24"/>
          <w:szCs w:val="24"/>
          <w:lang w:val="en"/>
        </w:rPr>
        <w:t xml:space="preserve"> </w:t>
      </w:r>
      <w:r w:rsidRPr="00055FAE">
        <w:rPr>
          <w:sz w:val="24"/>
          <w:szCs w:val="24"/>
          <w:lang w:val="en"/>
        </w:rPr>
        <w:t>tenders can be held in April-May and projects should be completed in December.</w:t>
      </w:r>
    </w:p>
    <w:p w14:paraId="7A3DD387" w14:textId="77777777" w:rsidR="005525AC" w:rsidRPr="0024114E" w:rsidRDefault="005525AC" w:rsidP="005525AC">
      <w:pPr>
        <w:jc w:val="both"/>
        <w:rPr>
          <w:b/>
          <w:sz w:val="24"/>
          <w:szCs w:val="24"/>
        </w:rPr>
      </w:pPr>
      <w:r w:rsidRPr="0024114E">
        <w:rPr>
          <w:b/>
          <w:sz w:val="24"/>
          <w:szCs w:val="24"/>
          <w:lang w:val="en"/>
        </w:rPr>
        <w:t>Provision of personal medicine and medical products</w:t>
      </w:r>
    </w:p>
    <w:p w14:paraId="30E8E744" w14:textId="3543A420" w:rsidR="005525AC" w:rsidRPr="0024114E" w:rsidRDefault="005525AC" w:rsidP="005525AC">
      <w:pPr>
        <w:widowControl w:val="0"/>
        <w:spacing w:line="240" w:lineRule="auto"/>
        <w:jc w:val="both"/>
        <w:rPr>
          <w:sz w:val="24"/>
          <w:szCs w:val="24"/>
        </w:rPr>
      </w:pPr>
      <w:r w:rsidRPr="0024114E">
        <w:rPr>
          <w:sz w:val="24"/>
          <w:szCs w:val="24"/>
          <w:lang w:val="en"/>
        </w:rPr>
        <w:t xml:space="preserve">Since 2019, the state procurement of ARV drugs, tests and reagents in the field of HIV is expanding. More than 80% of the demand is covered by the state budget. In 2022, additional funds were allocated and the state procurement of the 2nd-line TB drugs was expanded. In order to create favorable conditions, plans for the transition to state funding of HIV and TB programs were approved. In 2018, the list of essential medicines was revised and clinical treatment protocols are regularly updated. The circulation of medicines and medical devices in the Kyrgyz Republic is regulated by the law "On circulation of medicines" and "On circulation of medical procurement". These laws were revised and adopted by the country's parliament in 2018. They envisage a number of opportunities to expand market access for drugs, including accelerated </w:t>
      </w:r>
      <w:r w:rsidRPr="0024114E">
        <w:rPr>
          <w:sz w:val="24"/>
          <w:szCs w:val="24"/>
          <w:lang w:val="en"/>
        </w:rPr>
        <w:lastRenderedPageBreak/>
        <w:t xml:space="preserve">registration of drugs from countries with strong regulatory practices, exemption from payment of fees for drugs to treat socially significant diseases, admission to the market of drugs without registration by the decision of the commission and determined by the Government. The use of these opportunities </w:t>
      </w:r>
      <w:r w:rsidR="002345BF">
        <w:rPr>
          <w:sz w:val="24"/>
          <w:szCs w:val="24"/>
          <w:lang w:val="en"/>
        </w:rPr>
        <w:t>for</w:t>
      </w:r>
      <w:r w:rsidRPr="0024114E">
        <w:rPr>
          <w:sz w:val="24"/>
          <w:szCs w:val="24"/>
          <w:lang w:val="en"/>
        </w:rPr>
        <w:t xml:space="preserve"> registration of ARV drugs has significantly expanded the list of high-quality ARV drugs available on the local market, which, in turn, has allowed to achieve a significant reduction in the cost of public procurement of ARV drugs. At the same time, in 2021 the Unified Drug Policy of the EEU countries came into force, which significantly reduced the possibility of registering new drugs and created high risks of reregistration of existing drugs. To overcome these risks, the law "On Circulation of Medicines" is being revised and the Government has issued a decree allowing the return of national registration procedures for strategic and vital medicines.</w:t>
      </w:r>
    </w:p>
    <w:p w14:paraId="71FCF40A" w14:textId="77777777" w:rsidR="005525AC" w:rsidRPr="0024114E" w:rsidRDefault="005525AC" w:rsidP="005525AC">
      <w:pPr>
        <w:widowControl w:val="0"/>
        <w:spacing w:line="240" w:lineRule="auto"/>
        <w:jc w:val="both"/>
        <w:rPr>
          <w:sz w:val="24"/>
          <w:szCs w:val="24"/>
        </w:rPr>
      </w:pPr>
      <w:r w:rsidRPr="0024114E">
        <w:rPr>
          <w:sz w:val="24"/>
          <w:szCs w:val="24"/>
          <w:lang w:val="en"/>
        </w:rPr>
        <w:t>In 2022, the law "On public procurement" was revised again, allowing the procurement of life-saving drugs through international platforms. Currently, preparations are underway for the adoption of subordinate regulations that will determine the mechanism for the procurement of medicines through UN agencies.</w:t>
      </w:r>
    </w:p>
    <w:p w14:paraId="102B29C2" w14:textId="77777777" w:rsidR="005525AC" w:rsidRPr="00946953" w:rsidRDefault="005525AC" w:rsidP="007F3B67">
      <w:pPr>
        <w:jc w:val="both"/>
        <w:rPr>
          <w:b/>
          <w:sz w:val="24"/>
          <w:szCs w:val="24"/>
        </w:rPr>
      </w:pPr>
      <w:r w:rsidRPr="00946953">
        <w:rPr>
          <w:b/>
          <w:sz w:val="24"/>
          <w:szCs w:val="24"/>
          <w:lang w:val="en"/>
        </w:rPr>
        <w:t>Laboratory systems.</w:t>
      </w:r>
    </w:p>
    <w:p w14:paraId="62EDB058" w14:textId="0A1BA3ED" w:rsidR="005525AC" w:rsidRPr="00946953" w:rsidRDefault="005525AC" w:rsidP="005525AC">
      <w:pPr>
        <w:widowControl w:val="0"/>
        <w:spacing w:line="240" w:lineRule="auto"/>
        <w:jc w:val="both"/>
        <w:rPr>
          <w:sz w:val="24"/>
          <w:szCs w:val="24"/>
        </w:rPr>
      </w:pPr>
      <w:r w:rsidRPr="00946953">
        <w:rPr>
          <w:sz w:val="24"/>
          <w:szCs w:val="24"/>
          <w:lang w:val="en"/>
        </w:rPr>
        <w:t xml:space="preserve">In the Kyrgyz Republic, there are national, regional and district levels of laboratories for the diagnosis of HIV and </w:t>
      </w:r>
      <w:r w:rsidR="003B36F1">
        <w:rPr>
          <w:sz w:val="24"/>
          <w:szCs w:val="24"/>
          <w:lang w:val="en"/>
        </w:rPr>
        <w:t>TB</w:t>
      </w:r>
      <w:r w:rsidRPr="00946953">
        <w:rPr>
          <w:sz w:val="24"/>
          <w:szCs w:val="24"/>
          <w:lang w:val="en"/>
        </w:rPr>
        <w:t>. In the context of the tasks set, modern laboratory methods for determining HIV status and monitoring the course of HIV infection (RDT, ELISA, PCR, etc.) are used. The joint use of GeneXpert platforms for HIV and TB diagnostics has been introduced everywhere as part of the decentralization of services to the PHC level. HIV drug resistance and tropism are determined by genotyping.</w:t>
      </w:r>
    </w:p>
    <w:p w14:paraId="53931B00" w14:textId="5AC4AD9E" w:rsidR="005525AC" w:rsidRPr="00946953" w:rsidRDefault="005525AC" w:rsidP="005525AC">
      <w:pPr>
        <w:widowControl w:val="0"/>
        <w:spacing w:line="240" w:lineRule="auto"/>
        <w:jc w:val="both"/>
        <w:rPr>
          <w:sz w:val="24"/>
          <w:szCs w:val="24"/>
        </w:rPr>
      </w:pPr>
      <w:r w:rsidRPr="00946953">
        <w:rPr>
          <w:sz w:val="24"/>
          <w:szCs w:val="24"/>
          <w:lang w:val="en"/>
        </w:rPr>
        <w:t xml:space="preserve">Standardization of all stages of the laboratory process (pre-analytical, analytical, and post-analytical) and measures to manage the main elements of the quality system are implemented in all laboratories </w:t>
      </w:r>
      <w:r w:rsidR="005B1BD5">
        <w:rPr>
          <w:sz w:val="24"/>
          <w:szCs w:val="24"/>
          <w:lang w:val="en"/>
        </w:rPr>
        <w:t>In line with</w:t>
      </w:r>
      <w:r w:rsidRPr="00946953">
        <w:rPr>
          <w:sz w:val="24"/>
          <w:szCs w:val="24"/>
          <w:lang w:val="en"/>
        </w:rPr>
        <w:t xml:space="preserve"> the standard "Collection of standard operating procedures for laboratory diagnosis of HIV infection" (Order of the Ministry of Health No. 637 of 26.11.14). </w:t>
      </w:r>
    </w:p>
    <w:p w14:paraId="4D7FB294" w14:textId="77777777" w:rsidR="005525AC" w:rsidRPr="00946953" w:rsidRDefault="005525AC" w:rsidP="005525AC">
      <w:pPr>
        <w:widowControl w:val="0"/>
        <w:spacing w:line="240" w:lineRule="auto"/>
        <w:jc w:val="both"/>
        <w:rPr>
          <w:sz w:val="24"/>
          <w:szCs w:val="24"/>
        </w:rPr>
      </w:pPr>
      <w:r w:rsidRPr="00946953">
        <w:rPr>
          <w:rFonts w:cstheme="minorHAnsi"/>
          <w:sz w:val="24"/>
          <w:szCs w:val="24"/>
          <w:lang w:val="en"/>
        </w:rPr>
        <w:t>RCCHVHHIV annually evaluates the implementation of the HIV diagnosis algorithm in 34 HIV Diagnostic Laboratories of the country, in the RDT sites of NGOs, mobile sites and maternity wards. The assessment reports are communicated to the management of regional and city AIDS prevention and control centers, laboratory staff, and other stakeholders, which serve as the basis for taking measures to improve HIV diagnosis. Every year, the RCCHVHHIV laboratory participates in international external quality assessment programs.</w:t>
      </w:r>
    </w:p>
    <w:p w14:paraId="36F2C0F7" w14:textId="77777777" w:rsidR="005525AC" w:rsidRPr="00946953" w:rsidRDefault="005525AC" w:rsidP="005525AC">
      <w:pPr>
        <w:widowControl w:val="0"/>
        <w:spacing w:line="240" w:lineRule="auto"/>
        <w:jc w:val="both"/>
        <w:rPr>
          <w:sz w:val="24"/>
          <w:szCs w:val="24"/>
        </w:rPr>
      </w:pPr>
      <w:r w:rsidRPr="00946953">
        <w:rPr>
          <w:sz w:val="24"/>
          <w:szCs w:val="24"/>
          <w:lang w:val="en"/>
        </w:rPr>
        <w:t xml:space="preserve">A number of regulatory documents have been developed and approved in the framework of quality control and quality assurance for HIV diagnosis in the country. Order of the Ministry of Health of the Kyrgyz Republic No. 530 dated 17.04.2019 "On approval of the program for rapid HIV testing in the Kyrgyz Republic", Order of the Ministry of Health of the Kyrgyz Republic № 728 from 28.06.2019. "On approval of the "Methodological Guide for rapid testing for HIV in the Kyrgyz Republic", "Guidelines for certification of specialists and organizations that perform rapid testing for HIV in the Kyrgyz Republic" and "Collection of standard operating procedures for rapid testing for HIV in the Kyrgyz Republic". The existing national external quality assessment program for 2018-2019 is conducted under a cooperative agreement between RCCHVHHIV (at the time of the agreement, </w:t>
      </w:r>
      <w:r w:rsidRPr="00F95C32">
        <w:rPr>
          <w:sz w:val="24"/>
          <w:szCs w:val="24"/>
          <w:lang w:val="en"/>
        </w:rPr>
        <w:t>Republican AIDS Center</w:t>
      </w:r>
      <w:r w:rsidRPr="00946953">
        <w:rPr>
          <w:sz w:val="24"/>
          <w:szCs w:val="24"/>
          <w:lang w:val="en"/>
        </w:rPr>
        <w:t xml:space="preserve"> of the MoH) and CDC (USA) and covers 25% of all existing ET sites/stations. For the full implementation of ET programs, additional funding is required under the GF grant.</w:t>
      </w:r>
    </w:p>
    <w:p w14:paraId="19E19E79" w14:textId="77777777" w:rsidR="005525AC" w:rsidRPr="0095117D" w:rsidRDefault="005525AC" w:rsidP="005525AC">
      <w:pPr>
        <w:widowControl w:val="0"/>
        <w:spacing w:line="240" w:lineRule="auto"/>
        <w:jc w:val="both"/>
        <w:rPr>
          <w:sz w:val="24"/>
          <w:szCs w:val="24"/>
        </w:rPr>
      </w:pPr>
      <w:r w:rsidRPr="0095117D">
        <w:rPr>
          <w:sz w:val="24"/>
          <w:szCs w:val="24"/>
          <w:lang w:val="en"/>
        </w:rPr>
        <w:t>Digitalization and integration of the laboratory information system on HIV and TB into national health information systems has not been completed.</w:t>
      </w:r>
    </w:p>
    <w:p w14:paraId="7F893A28" w14:textId="7537CB39" w:rsidR="005525AC" w:rsidRPr="0095117D" w:rsidRDefault="005525AC" w:rsidP="005525AC">
      <w:pPr>
        <w:widowControl w:val="0"/>
        <w:spacing w:line="240" w:lineRule="auto"/>
        <w:jc w:val="both"/>
        <w:rPr>
          <w:sz w:val="24"/>
          <w:szCs w:val="24"/>
        </w:rPr>
      </w:pPr>
      <w:r w:rsidRPr="0095117D">
        <w:rPr>
          <w:sz w:val="24"/>
          <w:szCs w:val="24"/>
          <w:lang w:val="en"/>
        </w:rPr>
        <w:t xml:space="preserve">Laboratory equipment was installed in 2009-2011 through the </w:t>
      </w:r>
      <w:proofErr w:type="spellStart"/>
      <w:r w:rsidRPr="0095117D">
        <w:rPr>
          <w:sz w:val="24"/>
          <w:szCs w:val="24"/>
          <w:lang w:val="en"/>
        </w:rPr>
        <w:t>KfW</w:t>
      </w:r>
      <w:proofErr w:type="spellEnd"/>
      <w:r w:rsidRPr="0095117D">
        <w:rPr>
          <w:sz w:val="24"/>
          <w:szCs w:val="24"/>
          <w:lang w:val="en"/>
        </w:rPr>
        <w:t xml:space="preserve"> project.</w:t>
      </w:r>
      <w:r w:rsidR="00422F6C">
        <w:rPr>
          <w:sz w:val="24"/>
          <w:szCs w:val="24"/>
          <w:lang w:val="en"/>
        </w:rPr>
        <w:t xml:space="preserve"> </w:t>
      </w:r>
      <w:r w:rsidRPr="0095117D">
        <w:rPr>
          <w:sz w:val="24"/>
          <w:szCs w:val="24"/>
          <w:lang w:val="en"/>
        </w:rPr>
        <w:t xml:space="preserve">Maintenance of </w:t>
      </w:r>
      <w:r w:rsidR="006332F4">
        <w:rPr>
          <w:sz w:val="24"/>
          <w:szCs w:val="24"/>
          <w:lang w:val="en"/>
        </w:rPr>
        <w:t xml:space="preserve">greatly depreciated </w:t>
      </w:r>
      <w:r w:rsidRPr="0095117D">
        <w:rPr>
          <w:sz w:val="24"/>
          <w:szCs w:val="24"/>
          <w:lang w:val="en"/>
        </w:rPr>
        <w:t xml:space="preserve">laboratory equipment is not provided </w:t>
      </w:r>
      <w:r w:rsidR="00F623E1">
        <w:rPr>
          <w:sz w:val="24"/>
          <w:szCs w:val="24"/>
          <w:lang w:val="en"/>
        </w:rPr>
        <w:t>from</w:t>
      </w:r>
      <w:r w:rsidRPr="0095117D">
        <w:rPr>
          <w:sz w:val="24"/>
          <w:szCs w:val="24"/>
          <w:lang w:val="en"/>
        </w:rPr>
        <w:t xml:space="preserve"> the state budget, moreover, the number </w:t>
      </w:r>
      <w:r w:rsidRPr="0095117D">
        <w:rPr>
          <w:sz w:val="24"/>
          <w:szCs w:val="24"/>
          <w:lang w:val="en"/>
        </w:rPr>
        <w:lastRenderedPageBreak/>
        <w:t xml:space="preserve">of laboratory equipment maintenance engineers is limited in the country. </w:t>
      </w:r>
      <w:r w:rsidR="00C1315C">
        <w:rPr>
          <w:sz w:val="24"/>
          <w:szCs w:val="24"/>
          <w:lang w:val="en"/>
        </w:rPr>
        <w:t>S</w:t>
      </w:r>
      <w:r w:rsidRPr="0095117D">
        <w:rPr>
          <w:sz w:val="24"/>
          <w:szCs w:val="24"/>
          <w:lang w:val="en"/>
        </w:rPr>
        <w:t xml:space="preserve">upport is required for the maintenance of laboratory equipment with the development of funding mechanisms from the state budget and the training of a pool of engineers for the maintenance of laboratory equipment for healthcare organizations on HIV and TB issues. </w:t>
      </w:r>
    </w:p>
    <w:p w14:paraId="4E890532" w14:textId="77777777" w:rsidR="005525AC" w:rsidRPr="00013ACE" w:rsidRDefault="005525AC" w:rsidP="005525AC">
      <w:pPr>
        <w:jc w:val="both"/>
        <w:rPr>
          <w:b/>
          <w:sz w:val="24"/>
          <w:szCs w:val="24"/>
        </w:rPr>
      </w:pPr>
      <w:r w:rsidRPr="00013ACE">
        <w:rPr>
          <w:b/>
          <w:sz w:val="24"/>
          <w:szCs w:val="24"/>
          <w:lang w:val="en"/>
        </w:rPr>
        <w:t>Strengthening community systems</w:t>
      </w:r>
    </w:p>
    <w:p w14:paraId="799921F5" w14:textId="6B67D731" w:rsidR="005525AC" w:rsidRPr="00013ACE" w:rsidRDefault="0079001F" w:rsidP="005525AC">
      <w:pPr>
        <w:widowControl w:val="0"/>
        <w:spacing w:line="240" w:lineRule="auto"/>
        <w:jc w:val="both"/>
        <w:rPr>
          <w:sz w:val="24"/>
          <w:szCs w:val="24"/>
        </w:rPr>
      </w:pPr>
      <w:r>
        <w:rPr>
          <w:sz w:val="24"/>
          <w:szCs w:val="24"/>
          <w:lang w:val="en"/>
        </w:rPr>
        <w:t>NGOs</w:t>
      </w:r>
      <w:r w:rsidR="005525AC" w:rsidRPr="00013ACE">
        <w:rPr>
          <w:sz w:val="24"/>
          <w:szCs w:val="24"/>
          <w:lang w:val="en"/>
        </w:rPr>
        <w:t xml:space="preserve"> and </w:t>
      </w:r>
      <w:r>
        <w:rPr>
          <w:sz w:val="24"/>
          <w:szCs w:val="24"/>
          <w:lang w:val="en"/>
        </w:rPr>
        <w:t>CBO</w:t>
      </w:r>
      <w:r w:rsidR="005525AC" w:rsidRPr="00013ACE">
        <w:rPr>
          <w:sz w:val="24"/>
          <w:szCs w:val="24"/>
          <w:lang w:val="en"/>
        </w:rPr>
        <w:t xml:space="preserve"> that carry out their activities in the field of HIV and TB </w:t>
      </w:r>
      <w:r w:rsidR="00067D12">
        <w:rPr>
          <w:sz w:val="24"/>
          <w:szCs w:val="24"/>
          <w:lang w:val="en"/>
        </w:rPr>
        <w:t>play a meaningful role</w:t>
      </w:r>
      <w:r w:rsidR="005525AC" w:rsidRPr="00013ACE">
        <w:rPr>
          <w:sz w:val="24"/>
          <w:szCs w:val="24"/>
          <w:lang w:val="en"/>
        </w:rPr>
        <w:t xml:space="preserve"> in the system of providing services in the field of HIV and TB. More than 20 NGOs are implementing HIV and TB prevention, care, and support programs. Representatives of the community and the </w:t>
      </w:r>
      <w:r w:rsidR="00A45D4E">
        <w:rPr>
          <w:sz w:val="24"/>
          <w:szCs w:val="24"/>
          <w:lang w:val="en"/>
        </w:rPr>
        <w:t>NGO</w:t>
      </w:r>
      <w:r w:rsidR="005525AC" w:rsidRPr="00013ACE">
        <w:rPr>
          <w:sz w:val="24"/>
          <w:szCs w:val="24"/>
          <w:lang w:val="en"/>
        </w:rPr>
        <w:t xml:space="preserve"> sector are members of CCMs, and public councils under ministries, and participate in almost all working groups to develop strategies, policies, and regulations related to HIV and TB. For several years, they have been monitoring programs using electronic systems for documenting rights violations </w:t>
      </w:r>
      <w:proofErr w:type="spellStart"/>
      <w:r w:rsidR="005525AC" w:rsidRPr="00013ACE">
        <w:rPr>
          <w:sz w:val="24"/>
          <w:szCs w:val="24"/>
          <w:lang w:val="en"/>
        </w:rPr>
        <w:t>REAct</w:t>
      </w:r>
      <w:proofErr w:type="spellEnd"/>
      <w:r w:rsidR="005525AC" w:rsidRPr="00013ACE">
        <w:rPr>
          <w:sz w:val="24"/>
          <w:szCs w:val="24"/>
          <w:lang w:val="en"/>
        </w:rPr>
        <w:t xml:space="preserve">, </w:t>
      </w:r>
      <w:proofErr w:type="spellStart"/>
      <w:r w:rsidR="005525AC" w:rsidRPr="00013ACE">
        <w:rPr>
          <w:sz w:val="24"/>
          <w:szCs w:val="24"/>
          <w:lang w:val="en"/>
        </w:rPr>
        <w:t>OneImpact</w:t>
      </w:r>
      <w:proofErr w:type="spellEnd"/>
      <w:r w:rsidR="005525AC" w:rsidRPr="00013ACE">
        <w:rPr>
          <w:sz w:val="24"/>
          <w:szCs w:val="24"/>
          <w:lang w:val="en"/>
        </w:rPr>
        <w:t>, pereboi.kg, and conducting regular monitoring of public procurement in the area of HIV and TB. With the support of the civil sector, a number of key measures have been initiated and implemented to ensure the sustainability of programs, including revisions of legislation in the field of drug circulation, public procurement, the introduction of a state social order, etc.</w:t>
      </w:r>
    </w:p>
    <w:p w14:paraId="02B8A932" w14:textId="77777777" w:rsidR="005525AC" w:rsidRPr="00013ACE" w:rsidRDefault="005525AC" w:rsidP="005525AC">
      <w:pPr>
        <w:widowControl w:val="0"/>
        <w:spacing w:line="240" w:lineRule="auto"/>
        <w:jc w:val="both"/>
        <w:rPr>
          <w:sz w:val="24"/>
          <w:szCs w:val="24"/>
        </w:rPr>
      </w:pPr>
      <w:r w:rsidRPr="00013ACE">
        <w:rPr>
          <w:sz w:val="24"/>
          <w:szCs w:val="24"/>
          <w:lang w:val="en"/>
        </w:rPr>
        <w:t>The country's legislation offers a number of mechanisms to increase community participation in country processes, including the laws "On non-profit organizations", "On public councils" and "On boards of trustees". Unfortunately, over the past 2 years, a number of legislative initiatives have been taken that may narrow the space for NGOs to work and pose a risk to the provision of HIV and TB services. Changes were initiated in the law "On non-profit organizations," which could lead to the closure of a number of organizations, and it was also proposed to repeal the law "On public councils," which would preclude the involvement of the civil sector in the management of health systems. In this context, it is necessary to provide measures to improve the organizational development of NGOs, which will reduce the risk of their closure and expand the participation and role of CCMs in the implementation of health programs in general, and not only in connection with HIV and TB.</w:t>
      </w:r>
    </w:p>
    <w:p w14:paraId="013F99F1" w14:textId="77777777" w:rsidR="005525AC" w:rsidRPr="0097474A" w:rsidRDefault="005525AC" w:rsidP="005525AC">
      <w:pPr>
        <w:widowControl w:val="0"/>
        <w:spacing w:line="240" w:lineRule="auto"/>
        <w:jc w:val="both"/>
        <w:rPr>
          <w:sz w:val="24"/>
          <w:szCs w:val="24"/>
        </w:rPr>
      </w:pPr>
      <w:r w:rsidRPr="0097474A">
        <w:rPr>
          <w:sz w:val="24"/>
          <w:szCs w:val="24"/>
          <w:lang w:val="en"/>
        </w:rPr>
        <w:t xml:space="preserve">At the same time, the potential of civil sector organizations and communities to ensure changes in the identified problems remains insufficient, advocacy potential is limited by the lack of skills to work with state bodies, lack of knowledge of the mechanisms of work of state bodies. There is often no or insufficient motivation for advocacy. Some community organizations, for example, communities of transgender people, are young and need institutional support. The need to ensure access to young representatives of key groups requires the involvement of young employees in organizations, which requires subsequent training and skills formation. </w:t>
      </w:r>
    </w:p>
    <w:p w14:paraId="3B666DC4" w14:textId="22D7C881" w:rsidR="00F628A6" w:rsidRPr="005525AC" w:rsidRDefault="005525AC" w:rsidP="0097474A">
      <w:pPr>
        <w:widowControl w:val="0"/>
        <w:spacing w:line="240" w:lineRule="auto"/>
        <w:jc w:val="both"/>
        <w:rPr>
          <w:color w:val="000000" w:themeColor="text1"/>
        </w:rPr>
      </w:pPr>
      <w:r w:rsidRPr="0097474A">
        <w:rPr>
          <w:sz w:val="24"/>
          <w:szCs w:val="24"/>
          <w:lang w:val="en"/>
        </w:rPr>
        <w:t>At the same time, the need to effectively use state and donor funds, to improve the quality of services, requires a more in-depth approach to research and monitoring of procurement, and the quality-of-service delivery. The results of these studies can be the basis for government agencies to implement changes.</w:t>
      </w:r>
    </w:p>
    <w:p w14:paraId="2963C472" w14:textId="0E588B82" w:rsidR="003421D9" w:rsidRDefault="00EF60E7" w:rsidP="0026062D">
      <w:pPr>
        <w:pStyle w:val="BodyText"/>
        <w:widowControl w:val="0"/>
        <w:numPr>
          <w:ilvl w:val="1"/>
          <w:numId w:val="22"/>
        </w:numPr>
        <w:spacing w:line="240" w:lineRule="auto"/>
        <w:jc w:val="both"/>
        <w:rPr>
          <w:color w:val="000000" w:themeColor="text1"/>
        </w:rPr>
      </w:pPr>
      <w:r w:rsidRPr="00EF60E7">
        <w:rPr>
          <w:b/>
          <w:bCs/>
          <w:color w:val="000000" w:themeColor="text1"/>
        </w:rPr>
        <w:t xml:space="preserve">Focus of Application Requirement: </w:t>
      </w:r>
      <w:r w:rsidR="00BB669A">
        <w:rPr>
          <w:color w:val="000000" w:themeColor="text1"/>
        </w:rPr>
        <w:t>D</w:t>
      </w:r>
      <w:r w:rsidR="003421D9">
        <w:rPr>
          <w:color w:val="000000" w:themeColor="text1"/>
        </w:rPr>
        <w:t>escribe</w:t>
      </w:r>
      <w:r w:rsidR="003421D9" w:rsidRPr="00DC7A6B">
        <w:rPr>
          <w:color w:val="000000" w:themeColor="text1"/>
        </w:rPr>
        <w:t xml:space="preserve"> how the </w:t>
      </w:r>
      <w:r w:rsidR="002D3C6F">
        <w:rPr>
          <w:color w:val="000000" w:themeColor="text1"/>
        </w:rPr>
        <w:t>f</w:t>
      </w:r>
      <w:r w:rsidR="003421D9" w:rsidRPr="003421D9">
        <w:rPr>
          <w:color w:val="000000" w:themeColor="text1"/>
        </w:rPr>
        <w:t xml:space="preserve">unding </w:t>
      </w:r>
      <w:r w:rsidR="002D3C6F">
        <w:rPr>
          <w:color w:val="000000" w:themeColor="text1"/>
        </w:rPr>
        <w:t>r</w:t>
      </w:r>
      <w:r w:rsidR="003421D9" w:rsidRPr="003421D9">
        <w:rPr>
          <w:color w:val="000000" w:themeColor="text1"/>
        </w:rPr>
        <w:t xml:space="preserve">equest complies with the </w:t>
      </w:r>
      <w:r w:rsidR="00BA7118">
        <w:rPr>
          <w:color w:val="000000" w:themeColor="text1"/>
        </w:rPr>
        <w:t>focus of application requirement</w:t>
      </w:r>
      <w:r w:rsidR="00C4146C">
        <w:rPr>
          <w:color w:val="000000" w:themeColor="text1"/>
        </w:rPr>
        <w:t>s</w:t>
      </w:r>
      <w:r w:rsidR="00886E16">
        <w:rPr>
          <w:color w:val="000000" w:themeColor="text1"/>
        </w:rPr>
        <w:t xml:space="preserve"> </w:t>
      </w:r>
      <w:r w:rsidR="003421D9" w:rsidRPr="003421D9">
        <w:rPr>
          <w:color w:val="000000" w:themeColor="text1"/>
        </w:rPr>
        <w:t xml:space="preserve">specified in </w:t>
      </w:r>
      <w:r w:rsidR="00942869">
        <w:rPr>
          <w:color w:val="000000" w:themeColor="text1"/>
        </w:rPr>
        <w:t>the</w:t>
      </w:r>
      <w:r w:rsidR="003421D9" w:rsidRPr="003421D9">
        <w:rPr>
          <w:color w:val="000000" w:themeColor="text1"/>
        </w:rPr>
        <w:t xml:space="preserve"> </w:t>
      </w:r>
      <w:r w:rsidR="0025042D">
        <w:rPr>
          <w:color w:val="000000" w:themeColor="text1"/>
        </w:rPr>
        <w:t>A</w:t>
      </w:r>
      <w:r w:rsidR="003421D9" w:rsidRPr="003421D9">
        <w:rPr>
          <w:color w:val="000000" w:themeColor="text1"/>
        </w:rPr>
        <w:t xml:space="preserve">llocation </w:t>
      </w:r>
      <w:r w:rsidR="0025042D">
        <w:rPr>
          <w:color w:val="000000" w:themeColor="text1"/>
        </w:rPr>
        <w:t>L</w:t>
      </w:r>
      <w:r w:rsidR="003421D9" w:rsidRPr="003421D9">
        <w:rPr>
          <w:color w:val="000000" w:themeColor="text1"/>
        </w:rPr>
        <w:t>etter</w:t>
      </w:r>
      <w:r w:rsidR="00DC3798">
        <w:rPr>
          <w:color w:val="000000" w:themeColor="text1"/>
        </w:rPr>
        <w:t>.</w:t>
      </w:r>
    </w:p>
    <w:p w14:paraId="48B33620" w14:textId="291B5320" w:rsidR="00BB3F29" w:rsidRPr="007F3B67" w:rsidRDefault="00BB3F29" w:rsidP="007F3B67">
      <w:pPr>
        <w:widowControl w:val="0"/>
        <w:spacing w:line="240" w:lineRule="auto"/>
        <w:jc w:val="both"/>
        <w:rPr>
          <w:sz w:val="24"/>
          <w:szCs w:val="24"/>
          <w:lang w:val="en"/>
        </w:rPr>
      </w:pPr>
      <w:r w:rsidRPr="007F3B67">
        <w:rPr>
          <w:sz w:val="24"/>
          <w:szCs w:val="24"/>
          <w:lang w:val="en"/>
        </w:rPr>
        <w:t xml:space="preserve">The funding request </w:t>
      </w:r>
      <w:r w:rsidR="003E1B75">
        <w:rPr>
          <w:sz w:val="24"/>
          <w:szCs w:val="24"/>
          <w:lang w:val="en"/>
        </w:rPr>
        <w:t>is based</w:t>
      </w:r>
      <w:r w:rsidRPr="007F3B67">
        <w:rPr>
          <w:sz w:val="24"/>
          <w:szCs w:val="24"/>
          <w:lang w:val="en"/>
        </w:rPr>
        <w:t xml:space="preserve"> </w:t>
      </w:r>
      <w:r w:rsidR="003E1B75">
        <w:rPr>
          <w:sz w:val="24"/>
          <w:szCs w:val="24"/>
          <w:lang w:val="en"/>
        </w:rPr>
        <w:t xml:space="preserve">on </w:t>
      </w:r>
      <w:r w:rsidRPr="007F3B67">
        <w:rPr>
          <w:sz w:val="24"/>
          <w:szCs w:val="24"/>
          <w:lang w:val="en"/>
        </w:rPr>
        <w:t>the recommendations of the GF's Allocation Letter</w:t>
      </w:r>
      <w:r w:rsidR="003E1B75">
        <w:rPr>
          <w:sz w:val="24"/>
          <w:szCs w:val="24"/>
          <w:lang w:val="en"/>
        </w:rPr>
        <w:t xml:space="preserve"> and Portfolio Analysis</w:t>
      </w:r>
      <w:r w:rsidRPr="007F3B67">
        <w:rPr>
          <w:sz w:val="24"/>
          <w:szCs w:val="24"/>
          <w:lang w:val="en"/>
        </w:rPr>
        <w:t>.</w:t>
      </w:r>
    </w:p>
    <w:p w14:paraId="1E30336F" w14:textId="03081F80" w:rsidR="00BB3F29" w:rsidRPr="007F3B67" w:rsidRDefault="00BB3F29" w:rsidP="007F3B67">
      <w:pPr>
        <w:widowControl w:val="0"/>
        <w:spacing w:line="240" w:lineRule="auto"/>
        <w:jc w:val="both"/>
        <w:rPr>
          <w:sz w:val="24"/>
          <w:szCs w:val="24"/>
          <w:lang w:val="en"/>
        </w:rPr>
      </w:pPr>
      <w:r w:rsidRPr="007F3B67">
        <w:rPr>
          <w:sz w:val="24"/>
          <w:szCs w:val="24"/>
          <w:lang w:val="en"/>
        </w:rPr>
        <w:t xml:space="preserve">More than 50% of the funding request is directed to HIV and TB </w:t>
      </w:r>
      <w:r w:rsidR="00F942C7">
        <w:rPr>
          <w:sz w:val="24"/>
          <w:szCs w:val="24"/>
          <w:lang w:val="en"/>
        </w:rPr>
        <w:t xml:space="preserve">activities </w:t>
      </w:r>
      <w:r w:rsidRPr="007F3B67">
        <w:rPr>
          <w:sz w:val="24"/>
          <w:szCs w:val="24"/>
          <w:lang w:val="en"/>
        </w:rPr>
        <w:t xml:space="preserve">for </w:t>
      </w:r>
      <w:r w:rsidR="00F942C7">
        <w:rPr>
          <w:sz w:val="24"/>
          <w:szCs w:val="24"/>
          <w:lang w:val="en"/>
        </w:rPr>
        <w:t>KPs</w:t>
      </w:r>
      <w:r w:rsidRPr="007F3B67">
        <w:rPr>
          <w:sz w:val="24"/>
          <w:szCs w:val="24"/>
          <w:lang w:val="en"/>
        </w:rPr>
        <w:t xml:space="preserve">. The </w:t>
      </w:r>
      <w:r w:rsidR="00F942C7">
        <w:rPr>
          <w:sz w:val="24"/>
          <w:szCs w:val="24"/>
          <w:lang w:val="en"/>
        </w:rPr>
        <w:t xml:space="preserve">RSSH </w:t>
      </w:r>
      <w:r w:rsidRPr="007F3B67">
        <w:rPr>
          <w:sz w:val="24"/>
          <w:szCs w:val="24"/>
          <w:lang w:val="en"/>
        </w:rPr>
        <w:t xml:space="preserve">modules are aimed at improving the overall results of the program for </w:t>
      </w:r>
      <w:r w:rsidR="00F942C7">
        <w:rPr>
          <w:sz w:val="24"/>
          <w:szCs w:val="24"/>
          <w:lang w:val="en"/>
        </w:rPr>
        <w:t>KP</w:t>
      </w:r>
      <w:r w:rsidRPr="007F3B67">
        <w:rPr>
          <w:sz w:val="24"/>
          <w:szCs w:val="24"/>
          <w:lang w:val="en"/>
        </w:rPr>
        <w:t xml:space="preserve">s </w:t>
      </w:r>
      <w:r w:rsidR="00F942C7">
        <w:rPr>
          <w:sz w:val="24"/>
          <w:szCs w:val="24"/>
          <w:lang w:val="en"/>
        </w:rPr>
        <w:t>with activities on</w:t>
      </w:r>
      <w:r w:rsidRPr="007F3B67">
        <w:rPr>
          <w:sz w:val="24"/>
          <w:szCs w:val="24"/>
          <w:lang w:val="en"/>
        </w:rPr>
        <w:t xml:space="preserve"> eliminating barriers, inequalities, and vulnerabilities in access to services related to human rights and gender issues.</w:t>
      </w:r>
    </w:p>
    <w:p w14:paraId="3A31D994" w14:textId="6F903540" w:rsidR="00BB3F29" w:rsidRPr="007F3B67" w:rsidRDefault="00BB3F29" w:rsidP="007F3B67">
      <w:pPr>
        <w:widowControl w:val="0"/>
        <w:spacing w:line="240" w:lineRule="auto"/>
        <w:jc w:val="both"/>
        <w:rPr>
          <w:sz w:val="24"/>
          <w:szCs w:val="24"/>
          <w:lang w:val="en"/>
        </w:rPr>
      </w:pPr>
      <w:r w:rsidRPr="007F3B67">
        <w:rPr>
          <w:sz w:val="24"/>
          <w:szCs w:val="24"/>
          <w:lang w:val="en"/>
        </w:rPr>
        <w:t xml:space="preserve">Activities in the field of </w:t>
      </w:r>
      <w:r w:rsidR="00B956ED">
        <w:rPr>
          <w:sz w:val="24"/>
          <w:szCs w:val="24"/>
          <w:lang w:val="en"/>
        </w:rPr>
        <w:t>TB</w:t>
      </w:r>
      <w:r w:rsidRPr="007F3B67">
        <w:rPr>
          <w:sz w:val="24"/>
          <w:szCs w:val="24"/>
          <w:lang w:val="en"/>
        </w:rPr>
        <w:t xml:space="preserve"> are primarily aimed at expanding the detection of </w:t>
      </w:r>
      <w:r w:rsidR="00651360">
        <w:rPr>
          <w:sz w:val="24"/>
          <w:szCs w:val="24"/>
          <w:lang w:val="en"/>
        </w:rPr>
        <w:t>TB</w:t>
      </w:r>
      <w:r w:rsidRPr="007F3B67">
        <w:rPr>
          <w:sz w:val="24"/>
          <w:szCs w:val="24"/>
          <w:lang w:val="en"/>
        </w:rPr>
        <w:t xml:space="preserve"> cases with an </w:t>
      </w:r>
      <w:r w:rsidRPr="007F3B67">
        <w:rPr>
          <w:sz w:val="24"/>
          <w:szCs w:val="24"/>
          <w:lang w:val="en"/>
        </w:rPr>
        <w:lastRenderedPageBreak/>
        <w:t xml:space="preserve">emphasis on the detection of DR-TB, with the broad involvement of </w:t>
      </w:r>
      <w:r w:rsidR="0095154E">
        <w:rPr>
          <w:sz w:val="24"/>
          <w:szCs w:val="24"/>
          <w:lang w:val="en"/>
        </w:rPr>
        <w:t>NGOs</w:t>
      </w:r>
      <w:r w:rsidRPr="007F3B67">
        <w:rPr>
          <w:sz w:val="24"/>
          <w:szCs w:val="24"/>
          <w:lang w:val="en"/>
        </w:rPr>
        <w:t xml:space="preserve"> in these activities. The country plans to accelerate the transition to new treatment regimens, including 6-month </w:t>
      </w:r>
      <w:proofErr w:type="spellStart"/>
      <w:r w:rsidRPr="007F3B67">
        <w:rPr>
          <w:sz w:val="24"/>
          <w:szCs w:val="24"/>
          <w:lang w:val="en"/>
        </w:rPr>
        <w:t>BPaL</w:t>
      </w:r>
      <w:proofErr w:type="spellEnd"/>
      <w:r w:rsidRPr="007F3B67">
        <w:rPr>
          <w:sz w:val="24"/>
          <w:szCs w:val="24"/>
          <w:lang w:val="en"/>
        </w:rPr>
        <w:t xml:space="preserve"> and </w:t>
      </w:r>
      <w:proofErr w:type="spellStart"/>
      <w:r w:rsidRPr="007F3B67">
        <w:rPr>
          <w:sz w:val="24"/>
          <w:szCs w:val="24"/>
          <w:lang w:val="en"/>
        </w:rPr>
        <w:t>BPaLM</w:t>
      </w:r>
      <w:proofErr w:type="spellEnd"/>
      <w:r w:rsidRPr="007F3B67">
        <w:rPr>
          <w:sz w:val="24"/>
          <w:szCs w:val="24"/>
          <w:lang w:val="en"/>
        </w:rPr>
        <w:t xml:space="preserve"> regimens and 9-month fully oral regimens, and by the end of the project, 60% of patients will receive such treatment. At the same time, the state funding of </w:t>
      </w:r>
      <w:r w:rsidR="00B71132">
        <w:rPr>
          <w:sz w:val="24"/>
          <w:szCs w:val="24"/>
          <w:lang w:val="en"/>
        </w:rPr>
        <w:t>TB</w:t>
      </w:r>
      <w:r w:rsidRPr="007F3B67">
        <w:rPr>
          <w:sz w:val="24"/>
          <w:szCs w:val="24"/>
          <w:lang w:val="en"/>
        </w:rPr>
        <w:t xml:space="preserve"> programs will expand, and more than 26% of the </w:t>
      </w:r>
      <w:r w:rsidR="00B71132">
        <w:rPr>
          <w:sz w:val="24"/>
          <w:szCs w:val="24"/>
          <w:lang w:val="en"/>
        </w:rPr>
        <w:t>SLD</w:t>
      </w:r>
      <w:r w:rsidRPr="007F3B67">
        <w:rPr>
          <w:sz w:val="24"/>
          <w:szCs w:val="24"/>
          <w:lang w:val="en"/>
        </w:rPr>
        <w:t xml:space="preserve"> will be purchased from the state budget. The request </w:t>
      </w:r>
      <w:r w:rsidR="00EA3B96">
        <w:rPr>
          <w:sz w:val="24"/>
          <w:szCs w:val="24"/>
          <w:lang w:val="en"/>
        </w:rPr>
        <w:t>pays attention to the</w:t>
      </w:r>
      <w:r w:rsidRPr="007F3B67">
        <w:rPr>
          <w:sz w:val="24"/>
          <w:szCs w:val="24"/>
          <w:lang w:val="en"/>
        </w:rPr>
        <w:t xml:space="preserve"> further strengthening of the </w:t>
      </w:r>
      <w:r w:rsidR="00EA3B96">
        <w:rPr>
          <w:sz w:val="24"/>
          <w:szCs w:val="24"/>
          <w:lang w:val="en"/>
        </w:rPr>
        <w:t xml:space="preserve">regional </w:t>
      </w:r>
      <w:r w:rsidRPr="007F3B67">
        <w:rPr>
          <w:sz w:val="24"/>
          <w:szCs w:val="24"/>
          <w:lang w:val="en"/>
        </w:rPr>
        <w:t>laboratory service</w:t>
      </w:r>
      <w:r w:rsidR="00EA3B96">
        <w:rPr>
          <w:sz w:val="24"/>
          <w:szCs w:val="24"/>
          <w:lang w:val="en"/>
        </w:rPr>
        <w:t xml:space="preserve"> (especially </w:t>
      </w:r>
      <w:r w:rsidRPr="007F3B67">
        <w:rPr>
          <w:sz w:val="24"/>
          <w:szCs w:val="24"/>
          <w:lang w:val="en"/>
        </w:rPr>
        <w:t>in the south of the country</w:t>
      </w:r>
      <w:r w:rsidR="00EA3B96">
        <w:rPr>
          <w:sz w:val="24"/>
          <w:szCs w:val="24"/>
          <w:lang w:val="en"/>
        </w:rPr>
        <w:t>, in Osh city)</w:t>
      </w:r>
      <w:r w:rsidRPr="007F3B67">
        <w:rPr>
          <w:sz w:val="24"/>
          <w:szCs w:val="24"/>
          <w:lang w:val="en"/>
        </w:rPr>
        <w:t xml:space="preserve">, </w:t>
      </w:r>
      <w:r w:rsidR="00EA3B96">
        <w:rPr>
          <w:sz w:val="24"/>
          <w:szCs w:val="24"/>
          <w:lang w:val="en"/>
        </w:rPr>
        <w:t xml:space="preserve">and </w:t>
      </w:r>
      <w:r w:rsidRPr="007F3B67">
        <w:rPr>
          <w:sz w:val="24"/>
          <w:szCs w:val="24"/>
          <w:lang w:val="en"/>
        </w:rPr>
        <w:t xml:space="preserve">updating modules for </w:t>
      </w:r>
      <w:proofErr w:type="spellStart"/>
      <w:r w:rsidRPr="007F3B67">
        <w:rPr>
          <w:sz w:val="24"/>
          <w:szCs w:val="24"/>
          <w:lang w:val="en"/>
        </w:rPr>
        <w:t>Xpert</w:t>
      </w:r>
      <w:proofErr w:type="spellEnd"/>
      <w:r w:rsidRPr="007F3B67">
        <w:rPr>
          <w:sz w:val="24"/>
          <w:szCs w:val="24"/>
          <w:lang w:val="en"/>
        </w:rPr>
        <w:t xml:space="preserve"> XDR.</w:t>
      </w:r>
    </w:p>
    <w:p w14:paraId="2574DBB5" w14:textId="7966458F" w:rsidR="00BB3F29" w:rsidRPr="007F3B67" w:rsidRDefault="009446E1" w:rsidP="007F3B67">
      <w:pPr>
        <w:widowControl w:val="0"/>
        <w:spacing w:line="240" w:lineRule="auto"/>
        <w:jc w:val="both"/>
        <w:rPr>
          <w:sz w:val="24"/>
          <w:szCs w:val="24"/>
          <w:lang w:val="en"/>
        </w:rPr>
      </w:pPr>
      <w:r>
        <w:rPr>
          <w:sz w:val="24"/>
          <w:szCs w:val="24"/>
          <w:lang w:val="en"/>
        </w:rPr>
        <w:t>In</w:t>
      </w:r>
      <w:r w:rsidR="00BB3F29" w:rsidRPr="007F3B67">
        <w:rPr>
          <w:sz w:val="24"/>
          <w:szCs w:val="24"/>
          <w:lang w:val="en"/>
        </w:rPr>
        <w:t xml:space="preserve"> HIV component, all preventive efforts are aimed at </w:t>
      </w:r>
      <w:r>
        <w:rPr>
          <w:sz w:val="24"/>
          <w:szCs w:val="24"/>
          <w:lang w:val="en"/>
        </w:rPr>
        <w:t>KPs</w:t>
      </w:r>
      <w:r w:rsidR="00BB3F29" w:rsidRPr="007F3B67">
        <w:rPr>
          <w:sz w:val="24"/>
          <w:szCs w:val="24"/>
          <w:lang w:val="en"/>
        </w:rPr>
        <w:t xml:space="preserve"> in </w:t>
      </w:r>
      <w:r>
        <w:rPr>
          <w:sz w:val="24"/>
          <w:szCs w:val="24"/>
          <w:lang w:val="en"/>
        </w:rPr>
        <w:t>line</w:t>
      </w:r>
      <w:r w:rsidR="00BB3F29" w:rsidRPr="007F3B67">
        <w:rPr>
          <w:sz w:val="24"/>
          <w:szCs w:val="24"/>
          <w:lang w:val="en"/>
        </w:rPr>
        <w:t xml:space="preserve"> with the recommendations of UNAIDS, the GF, with an emphasis on PWUD with expanded access to </w:t>
      </w:r>
      <w:r w:rsidR="00F540EC">
        <w:rPr>
          <w:sz w:val="24"/>
          <w:szCs w:val="24"/>
          <w:lang w:val="en"/>
        </w:rPr>
        <w:t>NPAS</w:t>
      </w:r>
      <w:r w:rsidR="00BB3F29" w:rsidRPr="007F3B67">
        <w:rPr>
          <w:sz w:val="24"/>
          <w:szCs w:val="24"/>
          <w:lang w:val="en"/>
        </w:rPr>
        <w:t xml:space="preserve"> users, the use of innovative outreach approaches, while activities for MSM groups will continue and expand. New drug for the country – buprenorphine – will be offered to OST clients, and efforts will continue in the future to offer buprenorphine of prolonged action, which will be supplied by partners. </w:t>
      </w:r>
      <w:r w:rsidR="009958D5">
        <w:rPr>
          <w:sz w:val="24"/>
          <w:szCs w:val="24"/>
          <w:lang w:val="en"/>
        </w:rPr>
        <w:t>W</w:t>
      </w:r>
      <w:r w:rsidR="00BB3F29" w:rsidRPr="007F3B67">
        <w:rPr>
          <w:sz w:val="24"/>
          <w:szCs w:val="24"/>
          <w:lang w:val="en"/>
        </w:rPr>
        <w:t xml:space="preserve">ork with prisoners and transgender people is </w:t>
      </w:r>
      <w:r w:rsidR="009958D5">
        <w:rPr>
          <w:sz w:val="24"/>
          <w:szCs w:val="24"/>
          <w:lang w:val="en"/>
        </w:rPr>
        <w:t xml:space="preserve">scaling-up and under current FR, these groups are presented as </w:t>
      </w:r>
      <w:r w:rsidR="00BB3F29" w:rsidRPr="007F3B67">
        <w:rPr>
          <w:sz w:val="24"/>
          <w:szCs w:val="24"/>
          <w:lang w:val="en"/>
        </w:rPr>
        <w:t xml:space="preserve">separate </w:t>
      </w:r>
      <w:r w:rsidR="009958D5">
        <w:rPr>
          <w:sz w:val="24"/>
          <w:szCs w:val="24"/>
          <w:lang w:val="en"/>
        </w:rPr>
        <w:t>KPs</w:t>
      </w:r>
      <w:r w:rsidR="00BB3F29" w:rsidRPr="007F3B67">
        <w:rPr>
          <w:sz w:val="24"/>
          <w:szCs w:val="24"/>
          <w:lang w:val="en"/>
        </w:rPr>
        <w:t xml:space="preserve">, which will expand coverage and improve the quality of services provided. </w:t>
      </w:r>
    </w:p>
    <w:p w14:paraId="0F1D7989" w14:textId="3EB06791" w:rsidR="00BB3F29" w:rsidRPr="007F3B67" w:rsidRDefault="00627F85" w:rsidP="007F3B67">
      <w:pPr>
        <w:widowControl w:val="0"/>
        <w:spacing w:line="240" w:lineRule="auto"/>
        <w:jc w:val="both"/>
        <w:rPr>
          <w:sz w:val="24"/>
          <w:szCs w:val="24"/>
          <w:lang w:val="en"/>
        </w:rPr>
      </w:pPr>
      <w:r>
        <w:rPr>
          <w:sz w:val="24"/>
          <w:szCs w:val="24"/>
          <w:lang w:val="en"/>
        </w:rPr>
        <w:t>N</w:t>
      </w:r>
      <w:r w:rsidRPr="007F3B67">
        <w:rPr>
          <w:sz w:val="24"/>
          <w:szCs w:val="24"/>
          <w:lang w:val="en"/>
        </w:rPr>
        <w:t>ew approaches</w:t>
      </w:r>
      <w:r>
        <w:rPr>
          <w:sz w:val="24"/>
          <w:szCs w:val="24"/>
          <w:lang w:val="en"/>
        </w:rPr>
        <w:t xml:space="preserve"> to t</w:t>
      </w:r>
      <w:r w:rsidR="00BB3F29" w:rsidRPr="007F3B67">
        <w:rPr>
          <w:sz w:val="24"/>
          <w:szCs w:val="24"/>
          <w:lang w:val="en"/>
        </w:rPr>
        <w:t xml:space="preserve">esting among </w:t>
      </w:r>
      <w:r w:rsidR="001C229B">
        <w:rPr>
          <w:sz w:val="24"/>
          <w:szCs w:val="24"/>
          <w:lang w:val="en"/>
        </w:rPr>
        <w:t>KPs</w:t>
      </w:r>
      <w:r>
        <w:rPr>
          <w:sz w:val="24"/>
          <w:szCs w:val="24"/>
          <w:lang w:val="en"/>
        </w:rPr>
        <w:t xml:space="preserve"> –</w:t>
      </w:r>
      <w:r w:rsidR="00BB3F29" w:rsidRPr="007F3B67">
        <w:rPr>
          <w:sz w:val="24"/>
          <w:szCs w:val="24"/>
          <w:lang w:val="en"/>
        </w:rPr>
        <w:t xml:space="preserve"> </w:t>
      </w:r>
      <w:r w:rsidR="00327973">
        <w:rPr>
          <w:sz w:val="24"/>
          <w:szCs w:val="24"/>
          <w:lang w:val="en"/>
        </w:rPr>
        <w:t>installation</w:t>
      </w:r>
      <w:r w:rsidR="00BB3F29" w:rsidRPr="007F3B67">
        <w:rPr>
          <w:sz w:val="24"/>
          <w:szCs w:val="24"/>
          <w:lang w:val="en"/>
        </w:rPr>
        <w:t xml:space="preserve"> of </w:t>
      </w:r>
      <w:r>
        <w:rPr>
          <w:sz w:val="24"/>
          <w:szCs w:val="24"/>
          <w:lang w:val="en"/>
        </w:rPr>
        <w:t>vending machines for automated dispersing of tests, condoms, syringes;</w:t>
      </w:r>
      <w:r w:rsidR="00BB3F29" w:rsidRPr="007F3B67">
        <w:rPr>
          <w:sz w:val="24"/>
          <w:szCs w:val="24"/>
          <w:lang w:val="en"/>
        </w:rPr>
        <w:t xml:space="preserve"> self-testing, </w:t>
      </w:r>
      <w:r>
        <w:rPr>
          <w:sz w:val="24"/>
          <w:szCs w:val="24"/>
          <w:lang w:val="en"/>
        </w:rPr>
        <w:t xml:space="preserve">with tests to be disseminated in places </w:t>
      </w:r>
      <w:r w:rsidR="00BB3F29" w:rsidRPr="007F3B67">
        <w:rPr>
          <w:sz w:val="24"/>
          <w:szCs w:val="24"/>
          <w:lang w:val="en"/>
        </w:rPr>
        <w:t xml:space="preserve">where there is greater detection of HIV (PHC, hospitals, STI services) </w:t>
      </w:r>
      <w:r>
        <w:rPr>
          <w:sz w:val="24"/>
          <w:szCs w:val="24"/>
          <w:lang w:val="en"/>
        </w:rPr>
        <w:t xml:space="preserve">– </w:t>
      </w:r>
      <w:r w:rsidR="00BB3F29" w:rsidRPr="007F3B67">
        <w:rPr>
          <w:sz w:val="24"/>
          <w:szCs w:val="24"/>
          <w:lang w:val="en"/>
        </w:rPr>
        <w:t>will improve performance under the first goal 95.</w:t>
      </w:r>
    </w:p>
    <w:p w14:paraId="78CC3AE2" w14:textId="456360E5" w:rsidR="00BB3F29" w:rsidRPr="007F3B67" w:rsidRDefault="00BB3F29" w:rsidP="007F3B67">
      <w:pPr>
        <w:widowControl w:val="0"/>
        <w:spacing w:line="240" w:lineRule="auto"/>
        <w:jc w:val="both"/>
        <w:rPr>
          <w:sz w:val="24"/>
          <w:szCs w:val="24"/>
          <w:lang w:val="en"/>
        </w:rPr>
      </w:pPr>
      <w:r w:rsidRPr="007F3B67">
        <w:rPr>
          <w:sz w:val="24"/>
          <w:szCs w:val="24"/>
          <w:lang w:val="en"/>
        </w:rPr>
        <w:t xml:space="preserve">The emphasis on programs </w:t>
      </w:r>
      <w:r w:rsidR="00506677">
        <w:rPr>
          <w:sz w:val="24"/>
          <w:szCs w:val="24"/>
          <w:lang w:val="en"/>
        </w:rPr>
        <w:t>on</w:t>
      </w:r>
      <w:r w:rsidRPr="007F3B67">
        <w:rPr>
          <w:sz w:val="24"/>
          <w:szCs w:val="24"/>
          <w:lang w:val="en"/>
        </w:rPr>
        <w:t xml:space="preserve"> HIV cases</w:t>
      </w:r>
      <w:r w:rsidR="00506677">
        <w:rPr>
          <w:sz w:val="24"/>
          <w:szCs w:val="24"/>
          <w:lang w:val="en"/>
        </w:rPr>
        <w:t xml:space="preserve"> detection</w:t>
      </w:r>
      <w:r w:rsidRPr="007F3B67">
        <w:rPr>
          <w:sz w:val="24"/>
          <w:szCs w:val="24"/>
          <w:lang w:val="en"/>
        </w:rPr>
        <w:t xml:space="preserve">, </w:t>
      </w:r>
      <w:r w:rsidR="00506677">
        <w:rPr>
          <w:sz w:val="24"/>
          <w:szCs w:val="24"/>
          <w:lang w:val="en"/>
        </w:rPr>
        <w:t>treatment adherence</w:t>
      </w:r>
      <w:r w:rsidRPr="007F3B67">
        <w:rPr>
          <w:sz w:val="24"/>
          <w:szCs w:val="24"/>
          <w:lang w:val="en"/>
        </w:rPr>
        <w:t>, expansion of motivation mechanisms for achieving the goals of the treatment cascade will improve the indicators for the goals of the first two 95-95.</w:t>
      </w:r>
    </w:p>
    <w:p w14:paraId="4DFBE032" w14:textId="27AAE3F6" w:rsidR="00BB3F29" w:rsidRPr="007F3B67" w:rsidRDefault="00BB3F29" w:rsidP="007F3B67">
      <w:pPr>
        <w:widowControl w:val="0"/>
        <w:spacing w:line="240" w:lineRule="auto"/>
        <w:jc w:val="both"/>
        <w:rPr>
          <w:sz w:val="24"/>
          <w:szCs w:val="24"/>
          <w:lang w:val="en"/>
        </w:rPr>
      </w:pPr>
      <w:r w:rsidRPr="007F3B67">
        <w:rPr>
          <w:sz w:val="24"/>
          <w:szCs w:val="24"/>
          <w:lang w:val="en"/>
        </w:rPr>
        <w:t xml:space="preserve">The Kyrgyz Republic continues to make efforts to expand state funding, despite economic difficulties. Already in 2023, 70% of OST funding started in the amount of </w:t>
      </w:r>
      <w:r w:rsidR="005346B4">
        <w:rPr>
          <w:sz w:val="24"/>
          <w:szCs w:val="24"/>
          <w:lang w:val="en"/>
        </w:rPr>
        <w:t>$</w:t>
      </w:r>
      <w:r w:rsidRPr="007F3B67">
        <w:rPr>
          <w:sz w:val="24"/>
          <w:szCs w:val="24"/>
          <w:lang w:val="en"/>
        </w:rPr>
        <w:t>300</w:t>
      </w:r>
      <w:r w:rsidR="005346B4">
        <w:rPr>
          <w:sz w:val="24"/>
          <w:szCs w:val="24"/>
          <w:lang w:val="en"/>
        </w:rPr>
        <w:t>,</w:t>
      </w:r>
      <w:r w:rsidRPr="007F3B67">
        <w:rPr>
          <w:sz w:val="24"/>
          <w:szCs w:val="24"/>
          <w:lang w:val="en"/>
        </w:rPr>
        <w:t xml:space="preserve">000 annually, purchases of </w:t>
      </w:r>
      <w:r w:rsidR="005346B4">
        <w:rPr>
          <w:sz w:val="24"/>
          <w:szCs w:val="24"/>
          <w:lang w:val="en"/>
        </w:rPr>
        <w:t>SLD</w:t>
      </w:r>
      <w:r w:rsidRPr="007F3B67">
        <w:rPr>
          <w:sz w:val="24"/>
          <w:szCs w:val="24"/>
          <w:lang w:val="en"/>
        </w:rPr>
        <w:t xml:space="preserve"> have increased (in 2022, an additional </w:t>
      </w:r>
      <w:r w:rsidR="00A90D81">
        <w:rPr>
          <w:sz w:val="24"/>
          <w:szCs w:val="24"/>
          <w:lang w:val="en"/>
        </w:rPr>
        <w:t>$</w:t>
      </w:r>
      <w:r w:rsidRPr="007F3B67">
        <w:rPr>
          <w:sz w:val="24"/>
          <w:szCs w:val="24"/>
          <w:lang w:val="en"/>
        </w:rPr>
        <w:t>350</w:t>
      </w:r>
      <w:r w:rsidR="00A90D81">
        <w:rPr>
          <w:sz w:val="24"/>
          <w:szCs w:val="24"/>
          <w:lang w:val="en"/>
        </w:rPr>
        <w:t>,</w:t>
      </w:r>
      <w:r w:rsidRPr="007F3B67">
        <w:rPr>
          <w:sz w:val="24"/>
          <w:szCs w:val="24"/>
          <w:lang w:val="en"/>
        </w:rPr>
        <w:t xml:space="preserve">000 have been allocated), and HIV treatment and diagnosis is covered by 80% from the country's budget. In 2022, salaries of medical workers have been significantly increased, which also has a positive effect on strengthening the human resources </w:t>
      </w:r>
      <w:r w:rsidR="00C04A82">
        <w:rPr>
          <w:sz w:val="24"/>
          <w:szCs w:val="24"/>
          <w:lang w:val="en"/>
        </w:rPr>
        <w:t>of HIV and TB service</w:t>
      </w:r>
      <w:r w:rsidRPr="007F3B67">
        <w:rPr>
          <w:sz w:val="24"/>
          <w:szCs w:val="24"/>
          <w:lang w:val="en"/>
        </w:rPr>
        <w:t xml:space="preserve">. In the current funding cycle, </w:t>
      </w:r>
      <w:r w:rsidR="00C04A82">
        <w:rPr>
          <w:sz w:val="24"/>
          <w:szCs w:val="24"/>
          <w:lang w:val="en"/>
        </w:rPr>
        <w:t>in compliance with</w:t>
      </w:r>
      <w:r w:rsidRPr="007F3B67">
        <w:rPr>
          <w:sz w:val="24"/>
          <w:szCs w:val="24"/>
          <w:lang w:val="en"/>
        </w:rPr>
        <w:t xml:space="preserve"> the letter from the Ministry of Finance of the Kyrgyz Republic, </w:t>
      </w:r>
      <w:r w:rsidR="00C04A82">
        <w:rPr>
          <w:sz w:val="24"/>
          <w:szCs w:val="24"/>
          <w:lang w:val="en"/>
        </w:rPr>
        <w:t xml:space="preserve">Kyrgyz Republic will </w:t>
      </w:r>
      <w:r w:rsidRPr="007F3B67">
        <w:rPr>
          <w:sz w:val="24"/>
          <w:szCs w:val="24"/>
          <w:lang w:val="en"/>
        </w:rPr>
        <w:t xml:space="preserve">continue to expand state funding and create conditions for the effective use of funds, including improving legislation in the field of procurement and drug circulation, the adoption of laws expanding the list of guaranteed services in connection with HIV and TB, assistance in the registration of medicines and the revision of list of essential medicines, reduction of the cost of purchased medicines and medical products as a result of procurement monitoring.  </w:t>
      </w:r>
    </w:p>
    <w:p w14:paraId="75ECA36F" w14:textId="65A38628" w:rsidR="00A61F79" w:rsidRPr="00BB3F29" w:rsidRDefault="00BB3F29" w:rsidP="00E0530B">
      <w:pPr>
        <w:widowControl w:val="0"/>
        <w:spacing w:line="240" w:lineRule="auto"/>
        <w:jc w:val="both"/>
        <w:rPr>
          <w:color w:val="000000" w:themeColor="text1"/>
        </w:rPr>
      </w:pPr>
      <w:r w:rsidRPr="007F3B67">
        <w:rPr>
          <w:sz w:val="24"/>
          <w:szCs w:val="24"/>
          <w:lang w:val="en"/>
        </w:rPr>
        <w:t xml:space="preserve">The development of the request was carried out </w:t>
      </w:r>
      <w:r w:rsidR="009308A5">
        <w:rPr>
          <w:sz w:val="24"/>
          <w:szCs w:val="24"/>
          <w:lang w:val="en"/>
        </w:rPr>
        <w:t>with</w:t>
      </w:r>
      <w:r w:rsidRPr="007F3B67">
        <w:rPr>
          <w:sz w:val="24"/>
          <w:szCs w:val="24"/>
          <w:lang w:val="en"/>
        </w:rPr>
        <w:t xml:space="preserve"> broad involvement of all stakeholders, especially </w:t>
      </w:r>
      <w:r w:rsidR="009308A5">
        <w:rPr>
          <w:sz w:val="24"/>
          <w:szCs w:val="24"/>
          <w:lang w:val="en"/>
        </w:rPr>
        <w:t>KPs</w:t>
      </w:r>
      <w:r w:rsidRPr="007F3B67">
        <w:rPr>
          <w:sz w:val="24"/>
          <w:szCs w:val="24"/>
          <w:lang w:val="en"/>
        </w:rPr>
        <w:t xml:space="preserve">, extensive discussions were held within the framework of the country dialogue with all communities, </w:t>
      </w:r>
      <w:r w:rsidR="009308A5">
        <w:rPr>
          <w:sz w:val="24"/>
          <w:szCs w:val="24"/>
          <w:lang w:val="en"/>
        </w:rPr>
        <w:t xml:space="preserve">state institutions and international partners </w:t>
      </w:r>
      <w:r w:rsidRPr="007F3B67">
        <w:rPr>
          <w:sz w:val="24"/>
          <w:szCs w:val="24"/>
          <w:lang w:val="en"/>
        </w:rPr>
        <w:t>both at the national and sub-national levels.</w:t>
      </w:r>
    </w:p>
    <w:p w14:paraId="396A35D5" w14:textId="3B441345" w:rsidR="00BB669A" w:rsidRPr="00630C6D" w:rsidRDefault="00BB669A" w:rsidP="0026062D">
      <w:pPr>
        <w:pStyle w:val="BodyText"/>
        <w:widowControl w:val="0"/>
        <w:numPr>
          <w:ilvl w:val="1"/>
          <w:numId w:val="22"/>
        </w:numPr>
        <w:tabs>
          <w:tab w:val="left" w:pos="810"/>
        </w:tabs>
        <w:spacing w:line="240" w:lineRule="auto"/>
        <w:jc w:val="both"/>
        <w:rPr>
          <w:lang w:val="en-US"/>
        </w:rPr>
      </w:pPr>
      <w:r w:rsidRPr="00630C6D">
        <w:rPr>
          <w:b/>
          <w:bCs/>
        </w:rPr>
        <w:t>Matching Funds</w:t>
      </w:r>
      <w:r>
        <w:t xml:space="preserve">: </w:t>
      </w:r>
      <w:r w:rsidRPr="00630C6D">
        <w:rPr>
          <w:lang w:val="en-US"/>
        </w:rPr>
        <w:t xml:space="preserve">If Matching Funds </w:t>
      </w:r>
      <w:proofErr w:type="gramStart"/>
      <w:r w:rsidRPr="00630C6D">
        <w:rPr>
          <w:lang w:val="en-US"/>
        </w:rPr>
        <w:t>were designated</w:t>
      </w:r>
      <w:proofErr w:type="gramEnd"/>
      <w:r w:rsidRPr="00630C6D">
        <w:rPr>
          <w:lang w:val="en-US"/>
        </w:rPr>
        <w:t xml:space="preserve"> for the 2023-2025 allocation period:</w:t>
      </w:r>
    </w:p>
    <w:p w14:paraId="63A0C658" w14:textId="15E2994F" w:rsidR="00324614" w:rsidRPr="00710BFD" w:rsidRDefault="00CC3A21" w:rsidP="0026062D">
      <w:pPr>
        <w:pStyle w:val="BodyText"/>
        <w:widowControl w:val="0"/>
        <w:numPr>
          <w:ilvl w:val="2"/>
          <w:numId w:val="21"/>
        </w:numPr>
        <w:spacing w:line="240" w:lineRule="auto"/>
        <w:ind w:left="806" w:hanging="446"/>
        <w:rPr>
          <w:lang w:val="en-US"/>
        </w:rPr>
      </w:pPr>
      <w:r>
        <w:rPr>
          <w:lang w:val="en-US"/>
        </w:rPr>
        <w:t>D</w:t>
      </w:r>
      <w:r w:rsidR="00911FA6">
        <w:rPr>
          <w:lang w:val="en-US"/>
        </w:rPr>
        <w:t xml:space="preserve">escribe </w:t>
      </w:r>
      <w:r w:rsidR="00324614" w:rsidRPr="00710BFD">
        <w:t>how integrating the Matching Funds will increase the impact and improve the outcome of the allocation for the Matching Funds area.</w:t>
      </w:r>
    </w:p>
    <w:p w14:paraId="242F2156" w14:textId="45D19C12" w:rsidR="00C53AF5" w:rsidRDefault="00CC3A21" w:rsidP="0026062D">
      <w:pPr>
        <w:pStyle w:val="BodyText"/>
        <w:widowControl w:val="0"/>
        <w:numPr>
          <w:ilvl w:val="2"/>
          <w:numId w:val="21"/>
        </w:numPr>
        <w:spacing w:line="240" w:lineRule="auto"/>
        <w:ind w:left="806" w:hanging="446"/>
        <w:rPr>
          <w:lang w:val="en-US"/>
        </w:rPr>
      </w:pPr>
      <w:r>
        <w:rPr>
          <w:lang w:val="en-US"/>
        </w:rPr>
        <w:t>D</w:t>
      </w:r>
      <w:r w:rsidR="00BB669A">
        <w:rPr>
          <w:lang w:val="en-US"/>
        </w:rPr>
        <w:t>escribe how programmatic and access conditions have been met.</w:t>
      </w:r>
    </w:p>
    <w:p w14:paraId="73B25F53" w14:textId="271AB323" w:rsidR="00C165FC" w:rsidRPr="00C165FC" w:rsidRDefault="00C165FC" w:rsidP="00C165FC">
      <w:pPr>
        <w:widowControl w:val="0"/>
        <w:spacing w:line="240" w:lineRule="auto"/>
        <w:jc w:val="both"/>
        <w:rPr>
          <w:sz w:val="24"/>
          <w:szCs w:val="24"/>
          <w:lang w:val="en"/>
        </w:rPr>
      </w:pPr>
      <w:r w:rsidRPr="00C165FC">
        <w:rPr>
          <w:sz w:val="24"/>
          <w:szCs w:val="24"/>
          <w:lang w:val="en"/>
        </w:rPr>
        <w:t xml:space="preserve">The Kyrgyz Republic is one of the GF recipients for the "Breaking Down Barriers" component of the GF initiative. In the current grant cycle, the country implements activities in the amount of more than $1.7 million in total, of which more than $700,000 has been allocated from the main </w:t>
      </w:r>
      <w:r w:rsidR="00D46773">
        <w:rPr>
          <w:sz w:val="24"/>
          <w:szCs w:val="24"/>
          <w:lang w:val="en"/>
        </w:rPr>
        <w:t>allocation</w:t>
      </w:r>
      <w:r w:rsidRPr="00C165FC">
        <w:rPr>
          <w:sz w:val="24"/>
          <w:szCs w:val="24"/>
          <w:lang w:val="en"/>
        </w:rPr>
        <w:t xml:space="preserve"> and $1 million has been allocated as part of matching funds. In the new grant cycle, </w:t>
      </w:r>
      <w:r w:rsidR="00D46773">
        <w:rPr>
          <w:sz w:val="24"/>
          <w:szCs w:val="24"/>
          <w:lang w:val="en"/>
        </w:rPr>
        <w:t>$</w:t>
      </w:r>
      <w:r w:rsidRPr="00C165FC">
        <w:rPr>
          <w:sz w:val="24"/>
          <w:szCs w:val="24"/>
          <w:lang w:val="en"/>
        </w:rPr>
        <w:t>500</w:t>
      </w:r>
      <w:r w:rsidR="00D46773">
        <w:rPr>
          <w:sz w:val="24"/>
          <w:szCs w:val="24"/>
          <w:lang w:val="en"/>
        </w:rPr>
        <w:t xml:space="preserve">,000 </w:t>
      </w:r>
      <w:r w:rsidRPr="00C165FC">
        <w:rPr>
          <w:sz w:val="24"/>
          <w:szCs w:val="24"/>
          <w:lang w:val="en"/>
        </w:rPr>
        <w:t xml:space="preserve">are </w:t>
      </w:r>
      <w:r w:rsidR="00D46773">
        <w:rPr>
          <w:sz w:val="24"/>
          <w:szCs w:val="24"/>
          <w:lang w:val="en"/>
        </w:rPr>
        <w:t>allocated</w:t>
      </w:r>
      <w:r w:rsidRPr="00C165FC">
        <w:rPr>
          <w:sz w:val="24"/>
          <w:szCs w:val="24"/>
          <w:lang w:val="en"/>
        </w:rPr>
        <w:t xml:space="preserve"> </w:t>
      </w:r>
      <w:r w:rsidR="00D46773">
        <w:rPr>
          <w:sz w:val="24"/>
          <w:szCs w:val="24"/>
          <w:lang w:val="en"/>
        </w:rPr>
        <w:t>to</w:t>
      </w:r>
      <w:r w:rsidRPr="00C165FC">
        <w:rPr>
          <w:sz w:val="24"/>
          <w:szCs w:val="24"/>
          <w:lang w:val="en"/>
        </w:rPr>
        <w:t xml:space="preserve"> the country</w:t>
      </w:r>
      <w:r w:rsidR="00D46773">
        <w:rPr>
          <w:sz w:val="24"/>
          <w:szCs w:val="24"/>
          <w:lang w:val="en"/>
        </w:rPr>
        <w:t xml:space="preserve"> subject to </w:t>
      </w:r>
      <w:r w:rsidRPr="00C165FC">
        <w:rPr>
          <w:sz w:val="24"/>
          <w:szCs w:val="24"/>
          <w:lang w:val="en"/>
        </w:rPr>
        <w:t xml:space="preserve">the main </w:t>
      </w:r>
      <w:r w:rsidR="00D46773">
        <w:rPr>
          <w:sz w:val="24"/>
          <w:szCs w:val="24"/>
          <w:lang w:val="en"/>
        </w:rPr>
        <w:t xml:space="preserve">allocation matching portion is $700,000 </w:t>
      </w:r>
      <w:r w:rsidR="00D46773">
        <w:rPr>
          <w:sz w:val="24"/>
          <w:szCs w:val="24"/>
          <w:lang w:val="en"/>
        </w:rPr>
        <w:lastRenderedPageBreak/>
        <w:t>or more</w:t>
      </w:r>
      <w:r w:rsidRPr="00C165FC">
        <w:rPr>
          <w:sz w:val="24"/>
          <w:szCs w:val="24"/>
          <w:lang w:val="en"/>
        </w:rPr>
        <w:t xml:space="preserve">. </w:t>
      </w:r>
      <w:r w:rsidR="00D46773">
        <w:rPr>
          <w:sz w:val="24"/>
          <w:szCs w:val="24"/>
          <w:lang w:val="en"/>
        </w:rPr>
        <w:t>T</w:t>
      </w:r>
      <w:r w:rsidRPr="00C165FC">
        <w:rPr>
          <w:sz w:val="24"/>
          <w:szCs w:val="24"/>
          <w:lang w:val="en"/>
        </w:rPr>
        <w:t xml:space="preserve">he total amount of </w:t>
      </w:r>
      <w:r w:rsidR="00D46773">
        <w:rPr>
          <w:sz w:val="24"/>
          <w:szCs w:val="24"/>
          <w:lang w:val="en"/>
        </w:rPr>
        <w:t>activities budgeted under current FR is almost</w:t>
      </w:r>
      <w:r w:rsidRPr="00C165FC">
        <w:rPr>
          <w:sz w:val="24"/>
          <w:szCs w:val="24"/>
          <w:lang w:val="en"/>
        </w:rPr>
        <w:t xml:space="preserve"> $1.5 million.</w:t>
      </w:r>
    </w:p>
    <w:p w14:paraId="1CFFD649" w14:textId="04E34835" w:rsidR="00C165FC" w:rsidRPr="00C165FC" w:rsidRDefault="00C165FC" w:rsidP="00C165FC">
      <w:pPr>
        <w:widowControl w:val="0"/>
        <w:spacing w:line="240" w:lineRule="auto"/>
        <w:jc w:val="both"/>
        <w:rPr>
          <w:sz w:val="24"/>
          <w:szCs w:val="24"/>
          <w:lang w:val="en"/>
        </w:rPr>
      </w:pPr>
      <w:r w:rsidRPr="00C165FC">
        <w:rPr>
          <w:sz w:val="24"/>
          <w:szCs w:val="24"/>
          <w:lang w:val="en"/>
        </w:rPr>
        <w:t xml:space="preserve">During 2 </w:t>
      </w:r>
      <w:r w:rsidR="006624AF">
        <w:rPr>
          <w:sz w:val="24"/>
          <w:szCs w:val="24"/>
          <w:lang w:val="en"/>
        </w:rPr>
        <w:t xml:space="preserve">funding </w:t>
      </w:r>
      <w:r w:rsidRPr="00C165FC">
        <w:rPr>
          <w:sz w:val="24"/>
          <w:szCs w:val="24"/>
          <w:lang w:val="en"/>
        </w:rPr>
        <w:t xml:space="preserve">cycles of support for this initiative in the country, the GF assessed progress in overcoming legal barriers related to HIV and TB. Preliminary results of the latest assessment show that there is some progress in achieving the goals. Kyrgyzstan joined the Global Partnership's initiative to eliminate stigma and discrimination related to HIV and TB, and an interagency plan to overcome legal barriers to HIV and TB was approved. The Stigma Index 2022 report notes that the study "clearly shows a significant decrease in (recent experience of) stigma and discrimination" compared to a similar study conducted in 2015. The report notes a significant decrease in many indicators in the number of cases of stigmatization and discrimination against </w:t>
      </w:r>
      <w:r w:rsidR="00991F7F">
        <w:rPr>
          <w:sz w:val="24"/>
          <w:szCs w:val="24"/>
          <w:lang w:val="en"/>
        </w:rPr>
        <w:t>PL</w:t>
      </w:r>
      <w:r w:rsidRPr="00C165FC">
        <w:rPr>
          <w:sz w:val="24"/>
          <w:szCs w:val="24"/>
          <w:lang w:val="en"/>
        </w:rPr>
        <w:t>HIV. Separate studies have shown a decrease in the negative experience of communicating with police officers among people using harm reduction services, and in one of the studies, the percentage of participants who had such experience decreased from 26% in 2019 to 11.3% in 2020.</w:t>
      </w:r>
    </w:p>
    <w:p w14:paraId="1DCC6DFC" w14:textId="77777777" w:rsidR="00C165FC" w:rsidRPr="00C165FC" w:rsidRDefault="00C165FC" w:rsidP="00C165FC">
      <w:pPr>
        <w:widowControl w:val="0"/>
        <w:spacing w:line="240" w:lineRule="auto"/>
        <w:jc w:val="both"/>
        <w:rPr>
          <w:sz w:val="24"/>
          <w:szCs w:val="24"/>
          <w:lang w:val="en"/>
        </w:rPr>
      </w:pPr>
      <w:r w:rsidRPr="00C165FC">
        <w:rPr>
          <w:sz w:val="24"/>
          <w:szCs w:val="24"/>
          <w:lang w:val="en"/>
        </w:rPr>
        <w:t>Despite this progress, the assessment identified a number of critical issues that need to be addressed to improve the quality, scale, and impact of human rights-related barrier removal programs. The insufficient role of grassroots community organizations in the conceptualization, implementation and oversight of programs to remove human rights barriers, and insufficient pay for frontline community workers were noted. Coordination between human rights program implementers remains insufficient. There is no funding from the state for programs related to human rights. Key communities need continued legal protection, now with the use of the adopted new law on State-guaranteed legal aid (SGLA). The legislation related to drug use continues to contain norms restricting access to services, in particular, the norms of narcological registry or compulsory treatment of narcological disorders have not been abolished. Monitoring by civil society is ad hoc and needs a more systematic approach.</w:t>
      </w:r>
    </w:p>
    <w:p w14:paraId="46A4309E" w14:textId="1F849046" w:rsidR="00C165FC" w:rsidRPr="00C165FC" w:rsidRDefault="00C165FC" w:rsidP="00C165FC">
      <w:pPr>
        <w:widowControl w:val="0"/>
        <w:spacing w:line="240" w:lineRule="auto"/>
        <w:jc w:val="both"/>
        <w:rPr>
          <w:sz w:val="24"/>
          <w:szCs w:val="24"/>
          <w:lang w:val="en"/>
        </w:rPr>
      </w:pPr>
      <w:r w:rsidRPr="00C165FC">
        <w:rPr>
          <w:sz w:val="24"/>
          <w:szCs w:val="24"/>
          <w:lang w:val="en"/>
        </w:rPr>
        <w:t>The assessment offers a number of recommendations for strengthening activities in overcoming legal barriers. Based on these recommendations, as a result of the country dialogue, measures have been developed that will be aimed at reducing legal barriers and eliminating stigma and discrimination related to HIV and TB. These events, first of all, will allow involvement of public organizations and local communities in all implemented activities as well as continue efforts to improve legislation and significantly increase the capacities of communities, while a number of activities will be integrated into the state system of legal aid. Communities at all levels will participate in decision-making mechanisms. A number of measures will be taken to ensure the protection of both communities and organizations in the context of a changing political system.</w:t>
      </w:r>
    </w:p>
    <w:p w14:paraId="155D35E9" w14:textId="77777777" w:rsidR="00C165FC" w:rsidRDefault="00C165FC" w:rsidP="00C165FC">
      <w:pPr>
        <w:pStyle w:val="BodyText"/>
        <w:widowControl w:val="0"/>
        <w:spacing w:line="240" w:lineRule="auto"/>
        <w:rPr>
          <w:lang w:val="en-US"/>
        </w:rPr>
      </w:pPr>
    </w:p>
    <w:p w14:paraId="5528A60D" w14:textId="77777777" w:rsidR="00345EF8" w:rsidRDefault="00345EF8" w:rsidP="0026062D">
      <w:pPr>
        <w:widowControl w:val="0"/>
        <w:spacing w:after="200" w:line="240" w:lineRule="auto"/>
        <w:rPr>
          <w:rFonts w:asciiTheme="majorHAnsi" w:eastAsiaTheme="majorEastAsia" w:hAnsiTheme="majorHAnsi" w:cstheme="majorBidi"/>
          <w:color w:val="000000" w:themeColor="text1"/>
          <w:sz w:val="32"/>
          <w:szCs w:val="32"/>
          <w:lang w:val="en-GB"/>
        </w:rPr>
      </w:pPr>
      <w:r>
        <w:rPr>
          <w:rFonts w:asciiTheme="majorHAnsi" w:eastAsiaTheme="majorEastAsia" w:hAnsiTheme="majorHAnsi" w:cstheme="majorBidi"/>
          <w:color w:val="000000" w:themeColor="text1"/>
          <w:sz w:val="32"/>
          <w:szCs w:val="32"/>
        </w:rPr>
        <w:br w:type="page"/>
      </w:r>
    </w:p>
    <w:p w14:paraId="55E7C541" w14:textId="09CE94A1" w:rsidR="00A038D6" w:rsidRPr="00A038D6" w:rsidRDefault="006F4B7C" w:rsidP="0026062D">
      <w:pPr>
        <w:pStyle w:val="BodyText"/>
        <w:widowControl w:val="0"/>
        <w:spacing w:before="600" w:after="600" w:line="240" w:lineRule="auto"/>
        <w:jc w:val="both"/>
        <w:rPr>
          <w:rFonts w:asciiTheme="majorHAnsi" w:eastAsiaTheme="majorEastAsia" w:hAnsiTheme="majorHAnsi" w:cstheme="majorBidi"/>
          <w:color w:val="000000" w:themeColor="text1"/>
          <w:sz w:val="32"/>
          <w:szCs w:val="32"/>
        </w:rPr>
      </w:pPr>
      <w:r w:rsidRPr="00A038D6">
        <w:rPr>
          <w:rFonts w:asciiTheme="majorHAnsi" w:eastAsiaTheme="majorEastAsia" w:hAnsiTheme="majorHAnsi" w:cstheme="majorBidi"/>
          <w:color w:val="000000" w:themeColor="text1"/>
          <w:sz w:val="32"/>
          <w:szCs w:val="32"/>
        </w:rPr>
        <w:lastRenderedPageBreak/>
        <w:t xml:space="preserve">Section 2. </w:t>
      </w:r>
      <w:r w:rsidR="00355579" w:rsidRPr="00A038D6">
        <w:rPr>
          <w:rFonts w:asciiTheme="majorHAnsi" w:eastAsiaTheme="majorEastAsia" w:hAnsiTheme="majorHAnsi" w:cstheme="majorBidi"/>
          <w:color w:val="000000" w:themeColor="text1"/>
          <w:sz w:val="32"/>
          <w:szCs w:val="32"/>
        </w:rPr>
        <w:t>Maximizing impact</w:t>
      </w:r>
    </w:p>
    <w:p w14:paraId="564B347E" w14:textId="13771818" w:rsidR="001A0F04" w:rsidRDefault="00666CAD" w:rsidP="0026062D">
      <w:pPr>
        <w:pStyle w:val="BodyText"/>
        <w:widowControl w:val="0"/>
        <w:numPr>
          <w:ilvl w:val="1"/>
          <w:numId w:val="12"/>
        </w:numPr>
        <w:spacing w:line="240" w:lineRule="auto"/>
        <w:ind w:left="810"/>
        <w:jc w:val="both"/>
        <w:rPr>
          <w:color w:val="000000" w:themeColor="text1"/>
        </w:rPr>
      </w:pPr>
      <w:r w:rsidRPr="00F66A63">
        <w:rPr>
          <w:b/>
          <w:bCs/>
          <w:color w:val="000000" w:themeColor="text1"/>
        </w:rPr>
        <w:t>To meet national an</w:t>
      </w:r>
      <w:r w:rsidR="00B9643A" w:rsidRPr="00F66A63">
        <w:rPr>
          <w:b/>
          <w:bCs/>
          <w:color w:val="000000" w:themeColor="text1"/>
        </w:rPr>
        <w:t>d</w:t>
      </w:r>
      <w:r w:rsidRPr="00F66A63">
        <w:rPr>
          <w:b/>
          <w:bCs/>
          <w:color w:val="000000" w:themeColor="text1"/>
        </w:rPr>
        <w:t xml:space="preserve"> global goals and objectives</w:t>
      </w:r>
      <w:r w:rsidR="001A0F04" w:rsidRPr="00F66A63">
        <w:rPr>
          <w:color w:val="000000" w:themeColor="text1"/>
        </w:rPr>
        <w:t>:</w:t>
      </w:r>
      <w:r w:rsidR="00350BFF" w:rsidRPr="00F66A63">
        <w:rPr>
          <w:color w:val="000000" w:themeColor="text1"/>
        </w:rPr>
        <w:t xml:space="preserve"> Describe how </w:t>
      </w:r>
      <w:r w:rsidR="00B2467C" w:rsidRPr="00F66A63">
        <w:rPr>
          <w:color w:val="000000" w:themeColor="text1"/>
        </w:rPr>
        <w:t>the prioritized funding request contributes to the following areas:</w:t>
      </w:r>
      <w:r w:rsidR="00872BD1" w:rsidRPr="00F66A63">
        <w:rPr>
          <w:color w:val="000000" w:themeColor="text1"/>
        </w:rPr>
        <w:t xml:space="preserve"> </w:t>
      </w:r>
      <w:r w:rsidR="00B2467C" w:rsidRPr="00F66A63">
        <w:rPr>
          <w:color w:val="000000" w:themeColor="text1"/>
        </w:rPr>
        <w:t>(1) ending AIDS, TB and malaria</w:t>
      </w:r>
      <w:r w:rsidR="001C6922" w:rsidRPr="002D662C">
        <w:rPr>
          <w:color w:val="000000" w:themeColor="text1"/>
        </w:rPr>
        <w:t xml:space="preserve">; </w:t>
      </w:r>
      <w:r w:rsidR="00872BD1" w:rsidRPr="002D662C">
        <w:rPr>
          <w:color w:val="000000" w:themeColor="text1"/>
        </w:rPr>
        <w:t xml:space="preserve">and </w:t>
      </w:r>
      <w:r w:rsidR="001C6922" w:rsidRPr="002D662C">
        <w:rPr>
          <w:color w:val="000000" w:themeColor="text1"/>
        </w:rPr>
        <w:t>(2)</w:t>
      </w:r>
      <w:r w:rsidR="00F04DFC" w:rsidRPr="002D662C">
        <w:rPr>
          <w:color w:val="000000" w:themeColor="text1"/>
        </w:rPr>
        <w:t xml:space="preserve"> strengthening the integration of health and/or community systems; </w:t>
      </w:r>
      <w:r w:rsidR="00872BD1" w:rsidRPr="002D662C">
        <w:rPr>
          <w:color w:val="000000" w:themeColor="text1"/>
        </w:rPr>
        <w:t>and/or</w:t>
      </w:r>
      <w:r w:rsidR="00872BD1" w:rsidRPr="00F66A63">
        <w:rPr>
          <w:color w:val="000000" w:themeColor="text1"/>
        </w:rPr>
        <w:t xml:space="preserve"> </w:t>
      </w:r>
      <w:r w:rsidR="00F04DFC" w:rsidRPr="00F66A63">
        <w:rPr>
          <w:color w:val="000000" w:themeColor="text1"/>
        </w:rPr>
        <w:t>(3) advancing health equity, gender equality, and human rights; and</w:t>
      </w:r>
      <w:r w:rsidR="00872BD1" w:rsidRPr="00F66A63">
        <w:rPr>
          <w:color w:val="000000" w:themeColor="text1"/>
        </w:rPr>
        <w:t>/</w:t>
      </w:r>
      <w:r w:rsidR="00F04DFC" w:rsidRPr="00F66A63">
        <w:rPr>
          <w:color w:val="000000" w:themeColor="text1"/>
        </w:rPr>
        <w:t xml:space="preserve">or (4) pandemic preparedness. </w:t>
      </w:r>
      <w:r w:rsidR="00086C5D" w:rsidRPr="00F66A63">
        <w:rPr>
          <w:color w:val="000000" w:themeColor="text1"/>
        </w:rPr>
        <w:t>L</w:t>
      </w:r>
      <w:r w:rsidR="00F04DFC" w:rsidRPr="00F66A63">
        <w:rPr>
          <w:color w:val="000000" w:themeColor="text1"/>
        </w:rPr>
        <w:t>imit this response to the focus areas indicated in the Allocation Letter or otherwise agreed upon with the Global Fund.</w:t>
      </w:r>
    </w:p>
    <w:p w14:paraId="17DAB7DC" w14:textId="07E79451" w:rsidR="00345EF8" w:rsidRPr="00345EF8" w:rsidRDefault="00345EF8" w:rsidP="0026062D">
      <w:pPr>
        <w:widowControl w:val="0"/>
        <w:spacing w:line="240" w:lineRule="auto"/>
        <w:jc w:val="both"/>
        <w:rPr>
          <w:rFonts w:ascii="Arial" w:eastAsia="Arial" w:hAnsi="Arial" w:cs="Arial"/>
          <w:color w:val="000000"/>
          <w:sz w:val="24"/>
          <w:szCs w:val="24"/>
        </w:rPr>
      </w:pPr>
      <w:r w:rsidRPr="00345EF8">
        <w:rPr>
          <w:rFonts w:ascii="Arial" w:eastAsia="Arial" w:hAnsi="Arial"/>
          <w:b/>
          <w:bCs/>
          <w:color w:val="000000"/>
          <w:sz w:val="24"/>
          <w:szCs w:val="24"/>
        </w:rPr>
        <w:t>HIV.</w:t>
      </w:r>
      <w:r w:rsidRPr="00345EF8">
        <w:rPr>
          <w:rFonts w:ascii="Arial" w:eastAsia="Arial" w:hAnsi="Arial"/>
          <w:color w:val="000000"/>
          <w:sz w:val="24"/>
          <w:szCs w:val="24"/>
        </w:rPr>
        <w:t xml:space="preserve"> The draft Government Program to Overcome the HIV epidemic and Parenteral viral hepatitis for 2023-2027 (attached as part of the FR, document FR1405-KGZ-C_09</w:t>
      </w:r>
      <w:r>
        <w:rPr>
          <w:rFonts w:ascii="Arial" w:eastAsia="Arial" w:hAnsi="Arial"/>
          <w:color w:val="000000"/>
          <w:sz w:val="24"/>
          <w:szCs w:val="24"/>
        </w:rPr>
        <w:t>A</w:t>
      </w:r>
      <w:r w:rsidRPr="00345EF8">
        <w:rPr>
          <w:rFonts w:ascii="Arial" w:eastAsia="Arial" w:hAnsi="Arial"/>
          <w:color w:val="000000"/>
          <w:sz w:val="24"/>
          <w:szCs w:val="24"/>
        </w:rPr>
        <w:t>_NSP_HIV_2023-2027_DRAFT_RUS) for the HIV component defines a number of objectives, including the achievement of 95-95-95 targets. In particular, the Program aims to achieve the 95% coverage of HIV-positive pregnant women and their newborns with ART to suppress the viral load, provide all children with HIV with the necessary medical and social support, 95% coverage of people at high risk of HIV infection with effective prevention programs, including harm reduction programs, rapid testing and sexual and reproductive health services, elimination of stigma and discrimination against PLHIV and key population groups in three priority areas, including health, justice and household systems. Program also includes the activities to ensure effective coordination and sustainability of HIV-related programs, including the transition to full coverage by state funding of all HIV-related services. In general, the Program is aligned with the UNAIDS goals. Moreover, in 2021, the Kyrgyz Republic joined the Global Partnership initiated by UNAIDS and other partners to eliminate stigma and discrimination</w:t>
      </w:r>
      <w:r w:rsidRPr="00345EF8">
        <w:rPr>
          <w:rFonts w:ascii="Arial" w:eastAsia="Arial" w:hAnsi="Arial" w:cs="Arial"/>
          <w:color w:val="000000"/>
          <w:sz w:val="24"/>
          <w:szCs w:val="24"/>
        </w:rPr>
        <w:t>.</w:t>
      </w:r>
      <w:r>
        <w:rPr>
          <w:rFonts w:cs="Arial"/>
          <w:vertAlign w:val="superscript"/>
        </w:rPr>
        <w:footnoteReference w:id="56"/>
      </w:r>
    </w:p>
    <w:p w14:paraId="3CCC323D" w14:textId="7277E891" w:rsidR="00345EF8" w:rsidRPr="00345EF8" w:rsidRDefault="00345EF8" w:rsidP="0026062D">
      <w:pPr>
        <w:widowControl w:val="0"/>
        <w:spacing w:line="240" w:lineRule="auto"/>
        <w:jc w:val="both"/>
        <w:rPr>
          <w:rFonts w:ascii="Arial" w:eastAsia="Arial" w:hAnsi="Arial"/>
          <w:color w:val="000000"/>
          <w:sz w:val="24"/>
          <w:szCs w:val="24"/>
        </w:rPr>
      </w:pPr>
      <w:r w:rsidRPr="00345EF8">
        <w:rPr>
          <w:rFonts w:ascii="Arial" w:eastAsia="Arial" w:hAnsi="Arial"/>
          <w:color w:val="000000"/>
          <w:sz w:val="24"/>
          <w:szCs w:val="24"/>
        </w:rPr>
        <w:t xml:space="preserve">In order to achieve the HIV Program goals, within the framework of this FR, it is planned to expand the HIV detection in key population groups through expanding access to previously not covered key groups through online outreach, introducing the use of vending machines, providing tests, syringes and condoms. In the first year 10%, and then 15% and 20% of key groups will be covered by testing and prevention programs using the online outreach approach. Self-testing will be scaled up and mechanisms to confirm the testing results and for assisted referral of the HIV positive individuals for enrollment to treatment will be established. The mechanisms of incentives for achieving the treatment cascade targets (detection, enrollment to treatment, viral suppression) for out-reach workers and medical specialists will be scaled up as well. The AIDS service's testing interventions at hospitals and STI treatment facilities have resulted in significant detection of new HIV cases, and these efforts will continue, as well as expand to include the rapid testing based on clinical indications at the PHC level. These measures should significantly improve the HIV detection and ensure achievement of the treatment cascade targets. Traditional prevention services, including the provision of the minimum package of services, will be continued, while access to diagnostic and treatment services for TB, STIs, Hepatitis B, SRH will be scaled up in line with the changing needs of the key groups. OST program plans for scaling up the use of buprenorphine with prolonged effect in order to make the program more attractive and to increase the enrollment of the new PWID clients. The FR also plans for separate prevention activities among transgender persons and prisoners as separate target groups. As a precondition for the proper planning, a PWID size estimation, supported by CDC, will be carried out in the first year of the Project with the consequent revision of the project activities </w:t>
      </w:r>
      <w:r w:rsidR="005B1BD5">
        <w:rPr>
          <w:rFonts w:ascii="Arial" w:eastAsia="Arial" w:hAnsi="Arial"/>
          <w:color w:val="000000"/>
          <w:sz w:val="24"/>
          <w:szCs w:val="24"/>
        </w:rPr>
        <w:t>In line with</w:t>
      </w:r>
      <w:r w:rsidRPr="00345EF8">
        <w:rPr>
          <w:rFonts w:ascii="Arial" w:eastAsia="Arial" w:hAnsi="Arial"/>
          <w:color w:val="000000"/>
          <w:sz w:val="24"/>
          <w:szCs w:val="24"/>
        </w:rPr>
        <w:t xml:space="preserve"> the new data. Special attention will be paid to ensuring proper coordination between the activities of various donors in the field of HIV.</w:t>
      </w:r>
    </w:p>
    <w:p w14:paraId="00B0144C" w14:textId="77777777" w:rsidR="00345EF8" w:rsidRPr="00345EF8" w:rsidRDefault="00345EF8" w:rsidP="0026062D">
      <w:pPr>
        <w:widowControl w:val="0"/>
        <w:spacing w:line="240" w:lineRule="auto"/>
        <w:jc w:val="both"/>
        <w:rPr>
          <w:rFonts w:ascii="Arial" w:eastAsia="Arial" w:hAnsi="Arial"/>
          <w:color w:val="000000"/>
          <w:sz w:val="24"/>
          <w:szCs w:val="24"/>
        </w:rPr>
      </w:pPr>
      <w:r w:rsidRPr="00345EF8">
        <w:rPr>
          <w:rFonts w:ascii="Arial" w:eastAsia="Arial" w:hAnsi="Arial"/>
          <w:color w:val="000000"/>
          <w:sz w:val="24"/>
          <w:szCs w:val="24"/>
        </w:rPr>
        <w:t xml:space="preserve">The whole set of activities is aimed at support to enrollment and adherence to HIV treatment, a </w:t>
      </w:r>
      <w:r w:rsidRPr="00345EF8">
        <w:rPr>
          <w:rFonts w:ascii="Arial" w:eastAsia="Arial" w:hAnsi="Arial"/>
          <w:color w:val="000000"/>
          <w:sz w:val="24"/>
          <w:szCs w:val="24"/>
        </w:rPr>
        <w:lastRenderedPageBreak/>
        <w:t>number of care and support services are planned to be provided by NGOs, including those led and run by PLHIV community, and support of multidisciplinary teams. Given the increased role of the PHC institutions in the HIV diagnostics and treatment, the capacity of the of PHC medical specialists should be strengthened. PLHIV will be offered a wide range of services, including STI diagnostics and treatment, prevention and diagnostics of cervical cancer, consultations of different medical specialists. Children with HIV will continue to receive motivational payments in support of treatment adherence, while HIV positive adolescents will be provided by vocational training courses on demand. In order to further increase the effectiveness of the AIDS service and strengthen the diagnostics and treatment capacity, medical specialists providing HIV services will be incentivized using "payment for results" mechanisms, PLHIV and KP friendly offices will be offered within the state STI clinics, palliative care for PLHIV in the terminal stage will be provided on demand. The introduction of the motivational payments’ mechanism is aimed to enhance the effectiveness of the treatment cascade.</w:t>
      </w:r>
    </w:p>
    <w:p w14:paraId="7E075BAE" w14:textId="78DCF74E" w:rsidR="00345EF8" w:rsidRPr="00345EF8" w:rsidRDefault="00345EF8" w:rsidP="0026062D">
      <w:pPr>
        <w:widowControl w:val="0"/>
        <w:spacing w:line="240" w:lineRule="auto"/>
        <w:jc w:val="both"/>
        <w:rPr>
          <w:rFonts w:ascii="Arial" w:eastAsia="Arial" w:hAnsi="Arial"/>
          <w:color w:val="000000"/>
          <w:sz w:val="24"/>
          <w:szCs w:val="24"/>
        </w:rPr>
      </w:pPr>
      <w:r w:rsidRPr="00345EF8">
        <w:rPr>
          <w:rFonts w:ascii="Arial" w:eastAsia="Arial" w:hAnsi="Arial"/>
          <w:b/>
          <w:bCs/>
          <w:color w:val="000000"/>
          <w:sz w:val="24"/>
          <w:szCs w:val="24"/>
        </w:rPr>
        <w:t>TB.</w:t>
      </w:r>
      <w:r w:rsidRPr="00345EF8">
        <w:rPr>
          <w:rFonts w:ascii="Arial" w:eastAsia="Arial" w:hAnsi="Arial"/>
          <w:color w:val="000000"/>
          <w:sz w:val="24"/>
          <w:szCs w:val="24"/>
        </w:rPr>
        <w:t xml:space="preserve"> In March 2023, the Program "Tuberculosis-VI" for 2023-2026 (attached as part of the FR, document FR1405-KGZ-C_09</w:t>
      </w:r>
      <w:r>
        <w:rPr>
          <w:rFonts w:ascii="Arial" w:eastAsia="Arial" w:hAnsi="Arial"/>
          <w:color w:val="000000"/>
          <w:sz w:val="24"/>
          <w:szCs w:val="24"/>
        </w:rPr>
        <w:t>B</w:t>
      </w:r>
      <w:r w:rsidRPr="00345EF8">
        <w:rPr>
          <w:rFonts w:ascii="Arial" w:eastAsia="Arial" w:hAnsi="Arial"/>
          <w:color w:val="000000"/>
          <w:sz w:val="24"/>
          <w:szCs w:val="24"/>
        </w:rPr>
        <w:t>_NSP_TB_2023-2026_RUS) was approved by the Cabinet of Ministers of the Kyrgyz Republic on March 03, 2023. Program goals are planned to be achieved by creating an integrated, person-oriented system of providing TB care, improving emergency response capacities, developing of active state policies on tuberculosis control, social support, reducing stigma and discrimination with participation of all interested ministries and entities, civil society, non-governmental organizations and medical service providers, regardless of type of ownership, active participation of individuals, patients and their close environment and civil society in prevention, detection and treatment of tuberculosis infection, improving adherence to treatment, behavior and attitudes changing aimed at increasing responsibility for personal health and health of those in close environment. By 2026, TB program aims to reduce the TB incidence to 74.7 per 100,000 population and TB mortality to less than 3.5 per 100,000 population.</w:t>
      </w:r>
    </w:p>
    <w:p w14:paraId="7B552BA1" w14:textId="7A2146DF" w:rsidR="00345EF8" w:rsidRPr="00345EF8" w:rsidRDefault="00345EF8" w:rsidP="0026062D">
      <w:pPr>
        <w:widowControl w:val="0"/>
        <w:spacing w:line="240" w:lineRule="auto"/>
        <w:jc w:val="both"/>
        <w:rPr>
          <w:rFonts w:ascii="Arial" w:eastAsia="Arial" w:hAnsi="Arial"/>
          <w:color w:val="000000"/>
          <w:sz w:val="24"/>
          <w:szCs w:val="24"/>
        </w:rPr>
      </w:pPr>
      <w:r w:rsidRPr="00345EF8">
        <w:rPr>
          <w:rFonts w:ascii="Arial" w:eastAsia="Arial" w:hAnsi="Arial"/>
          <w:color w:val="000000"/>
          <w:sz w:val="24"/>
          <w:szCs w:val="24"/>
        </w:rPr>
        <w:t xml:space="preserve">To support reaching TB Program goals, this FR concentrates on two major areas </w:t>
      </w:r>
      <w:r>
        <w:rPr>
          <w:rFonts w:ascii="Arial" w:eastAsia="Arial" w:hAnsi="Arial"/>
          <w:color w:val="000000"/>
          <w:sz w:val="24"/>
          <w:szCs w:val="24"/>
        </w:rPr>
        <w:t>–</w:t>
      </w:r>
      <w:r w:rsidRPr="00345EF8">
        <w:rPr>
          <w:rFonts w:ascii="Arial" w:eastAsia="Arial" w:hAnsi="Arial"/>
          <w:color w:val="000000"/>
          <w:sz w:val="24"/>
          <w:szCs w:val="24"/>
        </w:rPr>
        <w:t xml:space="preserve"> expanding the TB (mainly DR-TB) detection, ensuring full treatment coverage of all DR-TB cases and further improvement the treatment success rate. Engagement of NGOs in identification of new TB cases in the most epidemiologically affected areas will be significantly expanded and their activities will be further supported with the support of social contracting mechanisms. In parallel, the FR plans for activities aimed at active TB case finding and support to people with TB among key population groups, especially among PWID and prisoners, within NGOs working on HIV programs which would further strengthen the HIV/TB component. Strengthening capacity of TB services and PHC facilities to perform radiography using the artificial intelligence will also increase the detection of new TB cases, especially at early stages. This FR plans for significant scale up of the </w:t>
      </w:r>
      <w:proofErr w:type="spellStart"/>
      <w:r w:rsidRPr="00345EF8">
        <w:rPr>
          <w:rFonts w:ascii="Arial" w:eastAsia="Arial" w:hAnsi="Arial"/>
          <w:color w:val="000000"/>
          <w:sz w:val="24"/>
          <w:szCs w:val="24"/>
        </w:rPr>
        <w:t>BPaL</w:t>
      </w:r>
      <w:proofErr w:type="spellEnd"/>
      <w:r w:rsidRPr="00345EF8">
        <w:rPr>
          <w:rFonts w:ascii="Arial" w:eastAsia="Arial" w:hAnsi="Arial"/>
          <w:color w:val="000000"/>
          <w:sz w:val="24"/>
          <w:szCs w:val="24"/>
        </w:rPr>
        <w:t xml:space="preserve"> and </w:t>
      </w:r>
      <w:proofErr w:type="spellStart"/>
      <w:r w:rsidRPr="00345EF8">
        <w:rPr>
          <w:rFonts w:ascii="Arial" w:eastAsia="Arial" w:hAnsi="Arial"/>
          <w:color w:val="000000"/>
          <w:sz w:val="24"/>
          <w:szCs w:val="24"/>
        </w:rPr>
        <w:t>BPaL</w:t>
      </w:r>
      <w:proofErr w:type="spellEnd"/>
      <w:r w:rsidRPr="00345EF8">
        <w:rPr>
          <w:rFonts w:ascii="Arial" w:eastAsia="Arial" w:hAnsi="Arial"/>
          <w:color w:val="000000"/>
          <w:sz w:val="24"/>
          <w:szCs w:val="24"/>
        </w:rPr>
        <w:t>(M) regimens in the treatment of DR-TB with planned 60% coverage countrywide. This should significantly increase treatment adherence as well as treatment success rate. Transition to state funding will continue with further increase of state participation in TB program financing, support to registration of the SLD and scale up of the social contracting implementation.</w:t>
      </w:r>
    </w:p>
    <w:p w14:paraId="0D77A9D1" w14:textId="77777777" w:rsidR="00345EF8" w:rsidRPr="00EB2524" w:rsidRDefault="00345EF8" w:rsidP="0026062D">
      <w:pPr>
        <w:widowControl w:val="0"/>
        <w:spacing w:line="240" w:lineRule="auto"/>
        <w:jc w:val="both"/>
        <w:rPr>
          <w:rFonts w:ascii="Arial" w:eastAsia="Arial" w:hAnsi="Arial" w:cs="Arial"/>
          <w:color w:val="000000"/>
          <w:sz w:val="24"/>
          <w:szCs w:val="24"/>
        </w:rPr>
      </w:pPr>
      <w:r w:rsidRPr="00EB2524">
        <w:rPr>
          <w:rFonts w:ascii="Arial" w:eastAsia="Arial" w:hAnsi="Arial"/>
          <w:color w:val="000000"/>
          <w:sz w:val="24"/>
          <w:szCs w:val="24"/>
        </w:rPr>
        <w:t>The improvement of legislation, within the revision of the entire package of healthcare related laws, should ensure increased access to HIV, TB and narcology related services. In parallel, timely revision of clinical guidelines, scale up of social contracting, improvement of the regulatory framework for the treatment of HIV-related diseases, increase of state funding for HIV and TB programs, establishment of mechanisms for the procurement of medicines and health products through international procurement platforms should ensure the sustainability of HIV and TB services.</w:t>
      </w:r>
    </w:p>
    <w:p w14:paraId="5AE3FC40" w14:textId="42BA60D0" w:rsidR="00345EF8" w:rsidRPr="00345EF8" w:rsidRDefault="00345EF8" w:rsidP="0026062D">
      <w:pPr>
        <w:pStyle w:val="BodyText"/>
        <w:widowControl w:val="0"/>
        <w:spacing w:line="240" w:lineRule="auto"/>
        <w:jc w:val="both"/>
        <w:rPr>
          <w:color w:val="000000" w:themeColor="text1"/>
          <w:lang w:val="en-US"/>
        </w:rPr>
      </w:pPr>
      <w:r>
        <w:rPr>
          <w:rFonts w:ascii="Arial" w:eastAsia="Arial" w:hAnsi="Arial"/>
          <w:b/>
          <w:bCs/>
          <w:color w:val="000000"/>
          <w:szCs w:val="24"/>
          <w:lang w:val="en-US"/>
        </w:rPr>
        <w:t>C</w:t>
      </w:r>
      <w:r w:rsidRPr="004355E2">
        <w:rPr>
          <w:rFonts w:ascii="Arial" w:eastAsia="Arial" w:hAnsi="Arial"/>
          <w:b/>
          <w:bCs/>
          <w:color w:val="000000"/>
          <w:szCs w:val="24"/>
          <w:lang w:val="en-US"/>
        </w:rPr>
        <w:t>ommunity systems</w:t>
      </w:r>
      <w:r>
        <w:rPr>
          <w:rFonts w:ascii="Arial" w:eastAsia="Arial" w:hAnsi="Arial"/>
          <w:b/>
          <w:bCs/>
          <w:color w:val="000000"/>
          <w:szCs w:val="24"/>
          <w:lang w:val="en-US"/>
        </w:rPr>
        <w:t xml:space="preserve"> strengthening</w:t>
      </w:r>
      <w:r w:rsidRPr="004355E2">
        <w:rPr>
          <w:rFonts w:ascii="Arial" w:eastAsia="Arial" w:hAnsi="Arial"/>
          <w:b/>
          <w:bCs/>
          <w:color w:val="000000"/>
          <w:szCs w:val="24"/>
          <w:lang w:val="en-US"/>
        </w:rPr>
        <w:t>.</w:t>
      </w:r>
      <w:r w:rsidRPr="004355E2">
        <w:rPr>
          <w:rFonts w:ascii="Arial" w:eastAsia="Arial" w:hAnsi="Arial"/>
          <w:color w:val="000000"/>
          <w:szCs w:val="24"/>
          <w:lang w:val="en-US"/>
        </w:rPr>
        <w:t xml:space="preserve"> </w:t>
      </w:r>
      <w:r>
        <w:rPr>
          <w:rFonts w:ascii="Arial" w:eastAsia="Arial" w:hAnsi="Arial"/>
          <w:color w:val="000000"/>
          <w:szCs w:val="24"/>
          <w:lang w:val="en-US"/>
        </w:rPr>
        <w:t>In 2021, t</w:t>
      </w:r>
      <w:r w:rsidRPr="004355E2">
        <w:rPr>
          <w:rFonts w:ascii="Arial" w:eastAsia="Arial" w:hAnsi="Arial"/>
          <w:color w:val="000000"/>
          <w:szCs w:val="24"/>
          <w:lang w:val="en-US"/>
        </w:rPr>
        <w:t xml:space="preserve">he Kyrgyz Republic, along with </w:t>
      </w:r>
      <w:r>
        <w:rPr>
          <w:rFonts w:ascii="Arial" w:eastAsia="Arial" w:hAnsi="Arial"/>
          <w:color w:val="000000"/>
          <w:szCs w:val="24"/>
          <w:lang w:val="en-US"/>
        </w:rPr>
        <w:t>the majority</w:t>
      </w:r>
      <w:r w:rsidRPr="004355E2">
        <w:rPr>
          <w:rFonts w:ascii="Arial" w:eastAsia="Arial" w:hAnsi="Arial"/>
          <w:color w:val="000000"/>
          <w:szCs w:val="24"/>
          <w:lang w:val="en-US"/>
        </w:rPr>
        <w:t xml:space="preserve"> countries of the world, </w:t>
      </w:r>
      <w:r>
        <w:rPr>
          <w:rFonts w:ascii="Arial" w:eastAsia="Arial" w:hAnsi="Arial"/>
          <w:color w:val="000000"/>
          <w:szCs w:val="24"/>
          <w:lang w:val="en-US"/>
        </w:rPr>
        <w:t>committed to</w:t>
      </w:r>
      <w:r w:rsidRPr="004355E2">
        <w:rPr>
          <w:rFonts w:ascii="Arial" w:eastAsia="Arial" w:hAnsi="Arial"/>
          <w:color w:val="000000"/>
          <w:szCs w:val="24"/>
          <w:lang w:val="en-US"/>
        </w:rPr>
        <w:t xml:space="preserve"> the UNAIDS Political Declaration. The draft Government Program to Overcome the HIV epidemic and Parenteral viral hepatitis for 2023-2027</w:t>
      </w:r>
      <w:r>
        <w:rPr>
          <w:rFonts w:ascii="Arial" w:eastAsia="Arial" w:hAnsi="Arial"/>
          <w:color w:val="000000"/>
          <w:szCs w:val="24"/>
          <w:lang w:val="en-US"/>
        </w:rPr>
        <w:t xml:space="preserve">, mentioned </w:t>
      </w:r>
      <w:r>
        <w:rPr>
          <w:rFonts w:ascii="Arial" w:eastAsia="Arial" w:hAnsi="Arial"/>
          <w:color w:val="000000"/>
          <w:szCs w:val="24"/>
          <w:lang w:val="en-US"/>
        </w:rPr>
        <w:lastRenderedPageBreak/>
        <w:t xml:space="preserve">above, </w:t>
      </w:r>
      <w:r w:rsidRPr="004355E2">
        <w:rPr>
          <w:rFonts w:ascii="Arial" w:eastAsia="Arial" w:hAnsi="Arial"/>
          <w:color w:val="000000"/>
          <w:szCs w:val="24"/>
          <w:lang w:val="en-US"/>
        </w:rPr>
        <w:t>includes a separate strategic direction to eliminate stigma and discrimination against PLHIV and key population groups</w:t>
      </w:r>
      <w:r w:rsidRPr="004355E2">
        <w:rPr>
          <w:rFonts w:ascii="Arial" w:eastAsia="Arial" w:hAnsi="Arial" w:cs="Arial"/>
          <w:color w:val="000000"/>
          <w:szCs w:val="24"/>
          <w:lang w:val="en-US"/>
        </w:rPr>
        <w:t>.</w:t>
      </w:r>
      <w:r w:rsidRPr="004355E2">
        <w:rPr>
          <w:rFonts w:ascii="Arial" w:eastAsia="Arial" w:hAnsi="Arial"/>
          <w:color w:val="000000"/>
          <w:szCs w:val="24"/>
          <w:lang w:val="en-US"/>
        </w:rPr>
        <w:t xml:space="preserve"> The Program's activities </w:t>
      </w:r>
      <w:r>
        <w:rPr>
          <w:rFonts w:ascii="Arial" w:eastAsia="Arial" w:hAnsi="Arial"/>
          <w:color w:val="000000"/>
          <w:szCs w:val="24"/>
          <w:lang w:val="en-US"/>
        </w:rPr>
        <w:t>under</w:t>
      </w:r>
      <w:r w:rsidRPr="004355E2">
        <w:rPr>
          <w:rFonts w:ascii="Arial" w:eastAsia="Arial" w:hAnsi="Arial"/>
          <w:color w:val="000000"/>
          <w:szCs w:val="24"/>
          <w:lang w:val="en-US"/>
        </w:rPr>
        <w:t xml:space="preserve"> this strategic direction include strengthening </w:t>
      </w:r>
      <w:r>
        <w:rPr>
          <w:rFonts w:ascii="Arial" w:eastAsia="Arial" w:hAnsi="Arial"/>
          <w:color w:val="000000"/>
          <w:szCs w:val="24"/>
          <w:lang w:val="en-US"/>
        </w:rPr>
        <w:t xml:space="preserve">of </w:t>
      </w:r>
      <w:r w:rsidRPr="004355E2">
        <w:rPr>
          <w:rFonts w:ascii="Arial" w:eastAsia="Arial" w:hAnsi="Arial"/>
          <w:color w:val="000000"/>
          <w:szCs w:val="24"/>
          <w:lang w:val="en-US"/>
        </w:rPr>
        <w:t xml:space="preserve">community systems, expanding participation </w:t>
      </w:r>
      <w:r>
        <w:rPr>
          <w:rFonts w:ascii="Arial" w:eastAsia="Arial" w:hAnsi="Arial"/>
          <w:color w:val="000000"/>
          <w:szCs w:val="24"/>
          <w:lang w:val="en-US"/>
        </w:rPr>
        <w:t>of communities</w:t>
      </w:r>
      <w:r w:rsidRPr="004355E2">
        <w:rPr>
          <w:rFonts w:ascii="Arial" w:eastAsia="Arial" w:hAnsi="Arial"/>
          <w:color w:val="000000"/>
          <w:szCs w:val="24"/>
          <w:lang w:val="en-US"/>
        </w:rPr>
        <w:t xml:space="preserve"> in country decision-making mechanisms and development of national HIV strategies, elimination of stigma and discrimination against key population groups </w:t>
      </w:r>
      <w:r>
        <w:rPr>
          <w:rFonts w:ascii="Arial" w:eastAsia="Arial" w:hAnsi="Arial"/>
          <w:color w:val="000000"/>
          <w:szCs w:val="24"/>
          <w:lang w:val="en-US"/>
        </w:rPr>
        <w:t xml:space="preserve">and related </w:t>
      </w:r>
      <w:r w:rsidRPr="004355E2">
        <w:rPr>
          <w:rFonts w:ascii="Arial" w:eastAsia="Arial" w:hAnsi="Arial"/>
          <w:color w:val="000000"/>
          <w:szCs w:val="24"/>
          <w:lang w:val="en-US"/>
        </w:rPr>
        <w:t xml:space="preserve">legal protection, </w:t>
      </w:r>
      <w:r>
        <w:rPr>
          <w:rFonts w:ascii="Arial" w:eastAsia="Arial" w:hAnsi="Arial"/>
          <w:color w:val="000000"/>
          <w:szCs w:val="24"/>
          <w:lang w:val="en-US"/>
        </w:rPr>
        <w:t xml:space="preserve">as well as </w:t>
      </w:r>
      <w:r w:rsidRPr="004355E2">
        <w:rPr>
          <w:rFonts w:ascii="Arial" w:eastAsia="Arial" w:hAnsi="Arial"/>
          <w:color w:val="000000"/>
          <w:szCs w:val="24"/>
          <w:lang w:val="en-US"/>
        </w:rPr>
        <w:t xml:space="preserve">community </w:t>
      </w:r>
      <w:r>
        <w:rPr>
          <w:rFonts w:ascii="Arial" w:eastAsia="Arial" w:hAnsi="Arial"/>
          <w:color w:val="000000"/>
          <w:szCs w:val="24"/>
          <w:lang w:val="en-US"/>
        </w:rPr>
        <w:t>led</w:t>
      </w:r>
      <w:r w:rsidRPr="004355E2">
        <w:rPr>
          <w:rFonts w:ascii="Arial" w:eastAsia="Arial" w:hAnsi="Arial"/>
          <w:color w:val="000000"/>
          <w:szCs w:val="24"/>
          <w:lang w:val="en-US"/>
        </w:rPr>
        <w:t xml:space="preserve"> monitoring. The activities </w:t>
      </w:r>
      <w:r>
        <w:rPr>
          <w:rFonts w:ascii="Arial" w:eastAsia="Arial" w:hAnsi="Arial"/>
          <w:color w:val="000000"/>
          <w:szCs w:val="24"/>
          <w:lang w:val="en-US"/>
        </w:rPr>
        <w:t>within the FR</w:t>
      </w:r>
      <w:r w:rsidRPr="004355E2">
        <w:rPr>
          <w:rFonts w:ascii="Arial" w:eastAsia="Arial" w:hAnsi="Arial"/>
          <w:color w:val="000000"/>
          <w:szCs w:val="24"/>
          <w:lang w:val="en-US"/>
        </w:rPr>
        <w:t xml:space="preserve"> </w:t>
      </w:r>
      <w:r>
        <w:rPr>
          <w:rFonts w:ascii="Arial" w:eastAsia="Arial" w:hAnsi="Arial"/>
          <w:color w:val="000000"/>
          <w:szCs w:val="24"/>
          <w:lang w:val="en-US"/>
        </w:rPr>
        <w:t xml:space="preserve">cover the </w:t>
      </w:r>
      <w:r w:rsidRPr="004355E2">
        <w:rPr>
          <w:rFonts w:ascii="Arial" w:eastAsia="Arial" w:hAnsi="Arial"/>
          <w:color w:val="000000"/>
          <w:szCs w:val="24"/>
          <w:lang w:val="en-US"/>
        </w:rPr>
        <w:t>large</w:t>
      </w:r>
      <w:r>
        <w:rPr>
          <w:rFonts w:ascii="Arial" w:eastAsia="Arial" w:hAnsi="Arial"/>
          <w:color w:val="000000"/>
          <w:szCs w:val="24"/>
          <w:lang w:val="en-US"/>
        </w:rPr>
        <w:t xml:space="preserve"> part </w:t>
      </w:r>
      <w:r w:rsidRPr="004355E2">
        <w:rPr>
          <w:rFonts w:ascii="Arial" w:eastAsia="Arial" w:hAnsi="Arial"/>
          <w:color w:val="000000"/>
          <w:szCs w:val="24"/>
          <w:lang w:val="en-US"/>
        </w:rPr>
        <w:t>of the Program</w:t>
      </w:r>
      <w:r>
        <w:rPr>
          <w:rFonts w:ascii="Arial" w:eastAsia="Arial" w:hAnsi="Arial"/>
          <w:color w:val="000000"/>
          <w:szCs w:val="24"/>
          <w:lang w:val="en-US"/>
        </w:rPr>
        <w:t xml:space="preserve">, including </w:t>
      </w:r>
      <w:r w:rsidRPr="004355E2">
        <w:rPr>
          <w:rFonts w:ascii="Arial" w:eastAsia="Arial" w:hAnsi="Arial"/>
          <w:color w:val="000000"/>
          <w:szCs w:val="24"/>
          <w:lang w:val="en-US"/>
        </w:rPr>
        <w:t xml:space="preserve">2 modules </w:t>
      </w:r>
      <w:r>
        <w:rPr>
          <w:rFonts w:ascii="Arial" w:eastAsia="Arial" w:hAnsi="Arial"/>
          <w:color w:val="000000"/>
          <w:szCs w:val="24"/>
          <w:lang w:val="en-US"/>
        </w:rPr>
        <w:t>related to</w:t>
      </w:r>
      <w:r w:rsidRPr="004355E2">
        <w:rPr>
          <w:rFonts w:ascii="Arial" w:eastAsia="Arial" w:hAnsi="Arial"/>
          <w:color w:val="000000"/>
          <w:szCs w:val="24"/>
          <w:lang w:val="en-US"/>
        </w:rPr>
        <w:t xml:space="preserve"> justice, gender equality and human rights. A set of </w:t>
      </w:r>
      <w:r>
        <w:rPr>
          <w:rFonts w:ascii="Arial" w:eastAsia="Arial" w:hAnsi="Arial"/>
          <w:color w:val="000000"/>
          <w:szCs w:val="24"/>
          <w:lang w:val="en-US"/>
        </w:rPr>
        <w:t>activities related to scale up of the community led monitoring (</w:t>
      </w:r>
      <w:r w:rsidRPr="004355E2">
        <w:rPr>
          <w:rFonts w:ascii="Arial" w:eastAsia="Arial" w:hAnsi="Arial"/>
          <w:color w:val="000000"/>
          <w:szCs w:val="24"/>
          <w:lang w:val="en-US"/>
        </w:rPr>
        <w:t xml:space="preserve">monitoring the quality of HIV services, conducting various </w:t>
      </w:r>
      <w:r>
        <w:rPr>
          <w:rFonts w:ascii="Arial" w:eastAsia="Arial" w:hAnsi="Arial"/>
          <w:color w:val="000000"/>
          <w:szCs w:val="24"/>
          <w:lang w:val="en-US"/>
        </w:rPr>
        <w:t>surveys</w:t>
      </w:r>
      <w:r w:rsidRPr="004355E2">
        <w:rPr>
          <w:rFonts w:ascii="Arial" w:eastAsia="Arial" w:hAnsi="Arial"/>
          <w:color w:val="000000"/>
          <w:szCs w:val="24"/>
          <w:lang w:val="en-US"/>
        </w:rPr>
        <w:t xml:space="preserve"> in this area, strengthening response platforms to overcome barriers to </w:t>
      </w:r>
      <w:r>
        <w:rPr>
          <w:rFonts w:ascii="Arial" w:eastAsia="Arial" w:hAnsi="Arial"/>
          <w:color w:val="000000"/>
          <w:szCs w:val="24"/>
          <w:lang w:val="en-US"/>
        </w:rPr>
        <w:t>access to</w:t>
      </w:r>
      <w:r w:rsidRPr="004355E2">
        <w:rPr>
          <w:rFonts w:ascii="Arial" w:eastAsia="Arial" w:hAnsi="Arial"/>
          <w:color w:val="000000"/>
          <w:szCs w:val="24"/>
          <w:lang w:val="en-US"/>
        </w:rPr>
        <w:t xml:space="preserve"> services</w:t>
      </w:r>
      <w:r>
        <w:rPr>
          <w:rFonts w:ascii="Arial" w:eastAsia="Arial" w:hAnsi="Arial"/>
          <w:color w:val="000000"/>
          <w:szCs w:val="24"/>
          <w:lang w:val="en-US"/>
        </w:rPr>
        <w:t>) was envisaged</w:t>
      </w:r>
      <w:r w:rsidRPr="004355E2">
        <w:rPr>
          <w:rFonts w:ascii="Arial" w:eastAsia="Arial" w:hAnsi="Arial"/>
          <w:color w:val="000000"/>
          <w:szCs w:val="24"/>
          <w:lang w:val="en-US"/>
        </w:rPr>
        <w:t>.</w:t>
      </w:r>
      <w:r>
        <w:rPr>
          <w:rFonts w:ascii="Arial" w:eastAsia="Arial" w:hAnsi="Arial"/>
          <w:color w:val="000000"/>
          <w:szCs w:val="24"/>
          <w:lang w:val="en-US"/>
        </w:rPr>
        <w:t xml:space="preserve"> One of the modules, due to the availability of additionally allocated matching funds, is entirely focused to eliminating legal barriers related to HIV and TB and its activities are based on the recommendations of the report on the implementation of the current set of measures aimed at improving the legal environment</w:t>
      </w:r>
      <w:r>
        <w:rPr>
          <w:rStyle w:val="FootnoteReference"/>
          <w:rFonts w:ascii="Arial" w:eastAsia="Arial" w:hAnsi="Arial"/>
          <w:color w:val="000000"/>
          <w:szCs w:val="24"/>
          <w:lang w:val="en-US"/>
        </w:rPr>
        <w:footnoteReference w:id="57"/>
      </w:r>
      <w:r>
        <w:rPr>
          <w:rFonts w:ascii="Arial" w:eastAsia="Arial" w:hAnsi="Arial"/>
          <w:color w:val="000000"/>
          <w:szCs w:val="24"/>
          <w:lang w:val="en-US"/>
        </w:rPr>
        <w:t xml:space="preserve">. Activities envisaged should ensure the legal protection and decriminalization of key population groups, capacity building of the relevant communities, ensure </w:t>
      </w:r>
      <w:proofErr w:type="gramStart"/>
      <w:r>
        <w:rPr>
          <w:rFonts w:ascii="Arial" w:eastAsia="Arial" w:hAnsi="Arial"/>
          <w:color w:val="000000"/>
          <w:szCs w:val="24"/>
          <w:lang w:val="en-US"/>
        </w:rPr>
        <w:t>networks’</w:t>
      </w:r>
      <w:proofErr w:type="gramEnd"/>
      <w:r>
        <w:rPr>
          <w:rFonts w:ascii="Arial" w:eastAsia="Arial" w:hAnsi="Arial"/>
          <w:color w:val="000000"/>
          <w:szCs w:val="24"/>
          <w:lang w:val="en-US"/>
        </w:rPr>
        <w:t xml:space="preserve"> and communities’ participation in country decision-making mechanisms. Different activities will be implemented in support to eliminating HIV and TB related stigma and discrimination.</w:t>
      </w:r>
    </w:p>
    <w:p w14:paraId="54BA2C6C" w14:textId="71F8C97D" w:rsidR="00CE02D4" w:rsidRPr="00056613" w:rsidRDefault="00CB7AC4" w:rsidP="0026062D">
      <w:pPr>
        <w:pStyle w:val="BodyText"/>
        <w:widowControl w:val="0"/>
        <w:numPr>
          <w:ilvl w:val="1"/>
          <w:numId w:val="12"/>
        </w:numPr>
        <w:spacing w:line="240" w:lineRule="auto"/>
        <w:ind w:left="810"/>
        <w:rPr>
          <w:color w:val="000000" w:themeColor="text1"/>
        </w:rPr>
      </w:pPr>
      <w:r w:rsidRPr="00CB7AC4">
        <w:rPr>
          <w:b/>
        </w:rPr>
        <w:t>Sustainability, Domestic Financing, and Resource Mobilization</w:t>
      </w:r>
      <w:r w:rsidR="00CE02D4" w:rsidRPr="00056613">
        <w:t>:</w:t>
      </w:r>
    </w:p>
    <w:p w14:paraId="58CAED48" w14:textId="09C9DD09" w:rsidR="00CE02D4" w:rsidRPr="00EB2524" w:rsidRDefault="00CE02D4" w:rsidP="0026062D">
      <w:pPr>
        <w:pStyle w:val="BodyText"/>
        <w:widowControl w:val="0"/>
        <w:numPr>
          <w:ilvl w:val="0"/>
          <w:numId w:val="24"/>
        </w:numPr>
        <w:spacing w:line="240" w:lineRule="auto"/>
        <w:ind w:left="810" w:hanging="450"/>
        <w:jc w:val="both"/>
        <w:rPr>
          <w:rFonts w:ascii="Arial" w:eastAsia="Arial" w:hAnsi="Arial" w:cs="Arial"/>
          <w:color w:val="000000" w:themeColor="text1"/>
          <w:szCs w:val="24"/>
          <w:lang w:val="en-US"/>
        </w:rPr>
      </w:pPr>
      <w:r w:rsidRPr="6AAC4F5A">
        <w:rPr>
          <w:rFonts w:ascii="Arial" w:eastAsia="Arial" w:hAnsi="Arial" w:cs="Arial"/>
          <w:color w:val="000000" w:themeColor="text1"/>
          <w:szCs w:val="24"/>
        </w:rPr>
        <w:t xml:space="preserve">Briefly highlight major achievements and challenges to </w:t>
      </w:r>
      <w:r w:rsidR="00CF0EBB">
        <w:rPr>
          <w:rFonts w:ascii="Arial" w:eastAsia="Arial" w:hAnsi="Arial" w:cs="Arial"/>
          <w:color w:val="000000" w:themeColor="text1"/>
          <w:szCs w:val="24"/>
        </w:rPr>
        <w:t xml:space="preserve">the </w:t>
      </w:r>
      <w:r w:rsidRPr="6AAC4F5A">
        <w:rPr>
          <w:rFonts w:ascii="Arial" w:eastAsia="Arial" w:hAnsi="Arial" w:cs="Arial"/>
          <w:color w:val="000000" w:themeColor="text1"/>
          <w:szCs w:val="24"/>
        </w:rPr>
        <w:t>sustainability of the national response</w:t>
      </w:r>
      <w:r w:rsidR="00F04DFC">
        <w:rPr>
          <w:rFonts w:ascii="Arial" w:eastAsia="Arial" w:hAnsi="Arial" w:cs="Arial"/>
          <w:color w:val="000000" w:themeColor="text1"/>
          <w:szCs w:val="24"/>
        </w:rPr>
        <w:t>. D</w:t>
      </w:r>
      <w:r w:rsidRPr="6AAC4F5A">
        <w:rPr>
          <w:rFonts w:ascii="Arial" w:eastAsia="Arial" w:hAnsi="Arial" w:cs="Arial"/>
          <w:color w:val="000000" w:themeColor="text1"/>
          <w:szCs w:val="24"/>
        </w:rPr>
        <w:t>escribe efforts to address the</w:t>
      </w:r>
      <w:r w:rsidR="0006380D">
        <w:rPr>
          <w:rFonts w:ascii="Arial" w:eastAsia="Arial" w:hAnsi="Arial" w:cs="Arial"/>
          <w:color w:val="000000" w:themeColor="text1"/>
          <w:szCs w:val="24"/>
        </w:rPr>
        <w:t xml:space="preserve"> challenges</w:t>
      </w:r>
      <w:r w:rsidR="0006380D" w:rsidRPr="6AAC4F5A" w:rsidDel="0006380D">
        <w:rPr>
          <w:rFonts w:ascii="Arial" w:eastAsia="Arial" w:hAnsi="Arial" w:cs="Arial"/>
          <w:color w:val="000000" w:themeColor="text1"/>
          <w:szCs w:val="24"/>
        </w:rPr>
        <w:t xml:space="preserve"> </w:t>
      </w:r>
      <w:r w:rsidR="00191539">
        <w:rPr>
          <w:rFonts w:ascii="Arial" w:eastAsia="Arial" w:hAnsi="Arial" w:cs="Arial"/>
          <w:color w:val="000000" w:themeColor="text1"/>
          <w:szCs w:val="24"/>
        </w:rPr>
        <w:t xml:space="preserve">through this funding request, </w:t>
      </w:r>
      <w:r w:rsidRPr="6AAC4F5A">
        <w:rPr>
          <w:rFonts w:ascii="Arial" w:eastAsia="Arial" w:hAnsi="Arial" w:cs="Arial"/>
          <w:color w:val="000000" w:themeColor="text1"/>
          <w:szCs w:val="24"/>
        </w:rPr>
        <w:t>efforts to strengthen health financing, or other initiatives planned by the country</w:t>
      </w:r>
      <w:r w:rsidR="00191AFE">
        <w:rPr>
          <w:rFonts w:ascii="Arial" w:eastAsia="Arial" w:hAnsi="Arial" w:cs="Arial"/>
          <w:color w:val="000000" w:themeColor="text1"/>
          <w:szCs w:val="24"/>
        </w:rPr>
        <w:t>.</w:t>
      </w:r>
    </w:p>
    <w:p w14:paraId="15CF514A" w14:textId="77777777" w:rsidR="000B73B2" w:rsidRPr="000B73B2" w:rsidRDefault="000B73B2" w:rsidP="0026062D">
      <w:pPr>
        <w:widowControl w:val="0"/>
        <w:spacing w:line="240" w:lineRule="auto"/>
        <w:jc w:val="both"/>
        <w:rPr>
          <w:rFonts w:ascii="Arial" w:eastAsia="Arial" w:hAnsi="Arial"/>
          <w:sz w:val="24"/>
          <w:szCs w:val="24"/>
        </w:rPr>
      </w:pPr>
      <w:r w:rsidRPr="000B73B2">
        <w:rPr>
          <w:rFonts w:ascii="Arial" w:eastAsia="Arial" w:hAnsi="Arial"/>
          <w:sz w:val="24"/>
          <w:szCs w:val="24"/>
        </w:rPr>
        <w:t>Since 2018, Kyrgyz Republic has taken a number of steps to ensure the sustainability of HIV and TB programs. As part of the Government's Program to Overcome the HIV epidemic for 2017-2021, a plan for transition to public funding was approved, while the draft HIV and TB programs for 2023-2027 (both mentioned above) also provide for separate activities and directions for increasing public funding. During the recent years, state funding for HIV programs has been significantly increased with more than 80% of the ARV drugs and tests covered by state funds as well as with already started implementation of the social contracting.</w:t>
      </w:r>
      <w:r w:rsidRPr="000B73B2">
        <w:rPr>
          <w:rFonts w:ascii="Arial" w:eastAsia="Arial" w:hAnsi="Arial" w:cs="Arial"/>
          <w:sz w:val="24"/>
          <w:szCs w:val="24"/>
        </w:rPr>
        <w:t xml:space="preserve"> </w:t>
      </w:r>
      <w:r w:rsidRPr="000B73B2">
        <w:rPr>
          <w:rFonts w:ascii="Arial" w:eastAsia="Arial" w:hAnsi="Arial"/>
          <w:sz w:val="24"/>
          <w:szCs w:val="24"/>
        </w:rPr>
        <w:t xml:space="preserve">In 2022, additional $700,000 from the state budget were allocated for the procurement of anti-tuberculosis drugs, programs and standards of the social contracting in the field of TB. The state budget for 2023, in addition to funds for HIV and TB, provides approximately $300,000 for the OST program. In parallel, in the recent years, different measures have been taken to expand the range of ARV drugs at the local market, resulting in the cost of state procured ARV drugs (TLD) being among the lowest in the region and below $100 per treatment course per year. Amendments have been made to the “Law on Public Procurement", providing the possibility for procuring medicines through international procurement platforms. However, a number of challenges to ensure the full sustainability of the programs remain to be addressed. The amount of allocated state funding for both programs </w:t>
      </w:r>
      <w:proofErr w:type="gramStart"/>
      <w:r w:rsidRPr="000B73B2">
        <w:rPr>
          <w:rFonts w:ascii="Arial" w:eastAsia="Arial" w:hAnsi="Arial"/>
          <w:sz w:val="24"/>
          <w:szCs w:val="24"/>
        </w:rPr>
        <w:t>remains</w:t>
      </w:r>
      <w:proofErr w:type="gramEnd"/>
      <w:r w:rsidRPr="000B73B2">
        <w:rPr>
          <w:rFonts w:ascii="Arial" w:eastAsia="Arial" w:hAnsi="Arial"/>
          <w:sz w:val="24"/>
          <w:szCs w:val="24"/>
        </w:rPr>
        <w:t xml:space="preserve"> insufficient and the existing funding gap remains significant (e.g. SLD and DR-TB diagnostic tests are almost entirely purchased from the GF grants). Local market still does not provide with enough high-quality SLD, while reagents and tests are not registered in the country. The situation is aggravated by the unified Eurasian Economic Union (EEU) drug policy effective as of 2021 and since that time there are practically no opportunities to register any medicines and health products at the local market. To address these issues, the Ministry of Health and the Cabinet of Ministers initiated a revision of laws and regulations that will allow the registration of drugs according to national procedures, while also working with the international partners on introducing a mechanism for procurement of medicines through international procurement platforms.</w:t>
      </w:r>
    </w:p>
    <w:p w14:paraId="4D6E5122" w14:textId="77777777" w:rsidR="000B73B2" w:rsidRPr="000B73B2" w:rsidRDefault="000B73B2" w:rsidP="0026062D">
      <w:pPr>
        <w:widowControl w:val="0"/>
        <w:spacing w:line="240" w:lineRule="auto"/>
        <w:jc w:val="both"/>
        <w:rPr>
          <w:rFonts w:ascii="Arial" w:eastAsia="Arial" w:hAnsi="Arial"/>
          <w:sz w:val="24"/>
          <w:szCs w:val="24"/>
        </w:rPr>
      </w:pPr>
      <w:r w:rsidRPr="000B73B2">
        <w:rPr>
          <w:rFonts w:ascii="Arial" w:eastAsia="Arial" w:hAnsi="Arial"/>
          <w:sz w:val="24"/>
          <w:szCs w:val="24"/>
        </w:rPr>
        <w:lastRenderedPageBreak/>
        <w:t>Kyrgyz Republic has been gradually increasing the state funding for health care programs resulting in 50-70% salary increase in the public health in 2022. Number of measures to optimize public procurement of medicines have also been taken, including the centralized procurement from manufacturing plants, which should reduce the cost of drugs and make the use of public funds more effective.</w:t>
      </w:r>
    </w:p>
    <w:p w14:paraId="20316987" w14:textId="1C2B699C" w:rsidR="00EB2524" w:rsidRDefault="000B73B2" w:rsidP="0026062D">
      <w:pPr>
        <w:pStyle w:val="BodyText"/>
        <w:widowControl w:val="0"/>
        <w:spacing w:line="240" w:lineRule="auto"/>
        <w:jc w:val="both"/>
        <w:rPr>
          <w:rFonts w:ascii="Arial" w:eastAsia="Arial" w:hAnsi="Arial" w:cs="Arial"/>
          <w:color w:val="000000" w:themeColor="text1"/>
          <w:szCs w:val="24"/>
          <w:lang w:val="en-US"/>
        </w:rPr>
      </w:pPr>
      <w:r>
        <w:rPr>
          <w:rFonts w:ascii="Arial" w:eastAsia="Arial" w:hAnsi="Arial"/>
          <w:szCs w:val="24"/>
          <w:lang w:val="en-US"/>
        </w:rPr>
        <w:t xml:space="preserve">It should be noted that the country developed and </w:t>
      </w:r>
      <w:r w:rsidRPr="00B44097">
        <w:rPr>
          <w:rFonts w:ascii="Arial" w:eastAsia="Arial" w:hAnsi="Arial"/>
          <w:szCs w:val="24"/>
          <w:lang w:val="en-US"/>
        </w:rPr>
        <w:t xml:space="preserve">submitted for approval a package of laws in the health sector, which will expand the scope of </w:t>
      </w:r>
      <w:r>
        <w:rPr>
          <w:rFonts w:ascii="Arial" w:eastAsia="Arial" w:hAnsi="Arial"/>
          <w:szCs w:val="24"/>
          <w:lang w:val="en-US"/>
        </w:rPr>
        <w:t xml:space="preserve">health </w:t>
      </w:r>
      <w:r w:rsidRPr="00B44097">
        <w:rPr>
          <w:rFonts w:ascii="Arial" w:eastAsia="Arial" w:hAnsi="Arial"/>
          <w:szCs w:val="24"/>
          <w:lang w:val="en-US"/>
        </w:rPr>
        <w:t xml:space="preserve">guaranteed services for the population, including HIV and TB, harm reduction </w:t>
      </w:r>
      <w:r>
        <w:rPr>
          <w:rFonts w:ascii="Arial" w:eastAsia="Arial" w:hAnsi="Arial"/>
          <w:szCs w:val="24"/>
          <w:lang w:val="en-US"/>
        </w:rPr>
        <w:t xml:space="preserve">and OST </w:t>
      </w:r>
      <w:r w:rsidRPr="00B44097">
        <w:rPr>
          <w:rFonts w:ascii="Arial" w:eastAsia="Arial" w:hAnsi="Arial"/>
          <w:szCs w:val="24"/>
          <w:lang w:val="en-US"/>
        </w:rPr>
        <w:t xml:space="preserve">programs. Lists of essential medicines, medical and social guarantees program for the population and other normative legal acts related to the provision of medical services to the population will be revised. As part of this </w:t>
      </w:r>
      <w:r>
        <w:rPr>
          <w:rFonts w:ascii="Arial" w:eastAsia="Arial" w:hAnsi="Arial"/>
          <w:szCs w:val="24"/>
          <w:lang w:val="en-US"/>
        </w:rPr>
        <w:t>FR</w:t>
      </w:r>
      <w:r w:rsidRPr="00B44097">
        <w:rPr>
          <w:rFonts w:ascii="Arial" w:eastAsia="Arial" w:hAnsi="Arial"/>
          <w:szCs w:val="24"/>
          <w:lang w:val="en-US"/>
        </w:rPr>
        <w:t>, the country commits to expanding government funding for HIV and TB programs.</w:t>
      </w:r>
    </w:p>
    <w:p w14:paraId="7BFDCE86" w14:textId="1A4FE4B6" w:rsidR="00CE02D4" w:rsidRDefault="00CE02D4" w:rsidP="0026062D">
      <w:pPr>
        <w:pStyle w:val="BodyText"/>
        <w:widowControl w:val="0"/>
        <w:numPr>
          <w:ilvl w:val="0"/>
          <w:numId w:val="24"/>
        </w:numPr>
        <w:spacing w:line="240" w:lineRule="auto"/>
        <w:ind w:left="810" w:hanging="450"/>
        <w:jc w:val="both"/>
        <w:rPr>
          <w:rFonts w:ascii="Arial" w:eastAsia="Arial" w:hAnsi="Arial" w:cs="Arial"/>
          <w:color w:val="000000" w:themeColor="text1"/>
          <w:szCs w:val="24"/>
        </w:rPr>
      </w:pPr>
      <w:r w:rsidRPr="6AAC4F5A">
        <w:rPr>
          <w:rFonts w:ascii="Arial" w:eastAsia="Arial" w:hAnsi="Arial" w:cs="Arial"/>
          <w:color w:val="000000" w:themeColor="text1"/>
          <w:szCs w:val="24"/>
        </w:rPr>
        <w:t xml:space="preserve">Describe how co-financing commitments for the 2020-2022 allocation period have </w:t>
      </w:r>
      <w:proofErr w:type="gramStart"/>
      <w:r w:rsidRPr="6AAC4F5A">
        <w:rPr>
          <w:rFonts w:ascii="Arial" w:eastAsia="Arial" w:hAnsi="Arial" w:cs="Arial"/>
          <w:color w:val="000000" w:themeColor="text1"/>
          <w:szCs w:val="24"/>
        </w:rPr>
        <w:t>been realized</w:t>
      </w:r>
      <w:proofErr w:type="gramEnd"/>
      <w:r w:rsidR="0006380D">
        <w:rPr>
          <w:rFonts w:ascii="Arial" w:eastAsia="Arial" w:hAnsi="Arial" w:cs="Arial"/>
          <w:color w:val="000000" w:themeColor="text1"/>
          <w:szCs w:val="24"/>
        </w:rPr>
        <w:t>.</w:t>
      </w:r>
      <w:r w:rsidRPr="6AAC4F5A">
        <w:rPr>
          <w:rFonts w:ascii="Arial" w:eastAsia="Arial" w:hAnsi="Arial" w:cs="Arial"/>
          <w:color w:val="000000" w:themeColor="text1"/>
          <w:szCs w:val="24"/>
        </w:rPr>
        <w:t xml:space="preserve"> </w:t>
      </w:r>
      <w:r w:rsidR="0006380D">
        <w:rPr>
          <w:rFonts w:ascii="Arial" w:eastAsia="Arial" w:hAnsi="Arial" w:cs="Arial"/>
          <w:color w:val="000000" w:themeColor="text1"/>
          <w:szCs w:val="24"/>
        </w:rPr>
        <w:t xml:space="preserve">Highlight </w:t>
      </w:r>
      <w:r w:rsidRPr="6AAC4F5A">
        <w:rPr>
          <w:rFonts w:ascii="Arial" w:eastAsia="Arial" w:hAnsi="Arial" w:cs="Arial"/>
          <w:color w:val="000000" w:themeColor="text1"/>
          <w:szCs w:val="24"/>
        </w:rPr>
        <w:t>additional domestic investments in the national responses and specific programmatic areas supported by domestic co-financing.</w:t>
      </w:r>
      <w:r w:rsidR="00C440C0">
        <w:rPr>
          <w:rFonts w:ascii="Arial" w:eastAsia="Arial" w:hAnsi="Arial" w:cs="Arial"/>
          <w:color w:val="000000" w:themeColor="text1"/>
          <w:szCs w:val="24"/>
        </w:rPr>
        <w:t xml:space="preserve"> </w:t>
      </w:r>
      <w:r w:rsidR="00485B05">
        <w:rPr>
          <w:rFonts w:ascii="Arial" w:eastAsia="Arial" w:hAnsi="Arial" w:cs="Arial"/>
          <w:color w:val="000000" w:themeColor="text1"/>
          <w:szCs w:val="24"/>
        </w:rPr>
        <w:t>If co-financing commitments</w:t>
      </w:r>
      <w:r w:rsidR="00F522B9">
        <w:rPr>
          <w:rFonts w:ascii="Arial" w:eastAsia="Arial" w:hAnsi="Arial" w:cs="Arial"/>
          <w:color w:val="000000" w:themeColor="text1"/>
          <w:szCs w:val="24"/>
        </w:rPr>
        <w:t xml:space="preserve"> have not </w:t>
      </w:r>
      <w:proofErr w:type="gramStart"/>
      <w:r w:rsidR="00F522B9">
        <w:rPr>
          <w:rFonts w:ascii="Arial" w:eastAsia="Arial" w:hAnsi="Arial" w:cs="Arial"/>
          <w:color w:val="000000" w:themeColor="text1"/>
          <w:szCs w:val="24"/>
        </w:rPr>
        <w:t>been fully met</w:t>
      </w:r>
      <w:proofErr w:type="gramEnd"/>
      <w:r w:rsidR="00485B05">
        <w:rPr>
          <w:rFonts w:ascii="Arial" w:eastAsia="Arial" w:hAnsi="Arial" w:cs="Arial"/>
          <w:color w:val="000000" w:themeColor="text1"/>
          <w:szCs w:val="24"/>
        </w:rPr>
        <w:t>, provide a justification as to why.</w:t>
      </w:r>
    </w:p>
    <w:p w14:paraId="0605E13A" w14:textId="19546BD6" w:rsidR="000B73B2" w:rsidRDefault="005B1BD5" w:rsidP="0026062D">
      <w:pPr>
        <w:pStyle w:val="BodyText"/>
        <w:widowControl w:val="0"/>
        <w:spacing w:line="240" w:lineRule="auto"/>
        <w:jc w:val="both"/>
        <w:rPr>
          <w:rFonts w:ascii="Arial" w:eastAsia="Arial" w:hAnsi="Arial" w:cs="Arial"/>
          <w:color w:val="000000" w:themeColor="text1"/>
          <w:szCs w:val="24"/>
        </w:rPr>
      </w:pPr>
      <w:r>
        <w:rPr>
          <w:rFonts w:ascii="Arial" w:eastAsia="Arial" w:hAnsi="Arial"/>
          <w:szCs w:val="24"/>
          <w:lang w:val="en-US"/>
        </w:rPr>
        <w:t>In line with</w:t>
      </w:r>
      <w:r w:rsidR="000B73B2" w:rsidRPr="004355E2">
        <w:rPr>
          <w:rFonts w:ascii="Arial" w:eastAsia="Arial" w:hAnsi="Arial"/>
          <w:szCs w:val="24"/>
          <w:lang w:val="en-US"/>
        </w:rPr>
        <w:t xml:space="preserve"> the </w:t>
      </w:r>
      <w:r w:rsidR="002B79A8">
        <w:rPr>
          <w:rFonts w:ascii="Arial" w:eastAsia="Arial" w:hAnsi="Arial"/>
          <w:szCs w:val="24"/>
          <w:lang w:val="en-US"/>
        </w:rPr>
        <w:t>GF</w:t>
      </w:r>
      <w:r w:rsidR="000B73B2">
        <w:rPr>
          <w:rFonts w:ascii="Arial" w:eastAsia="Arial" w:hAnsi="Arial"/>
          <w:szCs w:val="24"/>
          <w:lang w:val="en-US"/>
        </w:rPr>
        <w:t xml:space="preserve"> </w:t>
      </w:r>
      <w:r w:rsidR="000B73B2" w:rsidRPr="004355E2">
        <w:rPr>
          <w:rFonts w:ascii="Arial" w:eastAsia="Arial" w:hAnsi="Arial"/>
          <w:szCs w:val="24"/>
          <w:lang w:val="en-US"/>
        </w:rPr>
        <w:t>allocation letter dated December 13, 2019, Kyrgyz</w:t>
      </w:r>
      <w:r w:rsidR="000B73B2">
        <w:rPr>
          <w:rFonts w:ascii="Arial" w:eastAsia="Arial" w:hAnsi="Arial"/>
          <w:szCs w:val="24"/>
          <w:lang w:val="en-US"/>
        </w:rPr>
        <w:t xml:space="preserve"> Republic</w:t>
      </w:r>
      <w:r w:rsidR="000B73B2" w:rsidRPr="004355E2">
        <w:rPr>
          <w:rFonts w:ascii="Arial" w:eastAsia="Arial" w:hAnsi="Arial"/>
          <w:szCs w:val="24"/>
          <w:lang w:val="en-US"/>
        </w:rPr>
        <w:t xml:space="preserve"> was offered access to full </w:t>
      </w:r>
      <w:r w:rsidR="000B73B2">
        <w:rPr>
          <w:rFonts w:ascii="Arial" w:eastAsia="Arial" w:hAnsi="Arial"/>
          <w:szCs w:val="24"/>
          <w:lang w:val="en-US"/>
        </w:rPr>
        <w:t>funding</w:t>
      </w:r>
      <w:r w:rsidR="000B73B2" w:rsidRPr="004355E2">
        <w:rPr>
          <w:rFonts w:ascii="Arial" w:eastAsia="Arial" w:hAnsi="Arial"/>
          <w:szCs w:val="24"/>
          <w:lang w:val="en-US"/>
        </w:rPr>
        <w:t xml:space="preserve"> </w:t>
      </w:r>
      <w:r w:rsidR="000B73B2">
        <w:rPr>
          <w:rFonts w:ascii="Arial" w:eastAsia="Arial" w:hAnsi="Arial"/>
          <w:szCs w:val="24"/>
          <w:lang w:val="en-US"/>
        </w:rPr>
        <w:t>subject to</w:t>
      </w:r>
      <w:r w:rsidR="000B73B2" w:rsidRPr="004355E2">
        <w:rPr>
          <w:rFonts w:ascii="Arial" w:eastAsia="Arial" w:hAnsi="Arial"/>
          <w:szCs w:val="24"/>
          <w:lang w:val="en-US"/>
        </w:rPr>
        <w:t xml:space="preserve"> additional state budget allocation in the amount of </w:t>
      </w:r>
      <w:r w:rsidR="000B73B2">
        <w:rPr>
          <w:rFonts w:ascii="Arial" w:eastAsia="Arial" w:hAnsi="Arial"/>
          <w:szCs w:val="24"/>
          <w:lang w:val="en-US"/>
        </w:rPr>
        <w:t>$</w:t>
      </w:r>
      <w:r w:rsidR="000B73B2" w:rsidRPr="004355E2">
        <w:rPr>
          <w:rFonts w:ascii="Arial" w:eastAsia="Arial" w:hAnsi="Arial"/>
          <w:szCs w:val="24"/>
          <w:lang w:val="en-US"/>
        </w:rPr>
        <w:t xml:space="preserve">3,965,459. </w:t>
      </w:r>
      <w:r w:rsidR="000B73B2">
        <w:rPr>
          <w:rFonts w:ascii="Arial" w:eastAsia="Arial" w:hAnsi="Arial"/>
          <w:szCs w:val="24"/>
          <w:lang w:val="en-US"/>
        </w:rPr>
        <w:t>These</w:t>
      </w:r>
      <w:r w:rsidR="000B73B2" w:rsidRPr="004355E2">
        <w:rPr>
          <w:rFonts w:ascii="Arial" w:eastAsia="Arial" w:hAnsi="Arial"/>
          <w:szCs w:val="24"/>
          <w:lang w:val="en-US"/>
        </w:rPr>
        <w:t xml:space="preserve"> funds </w:t>
      </w:r>
      <w:r w:rsidR="000B73B2">
        <w:rPr>
          <w:rFonts w:ascii="Arial" w:eastAsia="Arial" w:hAnsi="Arial"/>
          <w:szCs w:val="24"/>
          <w:lang w:val="en-US"/>
        </w:rPr>
        <w:t>should</w:t>
      </w:r>
      <w:r w:rsidR="000B73B2" w:rsidRPr="004355E2">
        <w:rPr>
          <w:rFonts w:ascii="Arial" w:eastAsia="Arial" w:hAnsi="Arial"/>
          <w:szCs w:val="24"/>
          <w:lang w:val="en-US"/>
        </w:rPr>
        <w:t xml:space="preserve"> </w:t>
      </w:r>
      <w:r w:rsidR="000B73B2">
        <w:rPr>
          <w:rFonts w:ascii="Arial" w:eastAsia="Arial" w:hAnsi="Arial"/>
          <w:szCs w:val="24"/>
          <w:lang w:val="en-US"/>
        </w:rPr>
        <w:t xml:space="preserve">have </w:t>
      </w:r>
      <w:r w:rsidR="000B73B2" w:rsidRPr="004355E2">
        <w:rPr>
          <w:rFonts w:ascii="Arial" w:eastAsia="Arial" w:hAnsi="Arial"/>
          <w:szCs w:val="24"/>
          <w:lang w:val="en-US"/>
        </w:rPr>
        <w:t>be</w:t>
      </w:r>
      <w:r w:rsidR="000B73B2">
        <w:rPr>
          <w:rFonts w:ascii="Arial" w:eastAsia="Arial" w:hAnsi="Arial"/>
          <w:szCs w:val="24"/>
          <w:lang w:val="en-US"/>
        </w:rPr>
        <w:t>en</w:t>
      </w:r>
      <w:r w:rsidR="000B73B2" w:rsidRPr="004355E2">
        <w:rPr>
          <w:rFonts w:ascii="Arial" w:eastAsia="Arial" w:hAnsi="Arial"/>
          <w:szCs w:val="24"/>
          <w:lang w:val="en-US"/>
        </w:rPr>
        <w:t xml:space="preserve"> used to finance HIV and </w:t>
      </w:r>
      <w:r w:rsidR="000B73B2">
        <w:rPr>
          <w:rFonts w:ascii="Arial" w:eastAsia="Arial" w:hAnsi="Arial"/>
          <w:szCs w:val="24"/>
          <w:lang w:val="en-US"/>
        </w:rPr>
        <w:t>TB</w:t>
      </w:r>
      <w:r w:rsidR="000B73B2" w:rsidRPr="004355E2">
        <w:rPr>
          <w:rFonts w:ascii="Arial" w:eastAsia="Arial" w:hAnsi="Arial"/>
          <w:szCs w:val="24"/>
          <w:lang w:val="en-US"/>
        </w:rPr>
        <w:t xml:space="preserve"> programs, including the </w:t>
      </w:r>
      <w:r w:rsidR="000B73B2">
        <w:rPr>
          <w:rFonts w:ascii="Arial" w:eastAsia="Arial" w:hAnsi="Arial"/>
          <w:szCs w:val="24"/>
          <w:lang w:val="en-US"/>
        </w:rPr>
        <w:t>procurement</w:t>
      </w:r>
      <w:r w:rsidR="000B73B2" w:rsidRPr="004355E2">
        <w:rPr>
          <w:rFonts w:ascii="Arial" w:eastAsia="Arial" w:hAnsi="Arial"/>
          <w:szCs w:val="24"/>
          <w:lang w:val="en-US"/>
        </w:rPr>
        <w:t xml:space="preserve"> of ARV drugs and increase</w:t>
      </w:r>
      <w:r w:rsidR="000B73B2">
        <w:rPr>
          <w:rFonts w:ascii="Arial" w:eastAsia="Arial" w:hAnsi="Arial"/>
          <w:szCs w:val="24"/>
          <w:lang w:val="en-US"/>
        </w:rPr>
        <w:t>d</w:t>
      </w:r>
      <w:r w:rsidR="000B73B2" w:rsidRPr="004355E2">
        <w:rPr>
          <w:rFonts w:ascii="Arial" w:eastAsia="Arial" w:hAnsi="Arial"/>
          <w:szCs w:val="24"/>
          <w:lang w:val="en-US"/>
        </w:rPr>
        <w:t xml:space="preserve"> investments in human resources for healthcare in order to maximize the impact of HIV and </w:t>
      </w:r>
      <w:r w:rsidR="000B73B2">
        <w:rPr>
          <w:rFonts w:ascii="Arial" w:eastAsia="Arial" w:hAnsi="Arial"/>
          <w:szCs w:val="24"/>
          <w:lang w:val="en-US"/>
        </w:rPr>
        <w:t>TB</w:t>
      </w:r>
      <w:r w:rsidR="000B73B2" w:rsidRPr="004355E2">
        <w:rPr>
          <w:rFonts w:ascii="Arial" w:eastAsia="Arial" w:hAnsi="Arial"/>
          <w:szCs w:val="24"/>
          <w:lang w:val="en-US"/>
        </w:rPr>
        <w:t xml:space="preserve"> programs. It should be noted that</w:t>
      </w:r>
      <w:r w:rsidR="000B73B2">
        <w:rPr>
          <w:rFonts w:ascii="Arial" w:eastAsia="Arial" w:hAnsi="Arial"/>
          <w:szCs w:val="24"/>
          <w:lang w:val="en-US"/>
        </w:rPr>
        <w:t xml:space="preserve">, </w:t>
      </w:r>
      <w:r w:rsidR="000B73B2" w:rsidRPr="004355E2">
        <w:rPr>
          <w:rFonts w:ascii="Arial" w:eastAsia="Arial" w:hAnsi="Arial"/>
          <w:szCs w:val="24"/>
          <w:lang w:val="en-US"/>
        </w:rPr>
        <w:t>accord</w:t>
      </w:r>
      <w:r w:rsidR="000B73B2">
        <w:rPr>
          <w:rFonts w:ascii="Arial" w:eastAsia="Arial" w:hAnsi="Arial"/>
          <w:szCs w:val="24"/>
          <w:lang w:val="en-US"/>
        </w:rPr>
        <w:t>ing to</w:t>
      </w:r>
      <w:r w:rsidR="000B73B2" w:rsidRPr="004355E2">
        <w:rPr>
          <w:rFonts w:ascii="Arial" w:eastAsia="Arial" w:hAnsi="Arial"/>
          <w:szCs w:val="24"/>
          <w:lang w:val="en-US"/>
        </w:rPr>
        <w:t xml:space="preserve"> the laws on the republican budget </w:t>
      </w:r>
      <w:r w:rsidR="000B73B2">
        <w:rPr>
          <w:rFonts w:ascii="Arial" w:eastAsia="Arial" w:hAnsi="Arial"/>
          <w:szCs w:val="24"/>
          <w:lang w:val="en-US"/>
        </w:rPr>
        <w:t>for</w:t>
      </w:r>
      <w:r w:rsidR="000B73B2" w:rsidRPr="004355E2">
        <w:rPr>
          <w:rFonts w:ascii="Arial" w:eastAsia="Arial" w:hAnsi="Arial"/>
          <w:szCs w:val="24"/>
          <w:lang w:val="en-US"/>
        </w:rPr>
        <w:t xml:space="preserve"> 2021, 2022, </w:t>
      </w:r>
      <w:r w:rsidR="000B73B2">
        <w:rPr>
          <w:rFonts w:ascii="Arial" w:eastAsia="Arial" w:hAnsi="Arial"/>
          <w:szCs w:val="24"/>
          <w:lang w:val="en-US"/>
        </w:rPr>
        <w:t xml:space="preserve">and </w:t>
      </w:r>
      <w:r w:rsidR="000B73B2" w:rsidRPr="004355E2">
        <w:rPr>
          <w:rFonts w:ascii="Arial" w:eastAsia="Arial" w:hAnsi="Arial"/>
          <w:szCs w:val="24"/>
          <w:lang w:val="en-US"/>
        </w:rPr>
        <w:t>2023</w:t>
      </w:r>
      <w:r w:rsidR="000B73B2">
        <w:rPr>
          <w:rFonts w:ascii="Arial" w:eastAsia="Arial" w:hAnsi="Arial"/>
          <w:szCs w:val="24"/>
          <w:lang w:val="en-US"/>
        </w:rPr>
        <w:t>,</w:t>
      </w:r>
      <w:r w:rsidR="000B73B2" w:rsidRPr="004355E2">
        <w:rPr>
          <w:rFonts w:ascii="Arial" w:eastAsia="Arial" w:hAnsi="Arial"/>
          <w:szCs w:val="24"/>
          <w:lang w:val="en-US"/>
        </w:rPr>
        <w:t xml:space="preserve"> </w:t>
      </w:r>
      <w:r w:rsidR="000B73B2">
        <w:rPr>
          <w:rFonts w:ascii="Arial" w:eastAsia="Arial" w:hAnsi="Arial"/>
          <w:szCs w:val="24"/>
          <w:lang w:val="en-US"/>
        </w:rPr>
        <w:t>t</w:t>
      </w:r>
      <w:r w:rsidR="000B73B2" w:rsidRPr="004355E2">
        <w:rPr>
          <w:rFonts w:ascii="Arial" w:eastAsia="Arial" w:hAnsi="Arial"/>
          <w:szCs w:val="24"/>
          <w:lang w:val="en-US"/>
        </w:rPr>
        <w:t xml:space="preserve">he Kyrgyz Republic </w:t>
      </w:r>
      <w:r w:rsidR="000B73B2">
        <w:rPr>
          <w:rFonts w:ascii="Arial" w:eastAsia="Arial" w:hAnsi="Arial"/>
          <w:szCs w:val="24"/>
          <w:lang w:val="en-US"/>
        </w:rPr>
        <w:t>had even exceeded</w:t>
      </w:r>
      <w:r w:rsidR="000B73B2" w:rsidRPr="004355E2">
        <w:rPr>
          <w:rFonts w:ascii="Arial" w:eastAsia="Arial" w:hAnsi="Arial"/>
          <w:szCs w:val="24"/>
          <w:lang w:val="en-US"/>
        </w:rPr>
        <w:t xml:space="preserve"> its </w:t>
      </w:r>
      <w:r w:rsidR="000B73B2">
        <w:rPr>
          <w:rFonts w:ascii="Arial" w:eastAsia="Arial" w:hAnsi="Arial"/>
          <w:szCs w:val="24"/>
          <w:lang w:val="en-US"/>
        </w:rPr>
        <w:t>commitment</w:t>
      </w:r>
      <w:r w:rsidR="000B73B2" w:rsidRPr="004355E2">
        <w:rPr>
          <w:rFonts w:ascii="Arial" w:eastAsia="Arial" w:hAnsi="Arial"/>
          <w:szCs w:val="24"/>
          <w:lang w:val="en-US"/>
        </w:rPr>
        <w:t xml:space="preserve"> to </w:t>
      </w:r>
      <w:r w:rsidR="000B73B2">
        <w:rPr>
          <w:rFonts w:ascii="Arial" w:eastAsia="Arial" w:hAnsi="Arial"/>
          <w:szCs w:val="24"/>
          <w:lang w:val="en-US"/>
        </w:rPr>
        <w:t>increase the</w:t>
      </w:r>
      <w:r w:rsidR="000B73B2" w:rsidRPr="004355E2">
        <w:rPr>
          <w:rFonts w:ascii="Arial" w:eastAsia="Arial" w:hAnsi="Arial"/>
          <w:szCs w:val="24"/>
          <w:lang w:val="en-US"/>
        </w:rPr>
        <w:t xml:space="preserve"> </w:t>
      </w:r>
      <w:r w:rsidR="000B73B2">
        <w:rPr>
          <w:rFonts w:ascii="Arial" w:eastAsia="Arial" w:hAnsi="Arial"/>
          <w:szCs w:val="24"/>
          <w:lang w:val="en-US"/>
        </w:rPr>
        <w:t>s</w:t>
      </w:r>
      <w:r w:rsidR="000B73B2" w:rsidRPr="004355E2">
        <w:rPr>
          <w:rFonts w:ascii="Arial" w:eastAsia="Arial" w:hAnsi="Arial"/>
          <w:szCs w:val="24"/>
          <w:lang w:val="en-US"/>
        </w:rPr>
        <w:t>tate funding for HIV and TB programs. For HIV program, additional 63</w:t>
      </w:r>
      <w:r w:rsidR="000B73B2" w:rsidRPr="007D7895">
        <w:rPr>
          <w:rFonts w:ascii="Arial" w:eastAsia="Arial" w:hAnsi="Arial"/>
          <w:szCs w:val="24"/>
          <w:lang w:val="en-US"/>
        </w:rPr>
        <w:t> </w:t>
      </w:r>
      <w:r w:rsidR="000B73B2">
        <w:rPr>
          <w:rFonts w:ascii="Arial" w:eastAsia="Arial" w:hAnsi="Arial"/>
          <w:szCs w:val="24"/>
          <w:lang w:val="en-US"/>
        </w:rPr>
        <w:t>million</w:t>
      </w:r>
      <w:r w:rsidR="000B73B2">
        <w:rPr>
          <w:rStyle w:val="FootnoteReference"/>
          <w:rFonts w:ascii="Arial" w:eastAsia="Arial" w:hAnsi="Arial"/>
          <w:szCs w:val="24"/>
          <w:lang w:val="en-US"/>
        </w:rPr>
        <w:footnoteReference w:id="58"/>
      </w:r>
      <w:r w:rsidR="000B73B2" w:rsidRPr="002E405A">
        <w:rPr>
          <w:rFonts w:ascii="Arial" w:eastAsia="Arial" w:hAnsi="Arial"/>
          <w:szCs w:val="24"/>
          <w:lang w:val="en-US"/>
        </w:rPr>
        <w:t xml:space="preserve"> </w:t>
      </w:r>
      <w:r w:rsidR="000B73B2">
        <w:rPr>
          <w:rFonts w:ascii="Arial" w:eastAsia="Arial" w:hAnsi="Arial"/>
          <w:szCs w:val="24"/>
          <w:lang w:val="en-US"/>
        </w:rPr>
        <w:t xml:space="preserve">KGS (appr., $736,000 at EXR 85.68 on December 31, 2022) </w:t>
      </w:r>
      <w:r w:rsidR="000B73B2" w:rsidRPr="004355E2">
        <w:rPr>
          <w:rFonts w:ascii="Arial" w:eastAsia="Arial" w:hAnsi="Arial"/>
          <w:szCs w:val="24"/>
          <w:lang w:val="en-US"/>
        </w:rPr>
        <w:t>were allocated in 2021</w:t>
      </w:r>
      <w:r w:rsidR="000B73B2">
        <w:rPr>
          <w:rFonts w:ascii="Arial" w:eastAsia="Arial" w:hAnsi="Arial"/>
          <w:szCs w:val="24"/>
          <w:lang w:val="en-US"/>
        </w:rPr>
        <w:t xml:space="preserve">, </w:t>
      </w:r>
      <w:r w:rsidR="000B73B2" w:rsidRPr="004355E2">
        <w:rPr>
          <w:rFonts w:ascii="Arial" w:eastAsia="Arial" w:hAnsi="Arial"/>
          <w:szCs w:val="24"/>
          <w:lang w:val="en-US"/>
        </w:rPr>
        <w:t>80</w:t>
      </w:r>
      <w:r w:rsidR="000B73B2" w:rsidRPr="007D7895">
        <w:rPr>
          <w:rFonts w:ascii="Arial" w:eastAsia="Arial" w:hAnsi="Arial"/>
          <w:szCs w:val="24"/>
          <w:lang w:val="en-US"/>
        </w:rPr>
        <w:t> </w:t>
      </w:r>
      <w:r w:rsidR="000B73B2">
        <w:rPr>
          <w:rFonts w:ascii="Arial" w:eastAsia="Arial" w:hAnsi="Arial"/>
          <w:szCs w:val="24"/>
          <w:lang w:val="en-US"/>
        </w:rPr>
        <w:t>million</w:t>
      </w:r>
      <w:r w:rsidR="000B73B2" w:rsidRPr="004355E2">
        <w:rPr>
          <w:rFonts w:ascii="Arial" w:eastAsia="Arial" w:hAnsi="Arial"/>
          <w:szCs w:val="24"/>
          <w:lang w:val="en-US"/>
        </w:rPr>
        <w:t xml:space="preserve"> </w:t>
      </w:r>
      <w:r w:rsidR="000B73B2">
        <w:rPr>
          <w:rFonts w:ascii="Arial" w:eastAsia="Arial" w:hAnsi="Arial"/>
          <w:szCs w:val="24"/>
          <w:lang w:val="en-US"/>
        </w:rPr>
        <w:t>KGS</w:t>
      </w:r>
      <w:r w:rsidR="000B73B2">
        <w:rPr>
          <w:rFonts w:ascii="Arial" w:eastAsia="Arial" w:hAnsi="Arial" w:cs="Arial"/>
          <w:szCs w:val="24"/>
          <w:vertAlign w:val="superscript"/>
        </w:rPr>
        <w:footnoteReference w:id="59"/>
      </w:r>
      <w:r w:rsidR="000B73B2">
        <w:rPr>
          <w:rFonts w:ascii="Arial" w:eastAsia="Arial" w:hAnsi="Arial"/>
          <w:szCs w:val="24"/>
          <w:lang w:val="en-US"/>
        </w:rPr>
        <w:t xml:space="preserve"> (appr., $945,800 at EXR 84.7586 on December 31, 2021</w:t>
      </w:r>
      <w:r w:rsidR="000B73B2">
        <w:rPr>
          <w:rStyle w:val="FootnoteReference"/>
          <w:rFonts w:ascii="Arial" w:eastAsia="Arial" w:hAnsi="Arial"/>
          <w:szCs w:val="24"/>
          <w:lang w:val="en-US"/>
        </w:rPr>
        <w:footnoteReference w:id="60"/>
      </w:r>
      <w:r w:rsidR="000B73B2">
        <w:rPr>
          <w:rFonts w:ascii="Arial" w:eastAsia="Arial" w:hAnsi="Arial"/>
          <w:szCs w:val="24"/>
          <w:lang w:val="en-US"/>
        </w:rPr>
        <w:t xml:space="preserve">) in 2022 </w:t>
      </w:r>
      <w:r w:rsidR="000B73B2" w:rsidRPr="004355E2">
        <w:rPr>
          <w:rFonts w:ascii="Arial" w:eastAsia="Arial" w:hAnsi="Arial"/>
          <w:szCs w:val="24"/>
          <w:lang w:val="en-US"/>
        </w:rPr>
        <w:t xml:space="preserve">for </w:t>
      </w:r>
      <w:r w:rsidR="000B73B2">
        <w:rPr>
          <w:rFonts w:ascii="Arial" w:eastAsia="Arial" w:hAnsi="Arial"/>
          <w:szCs w:val="24"/>
          <w:lang w:val="en-US"/>
        </w:rPr>
        <w:t xml:space="preserve">procurement </w:t>
      </w:r>
      <w:r w:rsidR="000B73B2" w:rsidRPr="004355E2">
        <w:rPr>
          <w:rFonts w:ascii="Arial" w:eastAsia="Arial" w:hAnsi="Arial"/>
          <w:szCs w:val="24"/>
          <w:lang w:val="en-US"/>
        </w:rPr>
        <w:t xml:space="preserve">of ARV drugs, tests and reagents, which allowed to </w:t>
      </w:r>
      <w:r w:rsidR="000B73B2">
        <w:rPr>
          <w:rFonts w:ascii="Arial" w:eastAsia="Arial" w:hAnsi="Arial"/>
          <w:szCs w:val="24"/>
          <w:lang w:val="en-US"/>
        </w:rPr>
        <w:t>cover</w:t>
      </w:r>
      <w:r w:rsidR="000B73B2" w:rsidRPr="004355E2">
        <w:rPr>
          <w:rFonts w:ascii="Arial" w:eastAsia="Arial" w:hAnsi="Arial"/>
          <w:szCs w:val="24"/>
          <w:lang w:val="en-US"/>
        </w:rPr>
        <w:t xml:space="preserve"> </w:t>
      </w:r>
      <w:r w:rsidR="000B73B2">
        <w:rPr>
          <w:rFonts w:ascii="Arial" w:eastAsia="Arial" w:hAnsi="Arial"/>
          <w:szCs w:val="24"/>
          <w:lang w:val="en-US"/>
        </w:rPr>
        <w:t>more than 80% of the</w:t>
      </w:r>
      <w:r w:rsidR="000B73B2" w:rsidRPr="004355E2">
        <w:rPr>
          <w:rFonts w:ascii="Arial" w:eastAsia="Arial" w:hAnsi="Arial"/>
          <w:szCs w:val="24"/>
          <w:lang w:val="en-US"/>
        </w:rPr>
        <w:t xml:space="preserve"> need</w:t>
      </w:r>
      <w:r w:rsidR="000B73B2">
        <w:rPr>
          <w:rFonts w:ascii="Arial" w:eastAsia="Arial" w:hAnsi="Arial"/>
          <w:szCs w:val="24"/>
          <w:lang w:val="en-US"/>
        </w:rPr>
        <w:t>s.</w:t>
      </w:r>
      <w:r w:rsidR="000B73B2" w:rsidRPr="004355E2">
        <w:rPr>
          <w:rFonts w:ascii="Arial" w:eastAsia="Arial" w:hAnsi="Arial" w:cs="Arial"/>
          <w:szCs w:val="24"/>
          <w:lang w:val="en-US"/>
        </w:rPr>
        <w:t xml:space="preserve"> </w:t>
      </w:r>
      <w:r w:rsidR="000B73B2">
        <w:rPr>
          <w:rFonts w:ascii="Arial" w:eastAsia="Arial" w:hAnsi="Arial"/>
          <w:szCs w:val="24"/>
          <w:lang w:val="en-US"/>
        </w:rPr>
        <w:t>In parallel</w:t>
      </w:r>
      <w:r w:rsidR="000B73B2" w:rsidRPr="004355E2">
        <w:rPr>
          <w:rFonts w:ascii="Arial" w:eastAsia="Arial" w:hAnsi="Arial"/>
          <w:szCs w:val="24"/>
          <w:lang w:val="en-US"/>
        </w:rPr>
        <w:t xml:space="preserve">, the implementation of the NGO social contracting </w:t>
      </w:r>
      <w:r w:rsidR="000B73B2">
        <w:rPr>
          <w:rFonts w:ascii="Arial" w:eastAsia="Arial" w:hAnsi="Arial"/>
          <w:szCs w:val="24"/>
          <w:lang w:val="en-US"/>
        </w:rPr>
        <w:t>has been continued</w:t>
      </w:r>
      <w:r w:rsidR="000B73B2" w:rsidRPr="004355E2">
        <w:rPr>
          <w:rFonts w:ascii="Arial" w:eastAsia="Arial" w:hAnsi="Arial"/>
          <w:szCs w:val="24"/>
          <w:lang w:val="en-US"/>
        </w:rPr>
        <w:t xml:space="preserve">. In 2022, the Government increased </w:t>
      </w:r>
      <w:r w:rsidR="000B73B2">
        <w:rPr>
          <w:rFonts w:ascii="Arial" w:eastAsia="Arial" w:hAnsi="Arial"/>
          <w:szCs w:val="24"/>
          <w:lang w:val="en-US"/>
        </w:rPr>
        <w:t xml:space="preserve">state </w:t>
      </w:r>
      <w:r w:rsidR="000B73B2" w:rsidRPr="004355E2">
        <w:rPr>
          <w:rFonts w:ascii="Arial" w:eastAsia="Arial" w:hAnsi="Arial"/>
          <w:szCs w:val="24"/>
          <w:lang w:val="en-US"/>
        </w:rPr>
        <w:t xml:space="preserve">funding for the procurement of medicines and </w:t>
      </w:r>
      <w:r w:rsidR="000B73B2">
        <w:rPr>
          <w:rFonts w:ascii="Arial" w:eastAsia="Arial" w:hAnsi="Arial"/>
          <w:szCs w:val="24"/>
          <w:lang w:val="en-US"/>
        </w:rPr>
        <w:t>health products</w:t>
      </w:r>
      <w:r w:rsidR="000B73B2" w:rsidRPr="004355E2">
        <w:rPr>
          <w:rFonts w:ascii="Arial" w:eastAsia="Arial" w:hAnsi="Arial"/>
          <w:szCs w:val="24"/>
          <w:lang w:val="en-US"/>
        </w:rPr>
        <w:t xml:space="preserve"> for </w:t>
      </w:r>
      <w:r w:rsidR="000B73B2">
        <w:rPr>
          <w:rFonts w:ascii="Arial" w:eastAsia="Arial" w:hAnsi="Arial"/>
          <w:szCs w:val="24"/>
          <w:lang w:val="en-US"/>
        </w:rPr>
        <w:t>TB</w:t>
      </w:r>
      <w:r w:rsidR="000B73B2" w:rsidRPr="004355E2">
        <w:rPr>
          <w:rFonts w:ascii="Arial" w:eastAsia="Arial" w:hAnsi="Arial"/>
          <w:szCs w:val="24"/>
          <w:lang w:val="en-US"/>
        </w:rPr>
        <w:t xml:space="preserve"> service</w:t>
      </w:r>
      <w:r w:rsidR="000B73B2">
        <w:rPr>
          <w:rFonts w:ascii="Arial" w:eastAsia="Arial" w:hAnsi="Arial"/>
          <w:szCs w:val="24"/>
          <w:lang w:val="en-US"/>
        </w:rPr>
        <w:t>s</w:t>
      </w:r>
      <w:r w:rsidR="000B73B2" w:rsidRPr="004355E2">
        <w:rPr>
          <w:rFonts w:ascii="Arial" w:eastAsia="Arial" w:hAnsi="Arial"/>
          <w:szCs w:val="24"/>
          <w:lang w:val="en-US"/>
        </w:rPr>
        <w:t xml:space="preserve"> by 30</w:t>
      </w:r>
      <w:r w:rsidR="000B73B2">
        <w:rPr>
          <w:rFonts w:ascii="Arial" w:eastAsia="Arial" w:hAnsi="Arial"/>
          <w:szCs w:val="24"/>
          <w:lang w:val="en-US"/>
        </w:rPr>
        <w:t> million KGS</w:t>
      </w:r>
      <w:r w:rsidR="000B73B2" w:rsidRPr="004355E2">
        <w:rPr>
          <w:rFonts w:ascii="Arial" w:eastAsia="Arial" w:hAnsi="Arial"/>
          <w:szCs w:val="24"/>
          <w:lang w:val="en-US"/>
        </w:rPr>
        <w:t xml:space="preserve"> ($350</w:t>
      </w:r>
      <w:r w:rsidR="000B73B2">
        <w:rPr>
          <w:rFonts w:ascii="Arial" w:eastAsia="Arial" w:hAnsi="Arial"/>
          <w:szCs w:val="24"/>
          <w:lang w:val="en-US"/>
        </w:rPr>
        <w:t>,000)</w:t>
      </w:r>
      <w:r w:rsidR="000B73B2">
        <w:rPr>
          <w:rFonts w:ascii="Arial" w:eastAsia="Arial" w:hAnsi="Arial" w:cs="Arial"/>
          <w:szCs w:val="24"/>
          <w:vertAlign w:val="superscript"/>
        </w:rPr>
        <w:footnoteReference w:id="61"/>
      </w:r>
      <w:r w:rsidR="000B73B2" w:rsidRPr="004355E2">
        <w:rPr>
          <w:rFonts w:ascii="Arial" w:eastAsia="Arial" w:hAnsi="Arial"/>
          <w:szCs w:val="24"/>
          <w:lang w:val="en-US"/>
        </w:rPr>
        <w:t xml:space="preserve"> compared to previous years, </w:t>
      </w:r>
      <w:r w:rsidR="000B73B2">
        <w:rPr>
          <w:rFonts w:ascii="Arial" w:eastAsia="Arial" w:hAnsi="Arial"/>
          <w:szCs w:val="24"/>
          <w:lang w:val="en-US"/>
        </w:rPr>
        <w:t>which was continued in 2023 and should cover</w:t>
      </w:r>
      <w:r w:rsidR="000B73B2" w:rsidRPr="004355E2">
        <w:rPr>
          <w:rFonts w:ascii="Arial" w:eastAsia="Arial" w:hAnsi="Arial"/>
          <w:szCs w:val="24"/>
          <w:lang w:val="en-US"/>
        </w:rPr>
        <w:t xml:space="preserve"> </w:t>
      </w:r>
      <w:r w:rsidR="000B73B2">
        <w:rPr>
          <w:rFonts w:ascii="Arial" w:eastAsia="Arial" w:hAnsi="Arial"/>
          <w:szCs w:val="24"/>
          <w:lang w:val="en-US"/>
        </w:rPr>
        <w:t xml:space="preserve">the </w:t>
      </w:r>
      <w:r w:rsidR="000B73B2" w:rsidRPr="004355E2">
        <w:rPr>
          <w:rFonts w:ascii="Arial" w:eastAsia="Arial" w:hAnsi="Arial"/>
          <w:szCs w:val="24"/>
          <w:lang w:val="en-US"/>
        </w:rPr>
        <w:t>implement</w:t>
      </w:r>
      <w:r w:rsidR="000B73B2">
        <w:rPr>
          <w:rFonts w:ascii="Arial" w:eastAsia="Arial" w:hAnsi="Arial"/>
          <w:szCs w:val="24"/>
          <w:lang w:val="en-US"/>
        </w:rPr>
        <w:t>ation of the social contracting in TB area</w:t>
      </w:r>
      <w:r w:rsidR="000B73B2" w:rsidRPr="004355E2">
        <w:rPr>
          <w:rFonts w:ascii="Arial" w:eastAsia="Arial" w:hAnsi="Arial"/>
          <w:szCs w:val="24"/>
          <w:lang w:val="en-US"/>
        </w:rPr>
        <w:t xml:space="preserve">. A significant step in </w:t>
      </w:r>
      <w:r w:rsidR="000B73B2">
        <w:rPr>
          <w:rFonts w:ascii="Arial" w:eastAsia="Arial" w:hAnsi="Arial"/>
          <w:szCs w:val="24"/>
          <w:lang w:val="en-US"/>
        </w:rPr>
        <w:t xml:space="preserve">increasing the </w:t>
      </w:r>
      <w:r w:rsidR="000B73B2" w:rsidRPr="004355E2">
        <w:rPr>
          <w:rFonts w:ascii="Arial" w:eastAsia="Arial" w:hAnsi="Arial"/>
          <w:szCs w:val="24"/>
          <w:lang w:val="en-US"/>
        </w:rPr>
        <w:t xml:space="preserve">state participation </w:t>
      </w:r>
      <w:r w:rsidR="000B73B2">
        <w:rPr>
          <w:rFonts w:ascii="Arial" w:eastAsia="Arial" w:hAnsi="Arial"/>
          <w:szCs w:val="24"/>
          <w:lang w:val="en-US"/>
        </w:rPr>
        <w:t>was</w:t>
      </w:r>
      <w:r w:rsidR="000B73B2" w:rsidRPr="004355E2">
        <w:rPr>
          <w:rFonts w:ascii="Arial" w:eastAsia="Arial" w:hAnsi="Arial"/>
          <w:szCs w:val="24"/>
          <w:lang w:val="en-US"/>
        </w:rPr>
        <w:t xml:space="preserve"> allocation of 25</w:t>
      </w:r>
      <w:r w:rsidR="000B73B2">
        <w:rPr>
          <w:rFonts w:ascii="Arial" w:eastAsia="Arial" w:hAnsi="Arial"/>
          <w:szCs w:val="24"/>
          <w:lang w:val="en-US"/>
        </w:rPr>
        <w:t> million KGS</w:t>
      </w:r>
      <w:r w:rsidR="000B73B2" w:rsidRPr="004355E2">
        <w:rPr>
          <w:rFonts w:ascii="Arial" w:eastAsia="Arial" w:hAnsi="Arial"/>
          <w:szCs w:val="24"/>
          <w:lang w:val="en-US"/>
        </w:rPr>
        <w:t xml:space="preserve"> ($29</w:t>
      </w:r>
      <w:r w:rsidR="000B73B2">
        <w:rPr>
          <w:rFonts w:ascii="Arial" w:eastAsia="Arial" w:hAnsi="Arial"/>
          <w:szCs w:val="24"/>
          <w:lang w:val="en-US"/>
        </w:rPr>
        <w:t>0,000</w:t>
      </w:r>
      <w:r w:rsidR="000B73B2" w:rsidRPr="004355E2">
        <w:rPr>
          <w:rFonts w:ascii="Arial" w:eastAsia="Arial" w:hAnsi="Arial"/>
          <w:szCs w:val="24"/>
          <w:lang w:val="en-US"/>
        </w:rPr>
        <w:t>)</w:t>
      </w:r>
      <w:r w:rsidR="000B73B2">
        <w:rPr>
          <w:rFonts w:ascii="Arial" w:eastAsia="Arial" w:hAnsi="Arial" w:cs="Arial"/>
          <w:szCs w:val="24"/>
          <w:vertAlign w:val="superscript"/>
        </w:rPr>
        <w:footnoteReference w:id="62"/>
      </w:r>
      <w:r w:rsidR="000B73B2" w:rsidRPr="004355E2">
        <w:rPr>
          <w:rFonts w:ascii="Arial" w:eastAsia="Arial" w:hAnsi="Arial"/>
          <w:szCs w:val="24"/>
          <w:lang w:val="en-US"/>
        </w:rPr>
        <w:t xml:space="preserve"> for </w:t>
      </w:r>
      <w:r w:rsidR="000B73B2">
        <w:rPr>
          <w:rFonts w:ascii="Arial" w:eastAsia="Arial" w:hAnsi="Arial"/>
          <w:szCs w:val="24"/>
          <w:lang w:val="en-US"/>
        </w:rPr>
        <w:t>OST</w:t>
      </w:r>
      <w:r w:rsidR="000B73B2" w:rsidRPr="004355E2">
        <w:rPr>
          <w:rFonts w:ascii="Arial" w:eastAsia="Arial" w:hAnsi="Arial"/>
          <w:szCs w:val="24"/>
          <w:lang w:val="en-US"/>
        </w:rPr>
        <w:t xml:space="preserve"> programs in 2023</w:t>
      </w:r>
      <w:r w:rsidR="000B73B2">
        <w:rPr>
          <w:rFonts w:ascii="Arial" w:eastAsia="Arial" w:hAnsi="Arial"/>
          <w:szCs w:val="24"/>
          <w:lang w:val="en-US"/>
        </w:rPr>
        <w:t>.</w:t>
      </w:r>
      <w:r w:rsidR="000B73B2" w:rsidRPr="004355E2">
        <w:rPr>
          <w:rFonts w:ascii="Arial" w:eastAsia="Arial" w:hAnsi="Arial"/>
          <w:szCs w:val="24"/>
          <w:lang w:val="en-US"/>
        </w:rPr>
        <w:t xml:space="preserve"> In addition, </w:t>
      </w:r>
      <w:r w:rsidR="000B73B2">
        <w:rPr>
          <w:rFonts w:ascii="Arial" w:eastAsia="Arial" w:hAnsi="Arial"/>
          <w:szCs w:val="24"/>
          <w:lang w:val="en-US"/>
        </w:rPr>
        <w:t>wages</w:t>
      </w:r>
      <w:r w:rsidR="000B73B2" w:rsidRPr="004355E2">
        <w:rPr>
          <w:rFonts w:ascii="Arial" w:eastAsia="Arial" w:hAnsi="Arial"/>
          <w:szCs w:val="24"/>
          <w:lang w:val="en-US"/>
        </w:rPr>
        <w:t xml:space="preserve"> in the healthcare system, including HIV and TB programs, significantly increased </w:t>
      </w:r>
      <w:r w:rsidR="000B73B2">
        <w:rPr>
          <w:rFonts w:ascii="Arial" w:eastAsia="Arial" w:hAnsi="Arial"/>
          <w:szCs w:val="24"/>
          <w:lang w:val="en-US"/>
        </w:rPr>
        <w:t>by</w:t>
      </w:r>
      <w:r w:rsidR="000B73B2" w:rsidRPr="004355E2">
        <w:rPr>
          <w:rFonts w:ascii="Arial" w:eastAsia="Arial" w:hAnsi="Arial"/>
          <w:szCs w:val="24"/>
          <w:lang w:val="en-US"/>
        </w:rPr>
        <w:t xml:space="preserve"> the </w:t>
      </w:r>
      <w:r w:rsidR="000B73B2">
        <w:rPr>
          <w:rFonts w:ascii="Arial" w:eastAsia="Arial" w:hAnsi="Arial"/>
          <w:szCs w:val="24"/>
          <w:lang w:val="en-US"/>
        </w:rPr>
        <w:t>Order</w:t>
      </w:r>
      <w:r w:rsidR="000B73B2" w:rsidRPr="004355E2">
        <w:rPr>
          <w:rFonts w:ascii="Arial" w:eastAsia="Arial" w:hAnsi="Arial"/>
          <w:szCs w:val="24"/>
          <w:lang w:val="en-US"/>
        </w:rPr>
        <w:t xml:space="preserve"> </w:t>
      </w:r>
      <w:r w:rsidR="000B73B2">
        <w:rPr>
          <w:rFonts w:ascii="Arial" w:eastAsia="Arial" w:hAnsi="Arial"/>
          <w:szCs w:val="24"/>
          <w:lang w:val="en-US"/>
        </w:rPr>
        <w:t>#</w:t>
      </w:r>
      <w:r w:rsidR="000B73B2" w:rsidRPr="004355E2">
        <w:rPr>
          <w:rFonts w:ascii="Arial" w:eastAsia="Arial" w:hAnsi="Arial"/>
          <w:szCs w:val="24"/>
          <w:lang w:val="en-US"/>
        </w:rPr>
        <w:t>182</w:t>
      </w:r>
      <w:r w:rsidR="000B73B2">
        <w:rPr>
          <w:rFonts w:ascii="Arial" w:eastAsia="Arial" w:hAnsi="Arial" w:cs="Arial"/>
          <w:szCs w:val="24"/>
          <w:vertAlign w:val="superscript"/>
        </w:rPr>
        <w:footnoteReference w:id="63"/>
      </w:r>
      <w:r w:rsidR="000B73B2" w:rsidRPr="004355E2">
        <w:rPr>
          <w:rFonts w:ascii="Arial" w:eastAsia="Arial" w:hAnsi="Arial"/>
          <w:szCs w:val="24"/>
          <w:lang w:val="en-US"/>
        </w:rPr>
        <w:t xml:space="preserve">of the Cabinet of Ministers of the Kyrgyz Republic dated March 30, 2022 </w:t>
      </w:r>
      <w:r w:rsidR="000B73B2">
        <w:rPr>
          <w:rFonts w:ascii="Arial" w:eastAsia="Arial" w:hAnsi="Arial"/>
          <w:szCs w:val="24"/>
          <w:lang w:val="en-US"/>
        </w:rPr>
        <w:t>with</w:t>
      </w:r>
      <w:r w:rsidR="000B73B2" w:rsidRPr="004355E2">
        <w:rPr>
          <w:rFonts w:ascii="Arial" w:eastAsia="Arial" w:hAnsi="Arial"/>
          <w:szCs w:val="24"/>
          <w:lang w:val="en-US"/>
        </w:rPr>
        <w:t xml:space="preserve"> 3.4 billion </w:t>
      </w:r>
      <w:r w:rsidR="000B73B2">
        <w:rPr>
          <w:rFonts w:ascii="Arial" w:eastAsia="Arial" w:hAnsi="Arial"/>
          <w:szCs w:val="24"/>
          <w:lang w:val="en-US"/>
        </w:rPr>
        <w:t>KGS</w:t>
      </w:r>
      <w:r w:rsidR="000B73B2" w:rsidRPr="004355E2">
        <w:rPr>
          <w:rFonts w:ascii="Arial" w:eastAsia="Arial" w:hAnsi="Arial"/>
          <w:szCs w:val="24"/>
          <w:lang w:val="en-US"/>
        </w:rPr>
        <w:t xml:space="preserve"> </w:t>
      </w:r>
      <w:r w:rsidR="000B73B2">
        <w:rPr>
          <w:rFonts w:ascii="Arial" w:eastAsia="Arial" w:hAnsi="Arial"/>
          <w:szCs w:val="24"/>
          <w:lang w:val="en-US"/>
        </w:rPr>
        <w:t>($39.5 million)</w:t>
      </w:r>
      <w:r w:rsidR="000B73B2">
        <w:rPr>
          <w:rFonts w:ascii="Arial" w:eastAsia="Arial" w:hAnsi="Arial" w:cs="Arial"/>
          <w:szCs w:val="24"/>
          <w:vertAlign w:val="superscript"/>
        </w:rPr>
        <w:footnoteReference w:id="64"/>
      </w:r>
      <w:r w:rsidR="000B73B2">
        <w:rPr>
          <w:rFonts w:ascii="Arial" w:eastAsia="Arial" w:hAnsi="Arial"/>
          <w:szCs w:val="24"/>
          <w:lang w:val="en-US"/>
        </w:rPr>
        <w:t xml:space="preserve"> </w:t>
      </w:r>
      <w:r w:rsidR="000B73B2" w:rsidRPr="004355E2">
        <w:rPr>
          <w:rFonts w:ascii="Arial" w:eastAsia="Arial" w:hAnsi="Arial"/>
          <w:szCs w:val="24"/>
          <w:lang w:val="en-US"/>
        </w:rPr>
        <w:t xml:space="preserve">added to </w:t>
      </w:r>
      <w:r w:rsidR="000B73B2">
        <w:rPr>
          <w:rFonts w:ascii="Arial" w:eastAsia="Arial" w:hAnsi="Arial"/>
          <w:szCs w:val="24"/>
          <w:lang w:val="en-US"/>
        </w:rPr>
        <w:t>wages</w:t>
      </w:r>
      <w:r w:rsidR="000B73B2" w:rsidRPr="004355E2">
        <w:rPr>
          <w:rFonts w:ascii="Arial" w:eastAsia="Arial" w:hAnsi="Arial"/>
          <w:szCs w:val="24"/>
          <w:lang w:val="en-US"/>
        </w:rPr>
        <w:t xml:space="preserve"> in 2022.</w:t>
      </w:r>
      <w:r w:rsidR="000B73B2">
        <w:rPr>
          <w:rFonts w:ascii="Arial" w:eastAsia="Arial" w:hAnsi="Arial"/>
          <w:szCs w:val="24"/>
          <w:lang w:val="en-US"/>
        </w:rPr>
        <w:t xml:space="preserve"> </w:t>
      </w:r>
      <w:r w:rsidR="000B73B2" w:rsidRPr="006D1C6D">
        <w:rPr>
          <w:rFonts w:ascii="Arial" w:eastAsia="Arial" w:hAnsi="Arial"/>
          <w:szCs w:val="24"/>
          <w:lang w:val="en-US"/>
        </w:rPr>
        <w:t>This level of increase in the healthcare wage fund is maintained in 2023 as well. It should also be added</w:t>
      </w:r>
      <w:r w:rsidR="000B73B2">
        <w:rPr>
          <w:rFonts w:ascii="Arial" w:eastAsia="Arial" w:hAnsi="Arial"/>
          <w:szCs w:val="24"/>
          <w:lang w:val="en-US"/>
        </w:rPr>
        <w:t>, that t</w:t>
      </w:r>
      <w:r w:rsidR="000B73B2" w:rsidRPr="006D1C6D">
        <w:rPr>
          <w:rFonts w:ascii="Arial" w:eastAsia="Arial" w:hAnsi="Arial"/>
          <w:szCs w:val="24"/>
          <w:lang w:val="en-US"/>
        </w:rPr>
        <w:t>he law on State Guaranteed Legal Aid</w:t>
      </w:r>
      <w:r w:rsidR="000B73B2">
        <w:rPr>
          <w:rStyle w:val="FootnoteReference"/>
          <w:rFonts w:ascii="Arial" w:eastAsia="Arial" w:hAnsi="Arial"/>
          <w:szCs w:val="24"/>
          <w:lang w:val="en-US"/>
        </w:rPr>
        <w:footnoteReference w:id="65"/>
      </w:r>
      <w:r w:rsidR="000B73B2" w:rsidRPr="006D1C6D">
        <w:rPr>
          <w:rFonts w:ascii="Arial" w:eastAsia="Arial" w:hAnsi="Arial"/>
          <w:szCs w:val="24"/>
          <w:lang w:val="en-US"/>
        </w:rPr>
        <w:t xml:space="preserve"> has been adopted</w:t>
      </w:r>
      <w:r w:rsidR="000B73B2">
        <w:rPr>
          <w:rFonts w:ascii="Arial" w:eastAsia="Arial" w:hAnsi="Arial"/>
          <w:szCs w:val="24"/>
          <w:lang w:val="en-US"/>
        </w:rPr>
        <w:t xml:space="preserve"> on August 10, 2022, and</w:t>
      </w:r>
      <w:r w:rsidR="000B73B2" w:rsidRPr="006D1C6D">
        <w:rPr>
          <w:rFonts w:ascii="Arial" w:eastAsia="Arial" w:hAnsi="Arial"/>
          <w:szCs w:val="24"/>
          <w:lang w:val="en-US"/>
        </w:rPr>
        <w:t xml:space="preserve"> currently the development of regulatory and legal documents for the implementation of the state social contracting in probation facilities is underway, which will also make it possible to cover key groups of the population with services</w:t>
      </w:r>
      <w:r w:rsidR="000B73B2">
        <w:rPr>
          <w:rFonts w:ascii="Arial" w:eastAsia="Arial" w:hAnsi="Arial"/>
          <w:szCs w:val="24"/>
          <w:lang w:val="en-US"/>
        </w:rPr>
        <w:t>.</w:t>
      </w:r>
    </w:p>
    <w:p w14:paraId="52E8F60C" w14:textId="45CBB621" w:rsidR="00485B05" w:rsidRDefault="00485B05" w:rsidP="0026062D">
      <w:pPr>
        <w:pStyle w:val="BodyText"/>
        <w:widowControl w:val="0"/>
        <w:numPr>
          <w:ilvl w:val="0"/>
          <w:numId w:val="24"/>
        </w:numPr>
        <w:spacing w:line="240" w:lineRule="auto"/>
        <w:ind w:left="810" w:hanging="450"/>
        <w:jc w:val="both"/>
        <w:rPr>
          <w:rFonts w:ascii="Arial" w:eastAsia="Arial" w:hAnsi="Arial" w:cs="Arial"/>
          <w:color w:val="000000" w:themeColor="text1"/>
          <w:szCs w:val="24"/>
        </w:rPr>
      </w:pPr>
      <w:r w:rsidRPr="6AAC4F5A">
        <w:rPr>
          <w:rFonts w:ascii="Arial" w:eastAsia="Arial" w:hAnsi="Arial" w:cs="Arial"/>
          <w:color w:val="000000" w:themeColor="text1"/>
          <w:szCs w:val="24"/>
        </w:rPr>
        <w:t>Describe how co-financing will increase over the 2023-2025 allocation period</w:t>
      </w:r>
      <w:r w:rsidR="00F522B9">
        <w:rPr>
          <w:rFonts w:ascii="Arial" w:eastAsia="Arial" w:hAnsi="Arial" w:cs="Arial"/>
          <w:color w:val="000000" w:themeColor="text1"/>
          <w:szCs w:val="24"/>
        </w:rPr>
        <w:t>. Indicate the</w:t>
      </w:r>
      <w:r w:rsidRPr="6AAC4F5A">
        <w:rPr>
          <w:rFonts w:ascii="Arial" w:eastAsia="Arial" w:hAnsi="Arial" w:cs="Arial"/>
          <w:color w:val="000000" w:themeColor="text1"/>
          <w:szCs w:val="24"/>
        </w:rPr>
        <w:t xml:space="preserve"> focus of additional domestic investments in </w:t>
      </w:r>
      <w:r>
        <w:rPr>
          <w:rFonts w:ascii="Arial" w:eastAsia="Arial" w:hAnsi="Arial" w:cs="Arial"/>
          <w:color w:val="000000" w:themeColor="text1"/>
          <w:szCs w:val="24"/>
        </w:rPr>
        <w:t>specific</w:t>
      </w:r>
      <w:r w:rsidRPr="6AAC4F5A">
        <w:rPr>
          <w:rFonts w:ascii="Arial" w:eastAsia="Arial" w:hAnsi="Arial" w:cs="Arial"/>
          <w:color w:val="000000" w:themeColor="text1"/>
          <w:szCs w:val="24"/>
        </w:rPr>
        <w:t xml:space="preserve"> programmatic areas</w:t>
      </w:r>
      <w:r>
        <w:rPr>
          <w:rFonts w:ascii="Arial" w:eastAsia="Arial" w:hAnsi="Arial" w:cs="Arial"/>
          <w:color w:val="000000" w:themeColor="text1"/>
          <w:szCs w:val="24"/>
        </w:rPr>
        <w:t xml:space="preserve">. Describe the planned actions to address the remaining funding gaps from domestic or other resources. </w:t>
      </w:r>
      <w:r w:rsidR="002F6E08">
        <w:rPr>
          <w:rFonts w:ascii="Arial" w:eastAsia="Arial" w:hAnsi="Arial" w:cs="Arial"/>
          <w:color w:val="000000" w:themeColor="text1"/>
          <w:szCs w:val="24"/>
        </w:rPr>
        <w:t>D</w:t>
      </w:r>
      <w:r>
        <w:rPr>
          <w:rFonts w:ascii="Arial" w:eastAsia="Arial" w:hAnsi="Arial" w:cs="Arial"/>
          <w:color w:val="000000" w:themeColor="text1"/>
          <w:szCs w:val="24"/>
        </w:rPr>
        <w:t>escribe</w:t>
      </w:r>
      <w:r w:rsidRPr="6AAC4F5A">
        <w:rPr>
          <w:rFonts w:ascii="Arial" w:eastAsia="Arial" w:hAnsi="Arial" w:cs="Arial"/>
          <w:color w:val="000000" w:themeColor="text1"/>
          <w:szCs w:val="24"/>
        </w:rPr>
        <w:t xml:space="preserve"> how co-financing commitments will </w:t>
      </w:r>
      <w:proofErr w:type="gramStart"/>
      <w:r w:rsidRPr="6AAC4F5A">
        <w:rPr>
          <w:rFonts w:ascii="Arial" w:eastAsia="Arial" w:hAnsi="Arial" w:cs="Arial"/>
          <w:color w:val="000000" w:themeColor="text1"/>
          <w:szCs w:val="24"/>
        </w:rPr>
        <w:t>be tracked</w:t>
      </w:r>
      <w:proofErr w:type="gramEnd"/>
      <w:r w:rsidRPr="6AAC4F5A">
        <w:rPr>
          <w:rFonts w:ascii="Arial" w:eastAsia="Arial" w:hAnsi="Arial" w:cs="Arial"/>
          <w:color w:val="000000" w:themeColor="text1"/>
          <w:szCs w:val="24"/>
        </w:rPr>
        <w:t xml:space="preserve"> and reported</w:t>
      </w:r>
      <w:r>
        <w:rPr>
          <w:rFonts w:ascii="Arial" w:eastAsia="Arial" w:hAnsi="Arial" w:cs="Arial"/>
          <w:color w:val="000000" w:themeColor="text1"/>
          <w:szCs w:val="24"/>
        </w:rPr>
        <w:t>.</w:t>
      </w:r>
    </w:p>
    <w:p w14:paraId="3C06AAD2" w14:textId="4B2EEE00" w:rsidR="002B79A8" w:rsidRPr="002B79A8" w:rsidRDefault="00B71B23" w:rsidP="0026062D">
      <w:pPr>
        <w:widowControl w:val="0"/>
        <w:spacing w:line="240" w:lineRule="auto"/>
        <w:jc w:val="both"/>
        <w:rPr>
          <w:rFonts w:ascii="Arial" w:eastAsia="Arial" w:hAnsi="Arial"/>
          <w:sz w:val="24"/>
          <w:szCs w:val="24"/>
        </w:rPr>
      </w:pPr>
      <w:r>
        <w:rPr>
          <w:rFonts w:ascii="Arial" w:eastAsia="Arial" w:hAnsi="Arial"/>
          <w:sz w:val="24"/>
          <w:szCs w:val="24"/>
        </w:rPr>
        <w:lastRenderedPageBreak/>
        <w:t>As per</w:t>
      </w:r>
      <w:r w:rsidR="002B79A8" w:rsidRPr="002B79A8">
        <w:rPr>
          <w:rFonts w:ascii="Arial" w:eastAsia="Arial" w:hAnsi="Arial"/>
          <w:sz w:val="24"/>
          <w:szCs w:val="24"/>
        </w:rPr>
        <w:t xml:space="preserve"> the GF </w:t>
      </w:r>
      <w:r w:rsidR="002B79A8">
        <w:rPr>
          <w:rFonts w:ascii="Arial" w:eastAsia="Arial" w:hAnsi="Arial"/>
          <w:sz w:val="24"/>
          <w:szCs w:val="24"/>
        </w:rPr>
        <w:t xml:space="preserve">allocation </w:t>
      </w:r>
      <w:r w:rsidR="002B79A8" w:rsidRPr="002B79A8">
        <w:rPr>
          <w:rFonts w:ascii="Arial" w:eastAsia="Arial" w:hAnsi="Arial"/>
          <w:sz w:val="24"/>
          <w:szCs w:val="24"/>
        </w:rPr>
        <w:t>letter of December 20, 2022, the Kyrgyz Republic is requested to increase domestic investment by $4,110,114 in order to access the full amount of funding.</w:t>
      </w:r>
    </w:p>
    <w:p w14:paraId="66D41B3F" w14:textId="56744DE8" w:rsidR="002B79A8" w:rsidRPr="002B79A8" w:rsidRDefault="002B79A8" w:rsidP="0026062D">
      <w:pPr>
        <w:widowControl w:val="0"/>
        <w:spacing w:line="240" w:lineRule="auto"/>
        <w:jc w:val="both"/>
        <w:rPr>
          <w:rFonts w:ascii="Arial" w:eastAsia="Arial" w:hAnsi="Arial" w:cs="Arial"/>
          <w:sz w:val="24"/>
          <w:szCs w:val="24"/>
        </w:rPr>
      </w:pPr>
      <w:r w:rsidRPr="002B79A8">
        <w:rPr>
          <w:rFonts w:ascii="Arial" w:eastAsia="Arial" w:hAnsi="Arial"/>
          <w:sz w:val="24"/>
          <w:szCs w:val="24"/>
        </w:rPr>
        <w:t xml:space="preserve">In order to increase domestic investments, the draft Program of the Cabinet of Ministers in the field of HIV for 2023-2027 defines the 4th strategic direction to ensure the coordination and sustainability of HIV-related programs. This direction aims at continuing to improve the regulatory framework in order to ensure a full transition to state funding of HIV-related programs, including ensuring the necessary procurement of medicines and health products through international platforms, facilitating the registration of ARV drugs and tests, revising the list of essential medicines, expanding social contracting of NGOs for the implementation of prevention programs, care and support related to HIV, including via local authorities. The </w:t>
      </w:r>
      <w:r w:rsidR="00285053">
        <w:rPr>
          <w:rFonts w:ascii="Arial" w:eastAsia="Arial" w:hAnsi="Arial"/>
          <w:sz w:val="24"/>
          <w:szCs w:val="24"/>
        </w:rPr>
        <w:t>SGBP</w:t>
      </w:r>
      <w:r w:rsidRPr="002B79A8">
        <w:rPr>
          <w:rFonts w:ascii="Arial" w:eastAsia="Arial" w:hAnsi="Arial"/>
          <w:sz w:val="24"/>
          <w:szCs w:val="24"/>
        </w:rPr>
        <w:t xml:space="preserve"> will be expanded to include the provision of OST and all ARV medicines and medicines for opportunistic infections defined in the national clinical protocols. In that regard, ambitious goal has been set that by 2026, 80% of diagnostics and treatment of PLHIV, as well as prevention programs for key population groups through social contracting mechanism, including in the penitentiary system, will be covered by state funds. Recently approved program of the Cabinet of Ministers of the Kyrgyz Republic "Tuberculosis-6" for 2023-202</w:t>
      </w:r>
      <w:r>
        <w:rPr>
          <w:rFonts w:ascii="Arial" w:eastAsia="Arial" w:hAnsi="Arial"/>
          <w:sz w:val="24"/>
          <w:szCs w:val="24"/>
        </w:rPr>
        <w:t>6</w:t>
      </w:r>
      <w:r w:rsidRPr="002B79A8">
        <w:rPr>
          <w:rFonts w:ascii="Arial" w:eastAsia="Arial" w:hAnsi="Arial"/>
          <w:sz w:val="24"/>
          <w:szCs w:val="24"/>
        </w:rPr>
        <w:t xml:space="preserve"> plans for a gradual transition of the system of transportation of biomaterials and </w:t>
      </w:r>
      <w:r w:rsidR="0097471B">
        <w:rPr>
          <w:rFonts w:ascii="Arial" w:eastAsia="Arial" w:hAnsi="Arial"/>
          <w:sz w:val="24"/>
          <w:szCs w:val="24"/>
        </w:rPr>
        <w:t>TB</w:t>
      </w:r>
      <w:r w:rsidRPr="002B79A8">
        <w:rPr>
          <w:rFonts w:ascii="Arial" w:eastAsia="Arial" w:hAnsi="Arial"/>
          <w:sz w:val="24"/>
          <w:szCs w:val="24"/>
        </w:rPr>
        <w:t xml:space="preserve"> drugs to state financing, expansion of the basic package of health services for TB in the </w:t>
      </w:r>
      <w:r w:rsidR="00285053">
        <w:rPr>
          <w:rFonts w:ascii="Arial" w:eastAsia="Arial" w:hAnsi="Arial"/>
          <w:sz w:val="24"/>
          <w:szCs w:val="24"/>
        </w:rPr>
        <w:t>SGBP</w:t>
      </w:r>
      <w:r w:rsidRPr="002B79A8">
        <w:rPr>
          <w:rFonts w:ascii="Arial" w:eastAsia="Arial" w:hAnsi="Arial"/>
          <w:sz w:val="24"/>
          <w:szCs w:val="24"/>
        </w:rPr>
        <w:t xml:space="preserve"> and ensuring full financing of the provision of TB care and support </w:t>
      </w:r>
      <w:r w:rsidR="0097471B">
        <w:rPr>
          <w:rFonts w:ascii="Arial" w:eastAsia="Arial" w:hAnsi="Arial"/>
          <w:sz w:val="24"/>
          <w:szCs w:val="24"/>
        </w:rPr>
        <w:t>according to</w:t>
      </w:r>
      <w:r w:rsidRPr="002B79A8">
        <w:rPr>
          <w:rFonts w:ascii="Arial" w:eastAsia="Arial" w:hAnsi="Arial"/>
          <w:sz w:val="24"/>
          <w:szCs w:val="24"/>
        </w:rPr>
        <w:t xml:space="preserve"> the updated </w:t>
      </w:r>
      <w:r w:rsidR="00285053">
        <w:rPr>
          <w:rFonts w:ascii="Arial" w:eastAsia="Arial" w:hAnsi="Arial"/>
          <w:sz w:val="24"/>
          <w:szCs w:val="24"/>
        </w:rPr>
        <w:t>SGBP</w:t>
      </w:r>
      <w:r w:rsidRPr="002B79A8">
        <w:rPr>
          <w:rFonts w:ascii="Arial" w:eastAsia="Arial" w:hAnsi="Arial"/>
          <w:sz w:val="24"/>
          <w:szCs w:val="24"/>
        </w:rPr>
        <w:t xml:space="preserve">. As noted in the previous </w:t>
      </w:r>
      <w:r w:rsidR="0097471B">
        <w:rPr>
          <w:rFonts w:ascii="Arial" w:eastAsia="Arial" w:hAnsi="Arial"/>
          <w:sz w:val="24"/>
          <w:szCs w:val="24"/>
        </w:rPr>
        <w:t>sub-</w:t>
      </w:r>
      <w:r w:rsidRPr="002B79A8">
        <w:rPr>
          <w:rFonts w:ascii="Arial" w:eastAsia="Arial" w:hAnsi="Arial"/>
          <w:sz w:val="24"/>
          <w:szCs w:val="24"/>
        </w:rPr>
        <w:t xml:space="preserve">section, the Cabinet of Ministers of the Kyrgyz Republic during 2021-2023 significantly increased investments in HIV and TB programs, including financing increased salaries in the healthcare system. This activity will continue despite the global economic crisis, rising inflation, and the impact of sanctions on the country's trade. It is planned to further increase the public procurement of SLDs and tests, </w:t>
      </w:r>
      <w:r w:rsidRPr="00B71B23">
        <w:rPr>
          <w:rFonts w:ascii="Arial" w:eastAsia="Arial" w:hAnsi="Arial"/>
          <w:sz w:val="24"/>
          <w:szCs w:val="24"/>
        </w:rPr>
        <w:t xml:space="preserve">reagents for the diagnostics and monitoring of TB treatment </w:t>
      </w:r>
      <w:r w:rsidR="0097471B" w:rsidRPr="00B71B23">
        <w:rPr>
          <w:rFonts w:ascii="Arial" w:eastAsia="Arial" w:hAnsi="Arial"/>
          <w:sz w:val="24"/>
          <w:szCs w:val="24"/>
        </w:rPr>
        <w:t>–</w:t>
      </w:r>
      <w:r w:rsidRPr="00B71B23">
        <w:rPr>
          <w:rFonts w:ascii="Arial" w:eastAsia="Arial" w:hAnsi="Arial"/>
          <w:sz w:val="24"/>
          <w:szCs w:val="24"/>
        </w:rPr>
        <w:t xml:space="preserve"> at least $2 million will be additionally allocated from the state budget for these purposes. Besides, at least 4</w:t>
      </w:r>
      <w:r w:rsidR="0097471B" w:rsidRPr="00B71B23">
        <w:rPr>
          <w:rFonts w:ascii="Arial" w:eastAsia="Arial" w:hAnsi="Arial"/>
          <w:sz w:val="24"/>
          <w:szCs w:val="24"/>
        </w:rPr>
        <w:t> </w:t>
      </w:r>
      <w:r w:rsidRPr="00B71B23">
        <w:rPr>
          <w:rFonts w:ascii="Arial" w:eastAsia="Arial" w:hAnsi="Arial"/>
          <w:sz w:val="24"/>
          <w:szCs w:val="24"/>
        </w:rPr>
        <w:t xml:space="preserve">NGOs will be supported through social contracting to support active TB case finding and adherence to treatment with, at least, $100,000 per year. In order to increase </w:t>
      </w:r>
      <w:r w:rsidR="00AC7AD0" w:rsidRPr="00B71B23">
        <w:rPr>
          <w:rFonts w:ascii="Arial" w:eastAsia="Arial" w:hAnsi="Arial"/>
          <w:sz w:val="24"/>
          <w:szCs w:val="24"/>
        </w:rPr>
        <w:t>RCCVHHIV</w:t>
      </w:r>
      <w:r w:rsidRPr="00B71B23">
        <w:rPr>
          <w:rFonts w:ascii="Arial" w:eastAsia="Arial" w:hAnsi="Arial"/>
          <w:sz w:val="24"/>
          <w:szCs w:val="24"/>
        </w:rPr>
        <w:t xml:space="preserve"> capacity for diagnostics and treatment of HIV, HBV, at least KGS 200 million ($ 2.3 million) will be allocated annually in the state budget, starting from 2023.</w:t>
      </w:r>
    </w:p>
    <w:p w14:paraId="72261B5F" w14:textId="315BDD03" w:rsidR="002B79A8" w:rsidRPr="0097471B" w:rsidRDefault="002B79A8" w:rsidP="0026062D">
      <w:pPr>
        <w:widowControl w:val="0"/>
        <w:spacing w:line="240" w:lineRule="auto"/>
        <w:jc w:val="both"/>
        <w:rPr>
          <w:rFonts w:ascii="Arial" w:eastAsia="Arial" w:hAnsi="Arial"/>
          <w:sz w:val="24"/>
          <w:szCs w:val="24"/>
        </w:rPr>
      </w:pPr>
      <w:r w:rsidRPr="0097471B">
        <w:rPr>
          <w:rFonts w:ascii="Arial" w:eastAsia="Arial" w:hAnsi="Arial"/>
          <w:sz w:val="24"/>
          <w:szCs w:val="24"/>
        </w:rPr>
        <w:t xml:space="preserve">It was mentioned earlier that in 2023 there will be a revision of laws in the sphere of healthcare, which expand the package of guaranteed HIV and TB services. During 2023-2024, after the adoption of new laws, the </w:t>
      </w:r>
      <w:r w:rsidR="00285053">
        <w:rPr>
          <w:rFonts w:ascii="Arial" w:eastAsia="Arial" w:hAnsi="Arial"/>
          <w:sz w:val="24"/>
          <w:szCs w:val="24"/>
        </w:rPr>
        <w:t>SGBP</w:t>
      </w:r>
      <w:r w:rsidRPr="0097471B">
        <w:rPr>
          <w:rFonts w:ascii="Arial" w:eastAsia="Arial" w:hAnsi="Arial"/>
          <w:sz w:val="24"/>
          <w:szCs w:val="24"/>
        </w:rPr>
        <w:t xml:space="preserve"> will be revised, in which HIV and TB services will be expanded at the PHC level.</w:t>
      </w:r>
    </w:p>
    <w:p w14:paraId="3AF50366" w14:textId="77777777" w:rsidR="002B79A8" w:rsidRPr="0097471B" w:rsidRDefault="002B79A8" w:rsidP="0026062D">
      <w:pPr>
        <w:widowControl w:val="0"/>
        <w:spacing w:line="240" w:lineRule="auto"/>
        <w:jc w:val="both"/>
        <w:rPr>
          <w:rFonts w:ascii="Arial" w:eastAsia="Arial" w:hAnsi="Arial"/>
          <w:sz w:val="24"/>
          <w:szCs w:val="24"/>
        </w:rPr>
      </w:pPr>
      <w:r w:rsidRPr="0097471B">
        <w:rPr>
          <w:rFonts w:ascii="Arial" w:eastAsia="Arial" w:hAnsi="Arial"/>
          <w:sz w:val="24"/>
          <w:szCs w:val="24"/>
        </w:rPr>
        <w:t xml:space="preserve">It should be also noted that significant number of activities under PEPFAR programs in the field of HIV, and USAID programs in the field of TB are being implemented on the territory of the Kyrgyz Republic. Under the PEPFAR program, CDC and FHI 360 are implementing activities related to scaling up of </w:t>
      </w:r>
      <w:proofErr w:type="spellStart"/>
      <w:r w:rsidRPr="0097471B">
        <w:rPr>
          <w:rFonts w:ascii="Arial" w:eastAsia="Arial" w:hAnsi="Arial"/>
          <w:sz w:val="24"/>
          <w:szCs w:val="24"/>
        </w:rPr>
        <w:t>PrEP</w:t>
      </w:r>
      <w:proofErr w:type="spellEnd"/>
      <w:r w:rsidRPr="0097471B">
        <w:rPr>
          <w:rFonts w:ascii="Arial" w:eastAsia="Arial" w:hAnsi="Arial"/>
          <w:sz w:val="24"/>
          <w:szCs w:val="24"/>
        </w:rPr>
        <w:t>, improving the indicators of the treatment cascade in a number of regions of the country with the total annual funding of, approximately, $4 million. In addition, the USAID "Cure TB" project is in the final stages of completion and will finish its activities in 2024. Significant support to strengthening of health care system related to HIV and TB is provided by GIZ, but its programs will be completed in 2023. In collaboration with international partners, agreements have been reached that a regular mapping and synchronization of activities during the implementation will be conducted, based on government HIV and TB strategies, in order to avoid the duplication of activities and achieve the maximum efficiency of the external funding as well as to properly fill the gaps within the public funding.</w:t>
      </w:r>
    </w:p>
    <w:p w14:paraId="6F587ABC" w14:textId="3FDFD2BC" w:rsidR="00E862FF" w:rsidRPr="00D13723" w:rsidRDefault="002B79A8" w:rsidP="00D13723">
      <w:pPr>
        <w:pStyle w:val="BodyText"/>
        <w:widowControl w:val="0"/>
        <w:spacing w:line="240" w:lineRule="auto"/>
        <w:jc w:val="both"/>
        <w:rPr>
          <w:rFonts w:ascii="Arial" w:eastAsia="Arial" w:hAnsi="Arial" w:cs="Arial"/>
          <w:color w:val="000000" w:themeColor="text1"/>
          <w:szCs w:val="24"/>
        </w:rPr>
      </w:pPr>
      <w:r w:rsidRPr="0087709E">
        <w:rPr>
          <w:rFonts w:ascii="Arial" w:eastAsia="Arial" w:hAnsi="Arial"/>
          <w:szCs w:val="24"/>
          <w:lang w:val="en-US"/>
        </w:rPr>
        <w:t>In line with the GF allocation letter, the Ministry of Finance together with the CCM and the GF country team will discuss possible forms of reporting on the fulfillment of commitments to increase public funding in the coming months.</w:t>
      </w:r>
      <w:r w:rsidR="00E862FF">
        <w:rPr>
          <w:rFonts w:asciiTheme="majorHAnsi" w:eastAsiaTheme="majorEastAsia" w:hAnsiTheme="majorHAnsi" w:cstheme="majorBidi"/>
          <w:color w:val="000000" w:themeColor="text1"/>
          <w:sz w:val="32"/>
          <w:szCs w:val="32"/>
        </w:rPr>
        <w:br w:type="page"/>
      </w:r>
    </w:p>
    <w:p w14:paraId="78B7967A" w14:textId="1709D5B7" w:rsidR="00FC7ABC" w:rsidRPr="00DE65EB" w:rsidRDefault="006F4B7C" w:rsidP="0026062D">
      <w:pPr>
        <w:widowControl w:val="0"/>
        <w:spacing w:before="600" w:after="600" w:line="240" w:lineRule="auto"/>
        <w:rPr>
          <w:rFonts w:asciiTheme="majorHAnsi" w:eastAsiaTheme="majorEastAsia" w:hAnsiTheme="majorHAnsi" w:cstheme="majorBidi"/>
          <w:color w:val="000000" w:themeColor="text1"/>
          <w:sz w:val="32"/>
          <w:szCs w:val="32"/>
          <w:lang w:val="en-GB"/>
        </w:rPr>
      </w:pPr>
      <w:r>
        <w:rPr>
          <w:rFonts w:asciiTheme="majorHAnsi" w:eastAsiaTheme="majorEastAsia" w:hAnsiTheme="majorHAnsi" w:cstheme="majorBidi"/>
          <w:color w:val="000000" w:themeColor="text1"/>
          <w:sz w:val="32"/>
          <w:szCs w:val="32"/>
        </w:rPr>
        <w:lastRenderedPageBreak/>
        <w:t xml:space="preserve">Section 3. </w:t>
      </w:r>
      <w:r w:rsidR="00EA5E21">
        <w:rPr>
          <w:rFonts w:asciiTheme="majorHAnsi" w:eastAsiaTheme="majorEastAsia" w:hAnsiTheme="majorHAnsi" w:cstheme="majorBidi"/>
          <w:color w:val="000000" w:themeColor="text1"/>
          <w:sz w:val="32"/>
          <w:szCs w:val="32"/>
        </w:rPr>
        <w:t>Implement</w:t>
      </w:r>
      <w:r w:rsidR="00EA5E21" w:rsidRPr="00FC7ABC">
        <w:rPr>
          <w:rFonts w:asciiTheme="majorHAnsi" w:eastAsiaTheme="majorEastAsia" w:hAnsiTheme="majorHAnsi" w:cstheme="majorBidi"/>
          <w:color w:val="000000" w:themeColor="text1"/>
          <w:sz w:val="32"/>
          <w:szCs w:val="32"/>
        </w:rPr>
        <w:t>ation</w:t>
      </w:r>
    </w:p>
    <w:p w14:paraId="7E590E92" w14:textId="7B2BC3F4" w:rsidR="004E389D" w:rsidRPr="00627217" w:rsidRDefault="002F414A" w:rsidP="0026062D">
      <w:pPr>
        <w:pStyle w:val="BodyText"/>
        <w:widowControl w:val="0"/>
        <w:numPr>
          <w:ilvl w:val="1"/>
          <w:numId w:val="14"/>
        </w:numPr>
        <w:spacing w:line="240" w:lineRule="auto"/>
        <w:ind w:left="806"/>
        <w:jc w:val="both"/>
        <w:rPr>
          <w:color w:val="000000" w:themeColor="text1"/>
        </w:rPr>
      </w:pPr>
      <w:r w:rsidRPr="002F414A">
        <w:rPr>
          <w:b/>
          <w:bCs/>
        </w:rPr>
        <w:t xml:space="preserve">Implementation </w:t>
      </w:r>
      <w:r w:rsidR="00825EFB">
        <w:rPr>
          <w:b/>
          <w:bCs/>
        </w:rPr>
        <w:t>A</w:t>
      </w:r>
      <w:r w:rsidRPr="002F414A">
        <w:rPr>
          <w:b/>
          <w:bCs/>
        </w:rPr>
        <w:t>rrangements</w:t>
      </w:r>
      <w:r>
        <w:t xml:space="preserve">: </w:t>
      </w:r>
      <w:r w:rsidR="000653EC">
        <w:rPr>
          <w:lang w:val="en-US"/>
        </w:rPr>
        <w:t>D</w:t>
      </w:r>
      <w:r w:rsidR="007E6AB0">
        <w:rPr>
          <w:lang w:val="en-US"/>
        </w:rPr>
        <w:t>escribe changes to implementation arrangements which will maximize implementation effectiveness and optimize efficiency</w:t>
      </w:r>
      <w:r w:rsidR="00B55F0F">
        <w:rPr>
          <w:lang w:val="en-US"/>
        </w:rPr>
        <w:t>.</w:t>
      </w:r>
    </w:p>
    <w:p w14:paraId="1E92494E" w14:textId="387427C1" w:rsidR="00627217" w:rsidRPr="00627217" w:rsidRDefault="00627217" w:rsidP="0026062D">
      <w:pPr>
        <w:widowControl w:val="0"/>
        <w:spacing w:line="240" w:lineRule="auto"/>
        <w:jc w:val="both"/>
        <w:rPr>
          <w:rFonts w:ascii="Arial" w:eastAsia="Arial" w:hAnsi="Arial" w:cs="Arial"/>
          <w:bCs/>
          <w:color w:val="000000"/>
          <w:sz w:val="24"/>
          <w:szCs w:val="24"/>
        </w:rPr>
      </w:pPr>
      <w:r w:rsidRPr="00627217">
        <w:rPr>
          <w:rFonts w:ascii="Arial" w:eastAsia="Arial" w:hAnsi="Arial"/>
          <w:bCs/>
          <w:color w:val="000000"/>
          <w:sz w:val="24"/>
          <w:szCs w:val="24"/>
        </w:rPr>
        <w:t xml:space="preserve">For a number of reasons (the full involvement of the MoH of the Kyrgyz Republic in the response to the COVID19 pandemic in the country and the associated delay in transferring the implementation of HIV and TB treatment, care and support activities by public health organizations to the MoH, as well as the planned reorganization of the structure of the Ministry itself), the planned gradual transition of the PR roles did not happen. Only at the end of 2022, the </w:t>
      </w:r>
      <w:r w:rsidR="005C1F43" w:rsidRPr="003F46D5">
        <w:rPr>
          <w:rFonts w:cstheme="minorHAnsi"/>
          <w:lang w:val="en"/>
        </w:rPr>
        <w:t>CHMTD</w:t>
      </w:r>
      <w:r w:rsidRPr="00627217">
        <w:rPr>
          <w:rFonts w:ascii="Arial" w:eastAsia="Arial" w:hAnsi="Arial"/>
          <w:bCs/>
          <w:color w:val="000000"/>
          <w:sz w:val="24"/>
          <w:szCs w:val="24"/>
        </w:rPr>
        <w:t xml:space="preserve"> (which was initially planned to manage the GF funds as the Principal Sub-Recipient), signed the SR Agreement with UNDP and began implementing activities to increase its capacity in managing the GF funds and addressing a number of issues that hinder the full transfer of the management of grant activities to the state (the issue of VAT, budget cycle, etc.).</w:t>
      </w:r>
    </w:p>
    <w:p w14:paraId="6D12E7C3" w14:textId="07EBE9A5" w:rsidR="00627217" w:rsidRPr="00627217" w:rsidRDefault="00627217" w:rsidP="0026062D">
      <w:pPr>
        <w:widowControl w:val="0"/>
        <w:spacing w:line="240" w:lineRule="auto"/>
        <w:jc w:val="both"/>
        <w:rPr>
          <w:rFonts w:ascii="Arial" w:eastAsia="Arial" w:hAnsi="Arial"/>
          <w:color w:val="000000"/>
          <w:sz w:val="24"/>
          <w:szCs w:val="24"/>
        </w:rPr>
      </w:pPr>
      <w:r w:rsidRPr="00627217">
        <w:rPr>
          <w:rFonts w:ascii="Arial" w:eastAsia="Arial" w:hAnsi="Arial"/>
          <w:color w:val="000000"/>
          <w:sz w:val="24"/>
          <w:szCs w:val="24"/>
        </w:rPr>
        <w:t>At the CCM meeting held January 20, 2023</w:t>
      </w:r>
      <w:r>
        <w:rPr>
          <w:rStyle w:val="FootnoteReference"/>
          <w:rFonts w:ascii="Arial" w:eastAsia="Arial" w:hAnsi="Arial"/>
          <w:color w:val="000000"/>
          <w:sz w:val="24"/>
          <w:szCs w:val="24"/>
        </w:rPr>
        <w:footnoteReference w:id="66"/>
      </w:r>
      <w:r w:rsidRPr="00627217">
        <w:rPr>
          <w:rFonts w:ascii="Arial" w:eastAsia="Arial" w:hAnsi="Arial"/>
          <w:color w:val="000000"/>
          <w:sz w:val="24"/>
          <w:szCs w:val="24"/>
        </w:rPr>
        <w:t xml:space="preserve">, the CCM, after receiving the GF allocation letter, decided to further extend the role of UNDP as the Principal Recipient for the grant cycle 2024-2026. During the same CCM meeting, it was decided that the </w:t>
      </w:r>
      <w:r w:rsidR="005C1F43" w:rsidRPr="003F46D5">
        <w:rPr>
          <w:rFonts w:cstheme="minorHAnsi"/>
          <w:lang w:val="en"/>
        </w:rPr>
        <w:t>CHMTD</w:t>
      </w:r>
      <w:r w:rsidRPr="00627217">
        <w:rPr>
          <w:rFonts w:ascii="Arial" w:eastAsia="Arial" w:hAnsi="Arial"/>
          <w:color w:val="000000"/>
          <w:sz w:val="24"/>
          <w:szCs w:val="24"/>
        </w:rPr>
        <w:t xml:space="preserve"> would act as the Principal Sub-Recipient, managing the activities of the state institutions implementing activities under the GF grant (</w:t>
      </w:r>
      <w:r w:rsidR="00AC7AD0">
        <w:rPr>
          <w:rFonts w:ascii="Arial" w:eastAsia="Arial" w:hAnsi="Arial"/>
          <w:color w:val="000000"/>
          <w:sz w:val="24"/>
          <w:szCs w:val="24"/>
        </w:rPr>
        <w:t>RCCVHHIV</w:t>
      </w:r>
      <w:r w:rsidRPr="00627217">
        <w:rPr>
          <w:rFonts w:ascii="Arial" w:eastAsia="Arial" w:hAnsi="Arial"/>
          <w:color w:val="000000"/>
          <w:sz w:val="24"/>
          <w:szCs w:val="24"/>
        </w:rPr>
        <w:t xml:space="preserve">, NTBC, RCPN). The transfer of these organizations under the management of </w:t>
      </w:r>
      <w:r w:rsidR="00B94A3E" w:rsidRPr="003F46D5">
        <w:rPr>
          <w:rFonts w:cstheme="minorHAnsi"/>
          <w:lang w:val="en"/>
        </w:rPr>
        <w:t>CHMTD</w:t>
      </w:r>
      <w:r w:rsidR="00B94A3E" w:rsidRPr="00627217">
        <w:rPr>
          <w:rFonts w:ascii="Arial" w:eastAsia="Arial" w:hAnsi="Arial"/>
          <w:bCs/>
          <w:color w:val="000000"/>
          <w:sz w:val="24"/>
          <w:szCs w:val="24"/>
        </w:rPr>
        <w:t xml:space="preserve"> </w:t>
      </w:r>
      <w:r w:rsidRPr="00627217">
        <w:rPr>
          <w:rFonts w:ascii="Arial" w:eastAsia="Arial" w:hAnsi="Arial"/>
          <w:color w:val="000000"/>
          <w:sz w:val="24"/>
          <w:szCs w:val="24"/>
        </w:rPr>
        <w:t xml:space="preserve">will be carried out gradually, one per year, thus, by the end of the grant, all three state institutions directly involved in prevention and treatment will be managed by the </w:t>
      </w:r>
      <w:r w:rsidR="00B94A3E" w:rsidRPr="003F46D5">
        <w:rPr>
          <w:rFonts w:cstheme="minorHAnsi"/>
          <w:lang w:val="en"/>
        </w:rPr>
        <w:t>CHMTD</w:t>
      </w:r>
      <w:r w:rsidRPr="00627217">
        <w:rPr>
          <w:rFonts w:ascii="Arial" w:eastAsia="Arial" w:hAnsi="Arial"/>
          <w:color w:val="000000"/>
          <w:sz w:val="24"/>
          <w:szCs w:val="24"/>
        </w:rPr>
        <w:t xml:space="preserve">. In parallel, the </w:t>
      </w:r>
      <w:r w:rsidR="005C1F43" w:rsidRPr="003F46D5">
        <w:rPr>
          <w:rFonts w:cstheme="minorHAnsi"/>
          <w:lang w:val="en"/>
        </w:rPr>
        <w:t>CHMTD</w:t>
      </w:r>
      <w:r w:rsidR="005C1F43" w:rsidRPr="00627217">
        <w:rPr>
          <w:rFonts w:ascii="Arial" w:eastAsia="Arial" w:hAnsi="Arial"/>
          <w:color w:val="000000"/>
          <w:sz w:val="24"/>
          <w:szCs w:val="24"/>
        </w:rPr>
        <w:t xml:space="preserve"> </w:t>
      </w:r>
      <w:r w:rsidRPr="00627217">
        <w:rPr>
          <w:rFonts w:ascii="Arial" w:eastAsia="Arial" w:hAnsi="Arial"/>
          <w:color w:val="000000"/>
          <w:sz w:val="24"/>
          <w:szCs w:val="24"/>
        </w:rPr>
        <w:t>should address a number of issues which remain the preconditions for transition of PR role, including exemption from taxation of goods and services purchased at the expense of GF, ensuring the continuity of NGO funding within the framework of social contracting, introducing a mechanism for procurement of medicines and health products through international platforms, etc.</w:t>
      </w:r>
    </w:p>
    <w:p w14:paraId="590969F1" w14:textId="77F2677B" w:rsidR="00627217" w:rsidRPr="00627217" w:rsidRDefault="00627217" w:rsidP="0026062D">
      <w:pPr>
        <w:widowControl w:val="0"/>
        <w:spacing w:line="240" w:lineRule="auto"/>
        <w:jc w:val="both"/>
        <w:rPr>
          <w:color w:val="000000" w:themeColor="text1"/>
        </w:rPr>
      </w:pPr>
      <w:r w:rsidRPr="00627217">
        <w:rPr>
          <w:rFonts w:ascii="Arial" w:eastAsia="Arial" w:hAnsi="Arial"/>
          <w:color w:val="000000"/>
          <w:sz w:val="24"/>
          <w:szCs w:val="24"/>
        </w:rPr>
        <w:t>The proposed management arrangement should optimize the grant management costs as well as build the capacity of the MoH of the Kyrgyz Republic for the subsequent full transition to the MoH management of the GF funds.</w:t>
      </w:r>
    </w:p>
    <w:p w14:paraId="10006D45" w14:textId="4B49AE8C" w:rsidR="00A10659" w:rsidRPr="00627217" w:rsidRDefault="00F80858" w:rsidP="0026062D">
      <w:pPr>
        <w:pStyle w:val="BodyText"/>
        <w:widowControl w:val="0"/>
        <w:numPr>
          <w:ilvl w:val="1"/>
          <w:numId w:val="14"/>
        </w:numPr>
        <w:spacing w:line="240" w:lineRule="auto"/>
        <w:ind w:left="806"/>
        <w:jc w:val="both"/>
        <w:rPr>
          <w:color w:val="000000" w:themeColor="text1"/>
        </w:rPr>
      </w:pPr>
      <w:r>
        <w:rPr>
          <w:b/>
          <w:bCs/>
          <w:lang w:val="en-US"/>
        </w:rPr>
        <w:t>C</w:t>
      </w:r>
      <w:r w:rsidR="003E6D92">
        <w:rPr>
          <w:b/>
          <w:bCs/>
          <w:lang w:val="en-US"/>
        </w:rPr>
        <w:t xml:space="preserve">ommunity-Based and -Led Organizations: </w:t>
      </w:r>
      <w:r w:rsidR="000653EC">
        <w:rPr>
          <w:lang w:val="en-US"/>
        </w:rPr>
        <w:t>D</w:t>
      </w:r>
      <w:r w:rsidR="00A10659">
        <w:rPr>
          <w:lang w:val="en-US"/>
        </w:rPr>
        <w:t>escribe the role that community-based and community-led organizations will have in implementing programs supported by the Global Fund.</w:t>
      </w:r>
    </w:p>
    <w:p w14:paraId="179AA32A" w14:textId="77777777" w:rsidR="00380854" w:rsidRPr="00380854" w:rsidRDefault="00380854" w:rsidP="0026062D">
      <w:pPr>
        <w:widowControl w:val="0"/>
        <w:spacing w:line="240" w:lineRule="auto"/>
        <w:jc w:val="both"/>
        <w:rPr>
          <w:rFonts w:ascii="Arial" w:eastAsia="Arial" w:hAnsi="Arial" w:cs="Arial"/>
          <w:color w:val="000000"/>
          <w:sz w:val="24"/>
          <w:szCs w:val="24"/>
        </w:rPr>
      </w:pPr>
      <w:r w:rsidRPr="00380854">
        <w:rPr>
          <w:rFonts w:ascii="Arial" w:eastAsia="Arial" w:hAnsi="Arial"/>
          <w:color w:val="000000"/>
          <w:sz w:val="24"/>
          <w:szCs w:val="24"/>
        </w:rPr>
        <w:t xml:space="preserve">Currently, 15 NGOs, including community-based organizations, have been directly involved in the provision of HIV and TB services within the framework of the GF funding. 5 networks have been engaged in the implementation of the component on overcoming legal barriers and creating a supportive environment for the programs. All prevention programs for SW, MSM, TG and most of the activities for PWID, PLHIV related to care and support have been implemented by NGOs. Motivational payments for achievement of treatment cascade results and motivational payments for DR-TB patients are implemented through networks. Majority of the advocacy activities related to increasing the state funding, revision of legislation, introduction of the social contracting </w:t>
      </w:r>
      <w:proofErr w:type="gramStart"/>
      <w:r w:rsidRPr="00380854">
        <w:rPr>
          <w:rFonts w:ascii="Arial" w:eastAsia="Arial" w:hAnsi="Arial"/>
          <w:color w:val="000000"/>
          <w:sz w:val="24"/>
          <w:szCs w:val="24"/>
        </w:rPr>
        <w:t>are</w:t>
      </w:r>
      <w:proofErr w:type="gramEnd"/>
      <w:r w:rsidRPr="00380854">
        <w:rPr>
          <w:rFonts w:ascii="Arial" w:eastAsia="Arial" w:hAnsi="Arial"/>
          <w:color w:val="000000"/>
          <w:sz w:val="24"/>
          <w:szCs w:val="24"/>
        </w:rPr>
        <w:t xml:space="preserve"> implemented by NGO networks as well. In the current grant cycle, the participation of NGOs in activities related to TB-related activities and primarily aimed at TB detection, ensuring adherence to treatment is significantly increased. At the same time, communities and NGOs will continue to actively participate in the implementation of HIV prevention, treatment, care and support activities. Separate NGOs will provide HIV and TB services for prisoners and for transgender people.</w:t>
      </w:r>
      <w:r w:rsidRPr="00380854">
        <w:rPr>
          <w:rFonts w:ascii="Arial" w:eastAsia="Arial" w:hAnsi="Arial" w:cs="Arial"/>
          <w:color w:val="000000"/>
          <w:sz w:val="24"/>
          <w:szCs w:val="24"/>
        </w:rPr>
        <w:t xml:space="preserve"> </w:t>
      </w:r>
    </w:p>
    <w:p w14:paraId="22723F07" w14:textId="77777777" w:rsidR="00380854" w:rsidRPr="00380854" w:rsidRDefault="00380854" w:rsidP="0026062D">
      <w:pPr>
        <w:widowControl w:val="0"/>
        <w:spacing w:line="240" w:lineRule="auto"/>
        <w:jc w:val="both"/>
        <w:rPr>
          <w:rFonts w:ascii="Arial" w:eastAsia="Arial" w:hAnsi="Arial"/>
          <w:color w:val="000000"/>
          <w:sz w:val="24"/>
          <w:szCs w:val="24"/>
        </w:rPr>
      </w:pPr>
      <w:r w:rsidRPr="00380854">
        <w:rPr>
          <w:rFonts w:ascii="Arial" w:eastAsia="Arial" w:hAnsi="Arial"/>
          <w:color w:val="000000"/>
          <w:sz w:val="24"/>
          <w:szCs w:val="24"/>
        </w:rPr>
        <w:t xml:space="preserve">Given that the implementation of the social contracting is still at an early stage, the majority of </w:t>
      </w:r>
      <w:r w:rsidRPr="00380854">
        <w:rPr>
          <w:rFonts w:ascii="Arial" w:eastAsia="Arial" w:hAnsi="Arial"/>
          <w:color w:val="000000"/>
          <w:sz w:val="24"/>
          <w:szCs w:val="24"/>
        </w:rPr>
        <w:lastRenderedPageBreak/>
        <w:t>prevention programs among key groups will continue to be implemented with GF funding through NGOs. Communities and networks will be the main implementers of community monitoring, protection of the human rights of the key population groups and will actively participate in ensuring the supportive environment for improved access to services. This FR significantly expands the role of community-based organizations in facilitating communication with the local authorities.</w:t>
      </w:r>
    </w:p>
    <w:p w14:paraId="64BA1F01" w14:textId="13E8AEEF" w:rsidR="00627217" w:rsidRPr="00380854" w:rsidRDefault="00380854" w:rsidP="0026062D">
      <w:pPr>
        <w:pStyle w:val="BodyText"/>
        <w:widowControl w:val="0"/>
        <w:spacing w:line="240" w:lineRule="auto"/>
        <w:jc w:val="both"/>
        <w:rPr>
          <w:color w:val="000000" w:themeColor="text1"/>
          <w:lang w:val="en-US"/>
        </w:rPr>
      </w:pPr>
      <w:r>
        <w:rPr>
          <w:rFonts w:ascii="Arial" w:eastAsia="Arial" w:hAnsi="Arial"/>
          <w:color w:val="000000"/>
          <w:szCs w:val="24"/>
          <w:lang w:val="en-US"/>
        </w:rPr>
        <w:t>C</w:t>
      </w:r>
      <w:r w:rsidRPr="00571974">
        <w:rPr>
          <w:rFonts w:ascii="Arial" w:eastAsia="Arial" w:hAnsi="Arial"/>
          <w:color w:val="000000"/>
          <w:szCs w:val="24"/>
          <w:lang w:val="en-US"/>
        </w:rPr>
        <w:t>ommunity representatives are and will continue to be involved in country decision-making mechanisms, including CCM, interagency working groups for implementing the plan to overcome legal barriers related to HIV and TB, platforms for developing national HIV and TB strategies.</w:t>
      </w:r>
    </w:p>
    <w:p w14:paraId="68D29FA7" w14:textId="1641EE1E" w:rsidR="0070372F" w:rsidRDefault="0070372F" w:rsidP="0026062D">
      <w:pPr>
        <w:pStyle w:val="BodyText"/>
        <w:widowControl w:val="0"/>
        <w:spacing w:line="240" w:lineRule="auto"/>
        <w:rPr>
          <w:rFonts w:asciiTheme="majorHAnsi" w:eastAsiaTheme="majorEastAsia" w:hAnsiTheme="majorHAnsi" w:cstheme="majorBidi"/>
          <w:color w:val="000000" w:themeColor="text1"/>
          <w:sz w:val="32"/>
          <w:szCs w:val="32"/>
        </w:rPr>
      </w:pPr>
      <w:r>
        <w:br w:type="page"/>
      </w:r>
    </w:p>
    <w:p w14:paraId="13E99928" w14:textId="5E9F4D88" w:rsidR="00F92EBF" w:rsidRDefault="0069591B" w:rsidP="0026062D">
      <w:pPr>
        <w:pStyle w:val="Heading1"/>
        <w:widowControl w:val="0"/>
        <w:spacing w:after="0"/>
      </w:pPr>
      <w:r>
        <w:lastRenderedPageBreak/>
        <w:t xml:space="preserve">Annex </w:t>
      </w:r>
      <w:r w:rsidR="00380854" w:rsidRPr="005B1BD5">
        <w:rPr>
          <w:lang w:val="en-US"/>
        </w:rPr>
        <w:t>1</w:t>
      </w:r>
      <w:r w:rsidR="00FD555E" w:rsidRPr="00C4055F">
        <w:t>.</w:t>
      </w:r>
      <w:r w:rsidR="0070372F" w:rsidRPr="00C4055F">
        <w:t xml:space="preserve"> </w:t>
      </w:r>
      <w:r w:rsidR="00F92EBF" w:rsidRPr="00A13894">
        <w:t>Documents Checklist</w:t>
      </w:r>
    </w:p>
    <w:p w14:paraId="087D237F" w14:textId="1C9E1E9D" w:rsidR="00EF304D" w:rsidRPr="002031F6" w:rsidRDefault="000F1A74" w:rsidP="0026062D">
      <w:pPr>
        <w:pStyle w:val="BodyText"/>
        <w:widowControl w:val="0"/>
        <w:spacing w:after="0" w:line="240" w:lineRule="auto"/>
        <w:contextualSpacing/>
        <w:jc w:val="both"/>
        <w:rPr>
          <w:sz w:val="20"/>
          <w:szCs w:val="18"/>
        </w:rPr>
      </w:pPr>
      <w:r w:rsidRPr="00396907">
        <w:rPr>
          <w:sz w:val="20"/>
          <w:szCs w:val="18"/>
        </w:rPr>
        <w:t>Use the list below to verify the completeness of your application package.</w:t>
      </w:r>
      <w:r>
        <w:rPr>
          <w:sz w:val="20"/>
          <w:szCs w:val="18"/>
        </w:rPr>
        <w:t xml:space="preserve"> </w:t>
      </w:r>
      <w:r w:rsidRPr="00396907">
        <w:rPr>
          <w:sz w:val="20"/>
          <w:szCs w:val="18"/>
        </w:rPr>
        <w:t xml:space="preserve">This checklist only applies to applicants requested to apply using the </w:t>
      </w:r>
      <w:r>
        <w:rPr>
          <w:sz w:val="20"/>
          <w:szCs w:val="18"/>
        </w:rPr>
        <w:t>Tailored for Focused Portfolios</w:t>
      </w:r>
      <w:r w:rsidRPr="00396907">
        <w:rPr>
          <w:sz w:val="20"/>
          <w:szCs w:val="18"/>
        </w:rPr>
        <w:t xml:space="preserve"> </w:t>
      </w:r>
      <w:r>
        <w:rPr>
          <w:sz w:val="20"/>
          <w:szCs w:val="18"/>
        </w:rPr>
        <w:t>a</w:t>
      </w:r>
      <w:r w:rsidRPr="00396907">
        <w:rPr>
          <w:sz w:val="20"/>
          <w:szCs w:val="18"/>
        </w:rPr>
        <w:t xml:space="preserve">pplication </w:t>
      </w:r>
      <w:r>
        <w:rPr>
          <w:sz w:val="20"/>
          <w:szCs w:val="18"/>
        </w:rPr>
        <w:t>a</w:t>
      </w:r>
      <w:r w:rsidRPr="00396907">
        <w:rPr>
          <w:sz w:val="20"/>
          <w:szCs w:val="18"/>
        </w:rPr>
        <w:t>pproach.</w:t>
      </w:r>
      <w:r w:rsidR="00EF304D">
        <w:rPr>
          <w:sz w:val="20"/>
          <w:szCs w:val="18"/>
        </w:rPr>
        <w:t xml:space="preserve"> </w:t>
      </w:r>
      <w:r w:rsidR="000653EC" w:rsidRPr="002031F6">
        <w:rPr>
          <w:sz w:val="20"/>
          <w:szCs w:val="18"/>
        </w:rPr>
        <w:t>R</w:t>
      </w:r>
      <w:r w:rsidRPr="002031F6">
        <w:rPr>
          <w:sz w:val="20"/>
          <w:szCs w:val="18"/>
        </w:rPr>
        <w:t>efer to the</w:t>
      </w:r>
      <w:r w:rsidR="0046716B" w:rsidRPr="002031F6">
        <w:rPr>
          <w:sz w:val="20"/>
          <w:szCs w:val="18"/>
        </w:rPr>
        <w:t xml:space="preserve"> </w:t>
      </w:r>
      <w:hyperlink r:id="rId38" w:history="1">
        <w:r w:rsidR="0046716B" w:rsidRPr="002031F6">
          <w:rPr>
            <w:rStyle w:val="Hyperlink"/>
            <w:sz w:val="20"/>
            <w:szCs w:val="18"/>
          </w:rPr>
          <w:t>Tailored for Focused Portfolios Instructions</w:t>
        </w:r>
      </w:hyperlink>
      <w:r w:rsidR="002351C4" w:rsidRPr="002031F6">
        <w:rPr>
          <w:rStyle w:val="FootnoteReference"/>
          <w:sz w:val="20"/>
          <w:szCs w:val="18"/>
        </w:rPr>
        <w:footnoteReference w:id="67"/>
      </w:r>
      <w:r w:rsidRPr="002031F6">
        <w:rPr>
          <w:sz w:val="20"/>
          <w:szCs w:val="18"/>
        </w:rPr>
        <w:t xml:space="preserve"> for details, applicability and resources. </w:t>
      </w:r>
    </w:p>
    <w:p w14:paraId="386F5B04" w14:textId="77777777" w:rsidR="00EF304D" w:rsidRPr="008064BB" w:rsidRDefault="00EF304D" w:rsidP="0026062D">
      <w:pPr>
        <w:pStyle w:val="Heading4"/>
        <w:widowControl w:val="0"/>
        <w:spacing w:before="240"/>
        <w:rPr>
          <w:sz w:val="22"/>
        </w:rPr>
      </w:pPr>
      <w:r w:rsidRPr="008064BB">
        <w:rPr>
          <w:sz w:val="22"/>
        </w:rPr>
        <w:t>Documents Reviewed by the Technical Review Panel</w:t>
      </w:r>
    </w:p>
    <w:tbl>
      <w:tblPr>
        <w:tblStyle w:val="GlobalFundNoSpace"/>
        <w:tblW w:w="9209" w:type="dxa"/>
        <w:tblBorders>
          <w:insideH w:val="single" w:sz="2" w:space="0" w:color="BFBFBF" w:themeColor="background1" w:themeShade="BF"/>
          <w:insideV w:val="single" w:sz="2" w:space="0" w:color="BFBFBF" w:themeColor="background1" w:themeShade="BF"/>
        </w:tblBorders>
        <w:tblLook w:val="0600" w:firstRow="0" w:lastRow="0" w:firstColumn="0" w:lastColumn="0" w:noHBand="1" w:noVBand="1"/>
      </w:tblPr>
      <w:tblGrid>
        <w:gridCol w:w="567"/>
        <w:gridCol w:w="8642"/>
      </w:tblGrid>
      <w:tr w:rsidR="00EF304D" w:rsidRPr="00794147" w14:paraId="4D465269" w14:textId="77777777" w:rsidTr="00D92FA6">
        <w:trPr>
          <w:trHeight w:val="432"/>
        </w:trPr>
        <w:tc>
          <w:tcPr>
            <w:tcW w:w="567" w:type="dxa"/>
          </w:tcPr>
          <w:p w14:paraId="23037375" w14:textId="3212DDF1" w:rsidR="00EF304D" w:rsidRPr="004002F7" w:rsidRDefault="00000000" w:rsidP="0026062D">
            <w:pPr>
              <w:pStyle w:val="TableText"/>
              <w:widowControl w:val="0"/>
              <w:rPr>
                <w:sz w:val="20"/>
                <w:szCs w:val="20"/>
              </w:rPr>
            </w:pPr>
            <w:sdt>
              <w:sdtPr>
                <w:rPr>
                  <w:sz w:val="20"/>
                  <w:szCs w:val="20"/>
                </w:rPr>
                <w:id w:val="2031300964"/>
                <w14:checkbox>
                  <w14:checked w14:val="1"/>
                  <w14:checkedState w14:val="2612" w14:font="MS Gothic"/>
                  <w14:uncheckedState w14:val="2610" w14:font="MS Gothic"/>
                </w14:checkbox>
              </w:sdtPr>
              <w:sdtContent>
                <w:r w:rsidR="00ED6F95" w:rsidRPr="004002F7">
                  <w:rPr>
                    <w:rFonts w:ascii="MS Gothic" w:eastAsia="MS Gothic" w:hAnsi="MS Gothic" w:hint="eastAsia"/>
                    <w:sz w:val="20"/>
                    <w:szCs w:val="20"/>
                  </w:rPr>
                  <w:t>☒</w:t>
                </w:r>
              </w:sdtContent>
            </w:sdt>
          </w:p>
        </w:tc>
        <w:tc>
          <w:tcPr>
            <w:tcW w:w="8642" w:type="dxa"/>
          </w:tcPr>
          <w:p w14:paraId="56712286" w14:textId="77777777" w:rsidR="00EF304D" w:rsidRPr="00794147" w:rsidRDefault="00EF304D" w:rsidP="0026062D">
            <w:pPr>
              <w:pStyle w:val="TableText"/>
              <w:widowControl w:val="0"/>
              <w:ind w:left="144"/>
              <w:rPr>
                <w:bCs/>
                <w:sz w:val="20"/>
                <w:szCs w:val="20"/>
              </w:rPr>
            </w:pPr>
            <w:r w:rsidRPr="004002F7">
              <w:rPr>
                <w:bCs/>
                <w:sz w:val="20"/>
                <w:szCs w:val="20"/>
              </w:rPr>
              <w:t>Funding Request Form</w:t>
            </w:r>
          </w:p>
        </w:tc>
      </w:tr>
      <w:tr w:rsidR="00EF304D" w:rsidRPr="00794147" w14:paraId="762CE8F6" w14:textId="77777777" w:rsidTr="00D92FA6">
        <w:trPr>
          <w:trHeight w:val="432"/>
        </w:trPr>
        <w:tc>
          <w:tcPr>
            <w:tcW w:w="567" w:type="dxa"/>
          </w:tcPr>
          <w:p w14:paraId="1DD456EB" w14:textId="5FFE3FB7" w:rsidR="00EF304D" w:rsidRPr="00794147" w:rsidRDefault="00000000" w:rsidP="0026062D">
            <w:pPr>
              <w:pStyle w:val="TableText"/>
              <w:widowControl w:val="0"/>
              <w:rPr>
                <w:sz w:val="20"/>
                <w:szCs w:val="20"/>
              </w:rPr>
            </w:pPr>
            <w:sdt>
              <w:sdtPr>
                <w:rPr>
                  <w:sz w:val="20"/>
                  <w:szCs w:val="20"/>
                </w:rPr>
                <w:id w:val="699827957"/>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761747DD" w14:textId="77777777" w:rsidR="00EF304D" w:rsidRPr="00794147" w:rsidRDefault="00EF304D" w:rsidP="0026062D">
            <w:pPr>
              <w:pStyle w:val="TableText"/>
              <w:widowControl w:val="0"/>
              <w:ind w:left="144"/>
              <w:rPr>
                <w:bCs/>
                <w:sz w:val="20"/>
                <w:szCs w:val="20"/>
              </w:rPr>
            </w:pPr>
            <w:r w:rsidRPr="00794147">
              <w:rPr>
                <w:bCs/>
                <w:sz w:val="20"/>
                <w:szCs w:val="20"/>
              </w:rPr>
              <w:t>Performance Framework</w:t>
            </w:r>
          </w:p>
        </w:tc>
      </w:tr>
      <w:tr w:rsidR="00EF304D" w:rsidRPr="00794147" w14:paraId="726B217D" w14:textId="77777777" w:rsidTr="00D92FA6">
        <w:trPr>
          <w:trHeight w:val="432"/>
        </w:trPr>
        <w:tc>
          <w:tcPr>
            <w:tcW w:w="567" w:type="dxa"/>
          </w:tcPr>
          <w:p w14:paraId="33F212FD" w14:textId="0B4EB1C7" w:rsidR="00EF304D" w:rsidRPr="00794147" w:rsidRDefault="00000000" w:rsidP="0026062D">
            <w:pPr>
              <w:pStyle w:val="TableText"/>
              <w:widowControl w:val="0"/>
              <w:rPr>
                <w:sz w:val="20"/>
                <w:szCs w:val="20"/>
              </w:rPr>
            </w:pPr>
            <w:sdt>
              <w:sdtPr>
                <w:rPr>
                  <w:sz w:val="20"/>
                  <w:szCs w:val="20"/>
                </w:rPr>
                <w:id w:val="-1303691870"/>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68CF43DB" w14:textId="3005B3AD" w:rsidR="00EF304D" w:rsidRPr="00794147" w:rsidRDefault="00D024CF" w:rsidP="0026062D">
            <w:pPr>
              <w:pStyle w:val="TableText"/>
              <w:widowControl w:val="0"/>
              <w:ind w:left="144"/>
              <w:rPr>
                <w:bCs/>
                <w:sz w:val="20"/>
                <w:szCs w:val="20"/>
              </w:rPr>
            </w:pPr>
            <w:r>
              <w:rPr>
                <w:bCs/>
                <w:sz w:val="20"/>
                <w:szCs w:val="20"/>
              </w:rPr>
              <w:t xml:space="preserve">Detailed </w:t>
            </w:r>
            <w:r w:rsidR="00EF304D" w:rsidRPr="00794147">
              <w:rPr>
                <w:bCs/>
                <w:sz w:val="20"/>
                <w:szCs w:val="20"/>
              </w:rPr>
              <w:t>Budget</w:t>
            </w:r>
          </w:p>
        </w:tc>
      </w:tr>
      <w:tr w:rsidR="00EF304D" w:rsidRPr="00794147" w14:paraId="46EEDB9C" w14:textId="77777777" w:rsidTr="00D92FA6">
        <w:trPr>
          <w:trHeight w:val="432"/>
        </w:trPr>
        <w:tc>
          <w:tcPr>
            <w:tcW w:w="567" w:type="dxa"/>
          </w:tcPr>
          <w:p w14:paraId="12F0BF0F" w14:textId="53043366" w:rsidR="00EF304D" w:rsidRPr="00794147" w:rsidRDefault="00000000" w:rsidP="0026062D">
            <w:pPr>
              <w:pStyle w:val="TableText"/>
              <w:widowControl w:val="0"/>
              <w:rPr>
                <w:sz w:val="20"/>
                <w:szCs w:val="20"/>
              </w:rPr>
            </w:pPr>
            <w:sdt>
              <w:sdtPr>
                <w:rPr>
                  <w:sz w:val="20"/>
                  <w:szCs w:val="20"/>
                </w:rPr>
                <w:id w:val="-857580730"/>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38DE65A9" w14:textId="77777777" w:rsidR="00EF304D" w:rsidRPr="00794147" w:rsidRDefault="00EF304D" w:rsidP="0026062D">
            <w:pPr>
              <w:pStyle w:val="TableText"/>
              <w:widowControl w:val="0"/>
              <w:ind w:left="144"/>
              <w:rPr>
                <w:rFonts w:eastAsia="SimSun"/>
                <w:bCs/>
                <w:sz w:val="20"/>
                <w:szCs w:val="20"/>
                <w:lang w:eastAsia="zh-CN"/>
              </w:rPr>
            </w:pPr>
            <w:r w:rsidRPr="00794147">
              <w:rPr>
                <w:bCs/>
                <w:sz w:val="20"/>
                <w:szCs w:val="20"/>
              </w:rPr>
              <w:t>Programmatic Gap Table(s)</w:t>
            </w:r>
          </w:p>
        </w:tc>
      </w:tr>
      <w:tr w:rsidR="00EF304D" w:rsidRPr="00794147" w14:paraId="5E7B7BAC" w14:textId="77777777" w:rsidTr="00D92FA6">
        <w:trPr>
          <w:trHeight w:val="432"/>
        </w:trPr>
        <w:tc>
          <w:tcPr>
            <w:tcW w:w="567" w:type="dxa"/>
          </w:tcPr>
          <w:p w14:paraId="546BD9FF" w14:textId="793DC724" w:rsidR="00EF304D" w:rsidRPr="00771958" w:rsidRDefault="00000000" w:rsidP="0026062D">
            <w:pPr>
              <w:pStyle w:val="TableText"/>
              <w:widowControl w:val="0"/>
              <w:rPr>
                <w:sz w:val="20"/>
                <w:szCs w:val="20"/>
              </w:rPr>
            </w:pPr>
            <w:sdt>
              <w:sdtPr>
                <w:rPr>
                  <w:sz w:val="20"/>
                  <w:szCs w:val="20"/>
                </w:rPr>
                <w:id w:val="-214896585"/>
                <w14:checkbox>
                  <w14:checked w14:val="1"/>
                  <w14:checkedState w14:val="2612" w14:font="MS Gothic"/>
                  <w14:uncheckedState w14:val="2610" w14:font="MS Gothic"/>
                </w14:checkbox>
              </w:sdtPr>
              <w:sdtContent>
                <w:r w:rsidR="00ED6F95" w:rsidRPr="00771958">
                  <w:rPr>
                    <w:rFonts w:ascii="MS Gothic" w:eastAsia="MS Gothic" w:hAnsi="MS Gothic" w:hint="eastAsia"/>
                    <w:sz w:val="20"/>
                    <w:szCs w:val="20"/>
                  </w:rPr>
                  <w:t>☒</w:t>
                </w:r>
              </w:sdtContent>
            </w:sdt>
          </w:p>
        </w:tc>
        <w:tc>
          <w:tcPr>
            <w:tcW w:w="8642" w:type="dxa"/>
          </w:tcPr>
          <w:p w14:paraId="4896DBCF" w14:textId="77777777" w:rsidR="00EF304D" w:rsidRPr="00771958" w:rsidRDefault="00EF304D" w:rsidP="0026062D">
            <w:pPr>
              <w:pStyle w:val="TableText"/>
              <w:widowControl w:val="0"/>
              <w:ind w:left="144"/>
              <w:rPr>
                <w:bCs/>
                <w:sz w:val="20"/>
                <w:szCs w:val="20"/>
                <w:lang w:val="ru-RU"/>
              </w:rPr>
            </w:pPr>
            <w:r w:rsidRPr="00771958">
              <w:rPr>
                <w:bCs/>
                <w:sz w:val="20"/>
                <w:szCs w:val="20"/>
              </w:rPr>
              <w:t>Funding Landscape Table(s)</w:t>
            </w:r>
          </w:p>
        </w:tc>
      </w:tr>
      <w:tr w:rsidR="00EF304D" w:rsidRPr="00794147" w14:paraId="1F0D36B4" w14:textId="77777777" w:rsidTr="00D92FA6">
        <w:trPr>
          <w:trHeight w:val="432"/>
        </w:trPr>
        <w:tc>
          <w:tcPr>
            <w:tcW w:w="567" w:type="dxa"/>
          </w:tcPr>
          <w:p w14:paraId="42446FC4" w14:textId="7119B885" w:rsidR="00EF304D" w:rsidRPr="00B87854" w:rsidRDefault="00000000" w:rsidP="0026062D">
            <w:pPr>
              <w:pStyle w:val="TableText"/>
              <w:widowControl w:val="0"/>
              <w:rPr>
                <w:sz w:val="20"/>
                <w:szCs w:val="20"/>
              </w:rPr>
            </w:pPr>
            <w:sdt>
              <w:sdtPr>
                <w:rPr>
                  <w:sz w:val="20"/>
                  <w:szCs w:val="20"/>
                </w:rPr>
                <w:id w:val="-883638904"/>
                <w14:checkbox>
                  <w14:checked w14:val="1"/>
                  <w14:checkedState w14:val="2612" w14:font="MS Gothic"/>
                  <w14:uncheckedState w14:val="2610" w14:font="MS Gothic"/>
                </w14:checkbox>
              </w:sdtPr>
              <w:sdtContent>
                <w:r w:rsidR="00ED6F95" w:rsidRPr="00B87854">
                  <w:rPr>
                    <w:rFonts w:ascii="MS Gothic" w:eastAsia="MS Gothic" w:hAnsi="MS Gothic" w:hint="eastAsia"/>
                    <w:sz w:val="20"/>
                    <w:szCs w:val="20"/>
                  </w:rPr>
                  <w:t>☒</w:t>
                </w:r>
              </w:sdtContent>
            </w:sdt>
          </w:p>
        </w:tc>
        <w:tc>
          <w:tcPr>
            <w:tcW w:w="8642" w:type="dxa"/>
          </w:tcPr>
          <w:p w14:paraId="56809CD3" w14:textId="2B1F7E07" w:rsidR="00EF304D" w:rsidRPr="005B1BD5" w:rsidRDefault="00EF304D" w:rsidP="0026062D">
            <w:pPr>
              <w:pStyle w:val="TableText"/>
              <w:widowControl w:val="0"/>
              <w:ind w:left="144"/>
              <w:rPr>
                <w:bCs/>
                <w:sz w:val="20"/>
                <w:szCs w:val="20"/>
                <w:lang w:val="en-US"/>
              </w:rPr>
            </w:pPr>
            <w:r w:rsidRPr="00B87854">
              <w:rPr>
                <w:bCs/>
                <w:sz w:val="20"/>
                <w:szCs w:val="20"/>
              </w:rPr>
              <w:t xml:space="preserve">Prioritized </w:t>
            </w:r>
            <w:r w:rsidR="00343A9E" w:rsidRPr="00B87854">
              <w:rPr>
                <w:bCs/>
                <w:sz w:val="20"/>
                <w:szCs w:val="20"/>
              </w:rPr>
              <w:t xml:space="preserve">Above Allocation Request </w:t>
            </w:r>
            <w:r w:rsidRPr="00B87854">
              <w:rPr>
                <w:bCs/>
                <w:sz w:val="20"/>
                <w:szCs w:val="20"/>
              </w:rPr>
              <w:t>(PAAR)</w:t>
            </w:r>
          </w:p>
        </w:tc>
      </w:tr>
      <w:tr w:rsidR="00EF304D" w:rsidRPr="00794147" w14:paraId="533B8355" w14:textId="77777777" w:rsidTr="00D92FA6">
        <w:trPr>
          <w:trHeight w:val="432"/>
        </w:trPr>
        <w:tc>
          <w:tcPr>
            <w:tcW w:w="567" w:type="dxa"/>
          </w:tcPr>
          <w:p w14:paraId="58F84805" w14:textId="6A245D44" w:rsidR="00EF304D" w:rsidRPr="00794147" w:rsidRDefault="00000000" w:rsidP="0026062D">
            <w:pPr>
              <w:pStyle w:val="TableText"/>
              <w:widowControl w:val="0"/>
              <w:rPr>
                <w:sz w:val="20"/>
                <w:szCs w:val="20"/>
              </w:rPr>
            </w:pPr>
            <w:sdt>
              <w:sdtPr>
                <w:rPr>
                  <w:sz w:val="20"/>
                  <w:szCs w:val="20"/>
                </w:rPr>
                <w:id w:val="1665122381"/>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47EFBD3C" w14:textId="77777777" w:rsidR="00EF304D" w:rsidRPr="00794147" w:rsidRDefault="00EF304D" w:rsidP="0026062D">
            <w:pPr>
              <w:pStyle w:val="TableText"/>
              <w:widowControl w:val="0"/>
              <w:ind w:left="144"/>
              <w:rPr>
                <w:bCs/>
                <w:sz w:val="20"/>
                <w:szCs w:val="20"/>
              </w:rPr>
            </w:pPr>
            <w:r w:rsidRPr="00794147">
              <w:rPr>
                <w:bCs/>
                <w:sz w:val="20"/>
                <w:szCs w:val="20"/>
              </w:rPr>
              <w:t>Implementation Arrangement</w:t>
            </w:r>
            <w:r>
              <w:rPr>
                <w:bCs/>
                <w:sz w:val="20"/>
                <w:szCs w:val="20"/>
              </w:rPr>
              <w:t>s</w:t>
            </w:r>
            <w:r w:rsidRPr="00794147">
              <w:rPr>
                <w:bCs/>
                <w:sz w:val="20"/>
                <w:szCs w:val="20"/>
              </w:rPr>
              <w:t xml:space="preserve"> Map(s)</w:t>
            </w:r>
          </w:p>
        </w:tc>
      </w:tr>
      <w:tr w:rsidR="00EF304D" w:rsidRPr="00794147" w14:paraId="13EA5E16" w14:textId="77777777" w:rsidTr="00D92FA6">
        <w:trPr>
          <w:trHeight w:val="432"/>
        </w:trPr>
        <w:tc>
          <w:tcPr>
            <w:tcW w:w="567" w:type="dxa"/>
          </w:tcPr>
          <w:p w14:paraId="2D2A3A3C" w14:textId="214CB5AB" w:rsidR="00EF304D" w:rsidRDefault="00761C9B" w:rsidP="0026062D">
            <w:pPr>
              <w:pStyle w:val="TableText"/>
              <w:widowControl w:val="0"/>
              <w:rPr>
                <w:sz w:val="20"/>
                <w:szCs w:val="20"/>
              </w:rPr>
            </w:pPr>
            <w:r w:rsidRPr="00794147">
              <w:rPr>
                <w:rFonts w:ascii="Segoe UI Symbol" w:hAnsi="Segoe UI Symbol" w:cs="Segoe UI Symbol"/>
                <w:sz w:val="20"/>
                <w:szCs w:val="20"/>
              </w:rPr>
              <w:t>☐</w:t>
            </w:r>
          </w:p>
        </w:tc>
        <w:tc>
          <w:tcPr>
            <w:tcW w:w="8642" w:type="dxa"/>
          </w:tcPr>
          <w:p w14:paraId="4808C7EB" w14:textId="5ADA0AA0" w:rsidR="00EF304D" w:rsidRPr="00794147" w:rsidRDefault="007E2465" w:rsidP="0026062D">
            <w:pPr>
              <w:pStyle w:val="TableText"/>
              <w:widowControl w:val="0"/>
              <w:ind w:left="144"/>
              <w:rPr>
                <w:bCs/>
                <w:sz w:val="20"/>
                <w:szCs w:val="20"/>
              </w:rPr>
            </w:pPr>
            <w:r>
              <w:rPr>
                <w:bCs/>
                <w:sz w:val="20"/>
                <w:szCs w:val="20"/>
              </w:rPr>
              <w:t>Assessment of Human Rights-Related Barriers to Services</w:t>
            </w:r>
            <w:r w:rsidR="00EF304D">
              <w:rPr>
                <w:bCs/>
                <w:sz w:val="20"/>
                <w:szCs w:val="20"/>
              </w:rPr>
              <w:t xml:space="preserve"> </w:t>
            </w:r>
            <w:r w:rsidR="005D565B">
              <w:rPr>
                <w:bCs/>
                <w:sz w:val="20"/>
                <w:szCs w:val="20"/>
              </w:rPr>
              <w:t>(if available)</w:t>
            </w:r>
            <w:r w:rsidR="00EF304D">
              <w:rPr>
                <w:bCs/>
                <w:sz w:val="20"/>
                <w:szCs w:val="20"/>
              </w:rPr>
              <w:t xml:space="preserve"> </w:t>
            </w:r>
          </w:p>
        </w:tc>
      </w:tr>
      <w:tr w:rsidR="00EF304D" w:rsidRPr="00794147" w14:paraId="2CC10DBA" w14:textId="77777777" w:rsidTr="00D92FA6">
        <w:trPr>
          <w:trHeight w:val="432"/>
        </w:trPr>
        <w:tc>
          <w:tcPr>
            <w:tcW w:w="567" w:type="dxa"/>
          </w:tcPr>
          <w:p w14:paraId="2128320F" w14:textId="77777777" w:rsidR="00EF304D" w:rsidRPr="00794147" w:rsidRDefault="00000000" w:rsidP="0026062D">
            <w:pPr>
              <w:pStyle w:val="TableText"/>
              <w:widowControl w:val="0"/>
              <w:rPr>
                <w:sz w:val="20"/>
                <w:szCs w:val="20"/>
              </w:rPr>
            </w:pPr>
            <w:sdt>
              <w:sdtPr>
                <w:rPr>
                  <w:sz w:val="20"/>
                  <w:szCs w:val="20"/>
                </w:rPr>
                <w:id w:val="-1080827212"/>
                <w14:checkbox>
                  <w14:checked w14:val="0"/>
                  <w14:checkedState w14:val="2612" w14:font="MS Gothic"/>
                  <w14:uncheckedState w14:val="2610" w14:font="MS Gothic"/>
                </w14:checkbox>
              </w:sdtPr>
              <w:sdtEndPr>
                <w:rPr>
                  <w:rFonts w:ascii="Segoe UI Symbol" w:hAnsi="Segoe UI Symbol" w:cs="Segoe UI Symbol"/>
                </w:rPr>
              </w:sdtEndPr>
              <w:sdtContent/>
            </w:sdt>
            <w:r w:rsidR="00EF304D" w:rsidRPr="00794147">
              <w:rPr>
                <w:rFonts w:ascii="Segoe UI Symbol" w:hAnsi="Segoe UI Symbol" w:cs="Segoe UI Symbol"/>
                <w:sz w:val="20"/>
                <w:szCs w:val="20"/>
              </w:rPr>
              <w:t>☐</w:t>
            </w:r>
          </w:p>
        </w:tc>
        <w:tc>
          <w:tcPr>
            <w:tcW w:w="8642" w:type="dxa"/>
          </w:tcPr>
          <w:p w14:paraId="1E15288B" w14:textId="032F50B3" w:rsidR="00EF304D" w:rsidRPr="00794147" w:rsidRDefault="00EF304D" w:rsidP="0026062D">
            <w:pPr>
              <w:pStyle w:val="TableText"/>
              <w:widowControl w:val="0"/>
              <w:ind w:left="144"/>
              <w:rPr>
                <w:sz w:val="20"/>
                <w:szCs w:val="20"/>
              </w:rPr>
            </w:pPr>
            <w:r w:rsidRPr="00794147">
              <w:rPr>
                <w:sz w:val="20"/>
                <w:szCs w:val="20"/>
              </w:rPr>
              <w:t xml:space="preserve">Gender Assessment </w:t>
            </w:r>
            <w:r w:rsidR="007A5E58">
              <w:rPr>
                <w:sz w:val="20"/>
                <w:szCs w:val="20"/>
              </w:rPr>
              <w:t>(if available)</w:t>
            </w:r>
          </w:p>
        </w:tc>
      </w:tr>
      <w:tr w:rsidR="00EF304D" w:rsidRPr="00794147" w14:paraId="7DB6AD61" w14:textId="77777777" w:rsidTr="00D92FA6">
        <w:trPr>
          <w:trHeight w:val="432"/>
        </w:trPr>
        <w:tc>
          <w:tcPr>
            <w:tcW w:w="567" w:type="dxa"/>
          </w:tcPr>
          <w:p w14:paraId="05385903" w14:textId="757C4741" w:rsidR="00EF304D" w:rsidRPr="00794147" w:rsidRDefault="00000000" w:rsidP="0026062D">
            <w:pPr>
              <w:pStyle w:val="TableText"/>
              <w:widowControl w:val="0"/>
              <w:rPr>
                <w:sz w:val="20"/>
                <w:szCs w:val="20"/>
              </w:rPr>
            </w:pPr>
            <w:sdt>
              <w:sdtPr>
                <w:rPr>
                  <w:sz w:val="20"/>
                  <w:szCs w:val="20"/>
                </w:rPr>
                <w:id w:val="2016493584"/>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5DBB83A8" w14:textId="77777777" w:rsidR="00EF304D" w:rsidRPr="00794147" w:rsidRDefault="00EF304D" w:rsidP="0026062D">
            <w:pPr>
              <w:pStyle w:val="TableText"/>
              <w:widowControl w:val="0"/>
              <w:ind w:left="144"/>
              <w:rPr>
                <w:bCs/>
                <w:sz w:val="20"/>
                <w:szCs w:val="20"/>
              </w:rPr>
            </w:pPr>
            <w:r w:rsidRPr="00794147">
              <w:rPr>
                <w:sz w:val="20"/>
                <w:szCs w:val="20"/>
              </w:rPr>
              <w:t>Essential Data Table(s)</w:t>
            </w:r>
          </w:p>
        </w:tc>
      </w:tr>
      <w:tr w:rsidR="00EF304D" w:rsidRPr="00794147" w14:paraId="339942CD" w14:textId="77777777" w:rsidTr="00D92FA6">
        <w:trPr>
          <w:trHeight w:val="432"/>
        </w:trPr>
        <w:tc>
          <w:tcPr>
            <w:tcW w:w="567" w:type="dxa"/>
          </w:tcPr>
          <w:p w14:paraId="64264AE9" w14:textId="4B618153" w:rsidR="00EF304D" w:rsidRPr="00627217" w:rsidRDefault="00000000" w:rsidP="0026062D">
            <w:pPr>
              <w:pStyle w:val="TableText"/>
              <w:widowControl w:val="0"/>
              <w:rPr>
                <w:sz w:val="20"/>
                <w:szCs w:val="20"/>
              </w:rPr>
            </w:pPr>
            <w:sdt>
              <w:sdtPr>
                <w:rPr>
                  <w:sz w:val="20"/>
                  <w:szCs w:val="20"/>
                </w:rPr>
                <w:id w:val="54824864"/>
                <w14:checkbox>
                  <w14:checked w14:val="1"/>
                  <w14:checkedState w14:val="2612" w14:font="MS Gothic"/>
                  <w14:uncheckedState w14:val="2610" w14:font="MS Gothic"/>
                </w14:checkbox>
              </w:sdtPr>
              <w:sdtContent>
                <w:r w:rsidR="00ED6F95" w:rsidRPr="00627217">
                  <w:rPr>
                    <w:rFonts w:ascii="MS Gothic" w:eastAsia="MS Gothic" w:hAnsi="MS Gothic" w:hint="eastAsia"/>
                    <w:sz w:val="20"/>
                    <w:szCs w:val="20"/>
                  </w:rPr>
                  <w:t>☒</w:t>
                </w:r>
              </w:sdtContent>
            </w:sdt>
          </w:p>
        </w:tc>
        <w:tc>
          <w:tcPr>
            <w:tcW w:w="8642" w:type="dxa"/>
          </w:tcPr>
          <w:p w14:paraId="2C14C368" w14:textId="77777777" w:rsidR="00EF304D" w:rsidRPr="00627217" w:rsidRDefault="00EF304D" w:rsidP="0026062D">
            <w:pPr>
              <w:pStyle w:val="TableText"/>
              <w:widowControl w:val="0"/>
              <w:ind w:left="144"/>
              <w:rPr>
                <w:sz w:val="20"/>
                <w:szCs w:val="20"/>
                <w:lang w:val="ru-RU"/>
              </w:rPr>
            </w:pPr>
            <w:r w:rsidRPr="00627217">
              <w:rPr>
                <w:bCs/>
                <w:sz w:val="20"/>
                <w:szCs w:val="20"/>
              </w:rPr>
              <w:t>National Strategic Plans</w:t>
            </w:r>
          </w:p>
        </w:tc>
      </w:tr>
      <w:tr w:rsidR="00EF304D" w:rsidRPr="00794147" w14:paraId="1830DA5E" w14:textId="77777777" w:rsidTr="00D92FA6">
        <w:trPr>
          <w:trHeight w:val="432"/>
        </w:trPr>
        <w:tc>
          <w:tcPr>
            <w:tcW w:w="567" w:type="dxa"/>
          </w:tcPr>
          <w:p w14:paraId="19A47A08" w14:textId="77777777" w:rsidR="00EF304D" w:rsidRPr="00794147" w:rsidRDefault="00000000" w:rsidP="0026062D">
            <w:pPr>
              <w:pStyle w:val="TableText"/>
              <w:widowControl w:val="0"/>
              <w:rPr>
                <w:sz w:val="20"/>
                <w:szCs w:val="20"/>
              </w:rPr>
            </w:pPr>
            <w:sdt>
              <w:sdtPr>
                <w:rPr>
                  <w:sz w:val="20"/>
                  <w:szCs w:val="20"/>
                </w:rPr>
                <w:id w:val="1232667640"/>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5EA4A4A" w14:textId="77777777" w:rsidR="00EF304D" w:rsidRPr="00794147" w:rsidRDefault="00EF304D" w:rsidP="0026062D">
            <w:pPr>
              <w:pStyle w:val="TableText"/>
              <w:widowControl w:val="0"/>
              <w:ind w:left="144"/>
              <w:rPr>
                <w:bCs/>
                <w:sz w:val="20"/>
                <w:szCs w:val="20"/>
              </w:rPr>
            </w:pPr>
            <w:r w:rsidRPr="00794147">
              <w:rPr>
                <w:sz w:val="20"/>
                <w:szCs w:val="20"/>
              </w:rPr>
              <w:t>Innovative Financing Documentation (if applicable)</w:t>
            </w:r>
          </w:p>
        </w:tc>
      </w:tr>
      <w:tr w:rsidR="00EF304D" w:rsidRPr="00794147" w14:paraId="1EA4D5E6" w14:textId="77777777" w:rsidTr="00EC781D">
        <w:trPr>
          <w:trHeight w:val="567"/>
        </w:trPr>
        <w:tc>
          <w:tcPr>
            <w:tcW w:w="567" w:type="dxa"/>
          </w:tcPr>
          <w:p w14:paraId="253607B1" w14:textId="77777777" w:rsidR="00EF304D" w:rsidRPr="00794147" w:rsidRDefault="00000000" w:rsidP="0026062D">
            <w:pPr>
              <w:pStyle w:val="TableText"/>
              <w:widowControl w:val="0"/>
              <w:rPr>
                <w:sz w:val="20"/>
                <w:szCs w:val="20"/>
              </w:rPr>
            </w:pPr>
            <w:sdt>
              <w:sdtPr>
                <w:rPr>
                  <w:sz w:val="20"/>
                  <w:szCs w:val="20"/>
                </w:rPr>
                <w:id w:val="2060594533"/>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4D1C5FA" w14:textId="3952F8AC" w:rsidR="00EF304D" w:rsidRPr="00794147" w:rsidRDefault="00EF304D" w:rsidP="0026062D">
            <w:pPr>
              <w:pStyle w:val="TableText"/>
              <w:widowControl w:val="0"/>
              <w:ind w:left="144"/>
              <w:rPr>
                <w:sz w:val="20"/>
                <w:szCs w:val="20"/>
              </w:rPr>
            </w:pPr>
            <w:r w:rsidRPr="00794147">
              <w:rPr>
                <w:bCs/>
                <w:sz w:val="20"/>
                <w:szCs w:val="20"/>
              </w:rPr>
              <w:t>Supporting Documentation Related to Sustainability and Transition</w:t>
            </w:r>
            <w:r w:rsidR="0025469D">
              <w:rPr>
                <w:bCs/>
                <w:sz w:val="20"/>
                <w:szCs w:val="20"/>
              </w:rPr>
              <w:t xml:space="preserve"> </w:t>
            </w:r>
            <w:r w:rsidR="00AE428C">
              <w:rPr>
                <w:bCs/>
                <w:sz w:val="20"/>
                <w:szCs w:val="20"/>
              </w:rPr>
              <w:t>(</w:t>
            </w:r>
            <w:r w:rsidR="00AE428C" w:rsidRPr="00F7203F">
              <w:rPr>
                <w:b/>
                <w:i/>
                <w:iCs/>
                <w:sz w:val="20"/>
                <w:szCs w:val="20"/>
              </w:rPr>
              <w:t>if available</w:t>
            </w:r>
            <w:r w:rsidR="00AE428C">
              <w:rPr>
                <w:bCs/>
                <w:sz w:val="20"/>
                <w:szCs w:val="20"/>
              </w:rPr>
              <w:t xml:space="preserve"> for </w:t>
            </w:r>
            <w:r w:rsidR="0024466C">
              <w:rPr>
                <w:bCs/>
                <w:sz w:val="20"/>
                <w:szCs w:val="20"/>
              </w:rPr>
              <w:t xml:space="preserve">Tailored for Focused Portfolios </w:t>
            </w:r>
            <w:r w:rsidR="0081454B">
              <w:rPr>
                <w:bCs/>
                <w:sz w:val="20"/>
                <w:szCs w:val="20"/>
              </w:rPr>
              <w:t xml:space="preserve">funding requests </w:t>
            </w:r>
            <w:r w:rsidR="0024466C">
              <w:rPr>
                <w:bCs/>
                <w:sz w:val="20"/>
                <w:szCs w:val="20"/>
              </w:rPr>
              <w:t xml:space="preserve">and </w:t>
            </w:r>
            <w:r w:rsidR="0024466C" w:rsidRPr="00F7203F">
              <w:rPr>
                <w:b/>
                <w:i/>
                <w:iCs/>
                <w:sz w:val="20"/>
                <w:szCs w:val="20"/>
              </w:rPr>
              <w:t>required</w:t>
            </w:r>
            <w:r w:rsidR="0024466C">
              <w:rPr>
                <w:bCs/>
                <w:sz w:val="20"/>
                <w:szCs w:val="20"/>
              </w:rPr>
              <w:t xml:space="preserve"> for </w:t>
            </w:r>
            <w:r w:rsidR="004D57A2">
              <w:rPr>
                <w:bCs/>
                <w:sz w:val="20"/>
                <w:szCs w:val="20"/>
              </w:rPr>
              <w:t xml:space="preserve">Tailored for Transition </w:t>
            </w:r>
            <w:r w:rsidR="0081454B">
              <w:rPr>
                <w:bCs/>
                <w:sz w:val="20"/>
                <w:szCs w:val="20"/>
              </w:rPr>
              <w:t>funding requests</w:t>
            </w:r>
            <w:r w:rsidR="0086679C">
              <w:rPr>
                <w:bCs/>
                <w:sz w:val="20"/>
                <w:szCs w:val="20"/>
              </w:rPr>
              <w:t>)</w:t>
            </w:r>
          </w:p>
        </w:tc>
      </w:tr>
      <w:tr w:rsidR="00EF304D" w:rsidRPr="00794147" w14:paraId="242F7C12" w14:textId="77777777" w:rsidTr="00D92FA6">
        <w:trPr>
          <w:trHeight w:val="432"/>
        </w:trPr>
        <w:tc>
          <w:tcPr>
            <w:tcW w:w="567" w:type="dxa"/>
          </w:tcPr>
          <w:p w14:paraId="34AE965F" w14:textId="2253A9CC" w:rsidR="00EF304D" w:rsidRPr="004002F7" w:rsidRDefault="00000000" w:rsidP="0026062D">
            <w:pPr>
              <w:pStyle w:val="TableText"/>
              <w:widowControl w:val="0"/>
              <w:rPr>
                <w:sz w:val="20"/>
                <w:szCs w:val="20"/>
              </w:rPr>
            </w:pPr>
            <w:sdt>
              <w:sdtPr>
                <w:rPr>
                  <w:sz w:val="20"/>
                  <w:szCs w:val="20"/>
                </w:rPr>
                <w:id w:val="-1004967915"/>
                <w14:checkbox>
                  <w14:checked w14:val="1"/>
                  <w14:checkedState w14:val="2612" w14:font="MS Gothic"/>
                  <w14:uncheckedState w14:val="2610" w14:font="MS Gothic"/>
                </w14:checkbox>
              </w:sdtPr>
              <w:sdtContent>
                <w:r w:rsidR="00ED6F95" w:rsidRPr="004002F7">
                  <w:rPr>
                    <w:rFonts w:ascii="MS Gothic" w:eastAsia="MS Gothic" w:hAnsi="MS Gothic" w:hint="eastAsia"/>
                    <w:sz w:val="20"/>
                    <w:szCs w:val="20"/>
                  </w:rPr>
                  <w:t>☒</w:t>
                </w:r>
              </w:sdtContent>
            </w:sdt>
          </w:p>
        </w:tc>
        <w:tc>
          <w:tcPr>
            <w:tcW w:w="8642" w:type="dxa"/>
          </w:tcPr>
          <w:p w14:paraId="28CB8EBC" w14:textId="77777777" w:rsidR="00EF304D" w:rsidRPr="00794147" w:rsidRDefault="00EF304D" w:rsidP="0026062D">
            <w:pPr>
              <w:pStyle w:val="TableText"/>
              <w:widowControl w:val="0"/>
              <w:ind w:left="144"/>
              <w:rPr>
                <w:bCs/>
                <w:sz w:val="20"/>
                <w:szCs w:val="20"/>
              </w:rPr>
            </w:pPr>
            <w:r w:rsidRPr="004002F7">
              <w:rPr>
                <w:sz w:val="20"/>
                <w:szCs w:val="20"/>
              </w:rPr>
              <w:t>List of Abbreviations and Annexes</w:t>
            </w:r>
          </w:p>
        </w:tc>
      </w:tr>
    </w:tbl>
    <w:p w14:paraId="34DFF227" w14:textId="77777777" w:rsidR="00EF304D" w:rsidRPr="008064BB" w:rsidRDefault="00EF304D" w:rsidP="0026062D">
      <w:pPr>
        <w:pStyle w:val="Heading4"/>
        <w:widowControl w:val="0"/>
        <w:spacing w:before="120"/>
        <w:rPr>
          <w:sz w:val="22"/>
        </w:rPr>
      </w:pPr>
      <w:r w:rsidRPr="008064BB">
        <w:rPr>
          <w:sz w:val="22"/>
        </w:rPr>
        <w:t>Documents Assessed by the Global Fund Secretariat</w:t>
      </w:r>
    </w:p>
    <w:tbl>
      <w:tblPr>
        <w:tblStyle w:val="GlobalFundNoSpace"/>
        <w:tblW w:w="9209" w:type="dxa"/>
        <w:tblBorders>
          <w:insideH w:val="single" w:sz="2" w:space="0" w:color="BFBFBF" w:themeColor="background1" w:themeShade="BF"/>
          <w:insideV w:val="single" w:sz="2" w:space="0" w:color="BFBFBF" w:themeColor="background1" w:themeShade="BF"/>
        </w:tblBorders>
        <w:tblLook w:val="0600" w:firstRow="0" w:lastRow="0" w:firstColumn="0" w:lastColumn="0" w:noHBand="1" w:noVBand="1"/>
      </w:tblPr>
      <w:tblGrid>
        <w:gridCol w:w="567"/>
        <w:gridCol w:w="8642"/>
      </w:tblGrid>
      <w:tr w:rsidR="00EF304D" w:rsidRPr="002C282D" w14:paraId="4BEB5973" w14:textId="77777777" w:rsidTr="00D92FA6">
        <w:trPr>
          <w:trHeight w:val="432"/>
        </w:trPr>
        <w:tc>
          <w:tcPr>
            <w:tcW w:w="567" w:type="dxa"/>
          </w:tcPr>
          <w:p w14:paraId="0E598981" w14:textId="1F76B122" w:rsidR="00EF304D" w:rsidRPr="002C282D" w:rsidRDefault="00000000" w:rsidP="0026062D">
            <w:pPr>
              <w:pStyle w:val="TableText"/>
              <w:widowControl w:val="0"/>
              <w:rPr>
                <w:sz w:val="20"/>
                <w:szCs w:val="20"/>
              </w:rPr>
            </w:pPr>
            <w:sdt>
              <w:sdtPr>
                <w:rPr>
                  <w:sz w:val="20"/>
                  <w:szCs w:val="20"/>
                </w:rPr>
                <w:id w:val="1327792100"/>
                <w14:checkbox>
                  <w14:checked w14:val="1"/>
                  <w14:checkedState w14:val="2612" w14:font="MS Gothic"/>
                  <w14:uncheckedState w14:val="2610" w14:font="MS Gothic"/>
                </w14:checkbox>
              </w:sdtPr>
              <w:sdtContent>
                <w:r w:rsidR="00ED6F95" w:rsidRPr="002C282D">
                  <w:rPr>
                    <w:rFonts w:ascii="MS Gothic" w:eastAsia="MS Gothic" w:hAnsi="MS Gothic" w:hint="eastAsia"/>
                    <w:sz w:val="20"/>
                    <w:szCs w:val="20"/>
                  </w:rPr>
                  <w:t>☒</w:t>
                </w:r>
              </w:sdtContent>
            </w:sdt>
          </w:p>
        </w:tc>
        <w:tc>
          <w:tcPr>
            <w:tcW w:w="8642" w:type="dxa"/>
          </w:tcPr>
          <w:p w14:paraId="1BFCCA58" w14:textId="4ED5A248" w:rsidR="00EF304D" w:rsidRPr="002C282D" w:rsidRDefault="00EF304D" w:rsidP="0026062D">
            <w:pPr>
              <w:pStyle w:val="TableText"/>
              <w:widowControl w:val="0"/>
              <w:ind w:left="144"/>
              <w:rPr>
                <w:bCs/>
                <w:sz w:val="20"/>
                <w:szCs w:val="20"/>
              </w:rPr>
            </w:pPr>
            <w:r w:rsidRPr="002C282D">
              <w:rPr>
                <w:bCs/>
                <w:sz w:val="20"/>
                <w:szCs w:val="20"/>
              </w:rPr>
              <w:t>Funding Priorities from Civil Society and Communities Annex</w:t>
            </w:r>
          </w:p>
        </w:tc>
      </w:tr>
      <w:tr w:rsidR="00EF304D" w:rsidRPr="00794147" w14:paraId="0917D99F" w14:textId="77777777" w:rsidTr="00D92FA6">
        <w:trPr>
          <w:trHeight w:val="432"/>
        </w:trPr>
        <w:tc>
          <w:tcPr>
            <w:tcW w:w="567" w:type="dxa"/>
          </w:tcPr>
          <w:p w14:paraId="45597E4A" w14:textId="1A217319" w:rsidR="00EF304D" w:rsidRPr="004002F7" w:rsidRDefault="00000000" w:rsidP="0026062D">
            <w:pPr>
              <w:pStyle w:val="TableText"/>
              <w:widowControl w:val="0"/>
              <w:rPr>
                <w:sz w:val="20"/>
                <w:szCs w:val="20"/>
              </w:rPr>
            </w:pPr>
            <w:sdt>
              <w:sdtPr>
                <w:rPr>
                  <w:sz w:val="20"/>
                  <w:szCs w:val="20"/>
                </w:rPr>
                <w:id w:val="1175849334"/>
                <w14:checkbox>
                  <w14:checked w14:val="1"/>
                  <w14:checkedState w14:val="2612" w14:font="MS Gothic"/>
                  <w14:uncheckedState w14:val="2610" w14:font="MS Gothic"/>
                </w14:checkbox>
              </w:sdtPr>
              <w:sdtContent>
                <w:r w:rsidR="00ED6F95" w:rsidRPr="004002F7">
                  <w:rPr>
                    <w:rFonts w:ascii="MS Gothic" w:eastAsia="MS Gothic" w:hAnsi="MS Gothic" w:hint="eastAsia"/>
                    <w:sz w:val="20"/>
                    <w:szCs w:val="20"/>
                  </w:rPr>
                  <w:t>☒</w:t>
                </w:r>
              </w:sdtContent>
            </w:sdt>
          </w:p>
        </w:tc>
        <w:tc>
          <w:tcPr>
            <w:tcW w:w="8642" w:type="dxa"/>
          </w:tcPr>
          <w:p w14:paraId="154EBF91" w14:textId="77777777" w:rsidR="00EF304D" w:rsidRPr="00B87854" w:rsidRDefault="00EF304D" w:rsidP="0026062D">
            <w:pPr>
              <w:pStyle w:val="TableText"/>
              <w:widowControl w:val="0"/>
              <w:ind w:left="144"/>
              <w:rPr>
                <w:sz w:val="20"/>
                <w:szCs w:val="20"/>
                <w:lang w:val="en-US"/>
              </w:rPr>
            </w:pPr>
            <w:r w:rsidRPr="004002F7">
              <w:rPr>
                <w:sz w:val="20"/>
                <w:szCs w:val="20"/>
              </w:rPr>
              <w:t>Country Dialogue Narrative</w:t>
            </w:r>
          </w:p>
        </w:tc>
      </w:tr>
      <w:tr w:rsidR="00EF304D" w:rsidRPr="00794147" w14:paraId="4ADF306D" w14:textId="77777777" w:rsidTr="00D92FA6">
        <w:trPr>
          <w:trHeight w:val="432"/>
        </w:trPr>
        <w:tc>
          <w:tcPr>
            <w:tcW w:w="567" w:type="dxa"/>
          </w:tcPr>
          <w:p w14:paraId="73046839" w14:textId="63491F18" w:rsidR="00EF304D" w:rsidRPr="00794147" w:rsidRDefault="00000000" w:rsidP="0026062D">
            <w:pPr>
              <w:pStyle w:val="TableText"/>
              <w:widowControl w:val="0"/>
              <w:rPr>
                <w:sz w:val="20"/>
                <w:szCs w:val="20"/>
              </w:rPr>
            </w:pPr>
            <w:sdt>
              <w:sdtPr>
                <w:rPr>
                  <w:sz w:val="20"/>
                  <w:szCs w:val="20"/>
                </w:rPr>
                <w:id w:val="414133121"/>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0B1F4D25" w14:textId="77777777" w:rsidR="00EF304D" w:rsidRPr="00794147" w:rsidRDefault="00EF304D" w:rsidP="0026062D">
            <w:pPr>
              <w:pStyle w:val="TableText"/>
              <w:widowControl w:val="0"/>
              <w:ind w:left="144"/>
              <w:rPr>
                <w:sz w:val="20"/>
                <w:szCs w:val="20"/>
                <w:lang w:val="en-US"/>
              </w:rPr>
            </w:pPr>
            <w:r w:rsidRPr="00794147">
              <w:rPr>
                <w:bCs/>
                <w:sz w:val="20"/>
                <w:szCs w:val="20"/>
              </w:rPr>
              <w:t>CCM Endorsement of Funding Request</w:t>
            </w:r>
          </w:p>
        </w:tc>
      </w:tr>
      <w:tr w:rsidR="00EF304D" w:rsidRPr="00794147" w14:paraId="011A96FE" w14:textId="77777777" w:rsidTr="00D92FA6">
        <w:trPr>
          <w:trHeight w:val="432"/>
        </w:trPr>
        <w:tc>
          <w:tcPr>
            <w:tcW w:w="567" w:type="dxa"/>
          </w:tcPr>
          <w:p w14:paraId="6F5190F9" w14:textId="764AB2F7" w:rsidR="00EF304D" w:rsidRPr="00794147" w:rsidRDefault="00000000" w:rsidP="0026062D">
            <w:pPr>
              <w:pStyle w:val="TableText"/>
              <w:widowControl w:val="0"/>
              <w:rPr>
                <w:sz w:val="20"/>
                <w:szCs w:val="20"/>
              </w:rPr>
            </w:pPr>
            <w:sdt>
              <w:sdtPr>
                <w:rPr>
                  <w:sz w:val="20"/>
                  <w:szCs w:val="20"/>
                </w:rPr>
                <w:id w:val="1056893753"/>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27339652" w14:textId="77777777" w:rsidR="00EF304D" w:rsidRPr="00794147" w:rsidRDefault="00EF304D" w:rsidP="0026062D">
            <w:pPr>
              <w:pStyle w:val="TableText"/>
              <w:widowControl w:val="0"/>
              <w:ind w:left="144"/>
              <w:rPr>
                <w:bCs/>
                <w:sz w:val="20"/>
                <w:szCs w:val="20"/>
              </w:rPr>
            </w:pPr>
            <w:r w:rsidRPr="00794147">
              <w:rPr>
                <w:rFonts w:eastAsia="SimSun"/>
                <w:bCs/>
                <w:sz w:val="20"/>
                <w:szCs w:val="20"/>
                <w:lang w:eastAsia="zh-CN"/>
              </w:rPr>
              <w:t>CCM Statement of Compliance</w:t>
            </w:r>
          </w:p>
        </w:tc>
      </w:tr>
      <w:tr w:rsidR="00EF304D" w:rsidRPr="00794147" w14:paraId="1956BA92" w14:textId="77777777" w:rsidTr="00D92FA6">
        <w:trPr>
          <w:trHeight w:val="432"/>
        </w:trPr>
        <w:tc>
          <w:tcPr>
            <w:tcW w:w="567" w:type="dxa"/>
          </w:tcPr>
          <w:p w14:paraId="741F4186" w14:textId="3D42171F" w:rsidR="00EF304D" w:rsidRPr="00794147" w:rsidRDefault="00000000" w:rsidP="0026062D">
            <w:pPr>
              <w:pStyle w:val="TableText"/>
              <w:widowControl w:val="0"/>
              <w:rPr>
                <w:sz w:val="20"/>
                <w:szCs w:val="20"/>
              </w:rPr>
            </w:pPr>
            <w:sdt>
              <w:sdtPr>
                <w:rPr>
                  <w:sz w:val="20"/>
                  <w:szCs w:val="20"/>
                </w:rPr>
                <w:id w:val="1212620163"/>
                <w14:checkbox>
                  <w14:checked w14:val="1"/>
                  <w14:checkedState w14:val="2612" w14:font="MS Gothic"/>
                  <w14:uncheckedState w14:val="2610" w14:font="MS Gothic"/>
                </w14:checkbox>
              </w:sdtPr>
              <w:sdtContent>
                <w:r w:rsidR="00ED6F95">
                  <w:rPr>
                    <w:rFonts w:ascii="MS Gothic" w:eastAsia="MS Gothic" w:hAnsi="MS Gothic" w:hint="eastAsia"/>
                    <w:sz w:val="20"/>
                    <w:szCs w:val="20"/>
                  </w:rPr>
                  <w:t>☒</w:t>
                </w:r>
              </w:sdtContent>
            </w:sdt>
          </w:p>
        </w:tc>
        <w:tc>
          <w:tcPr>
            <w:tcW w:w="8642" w:type="dxa"/>
          </w:tcPr>
          <w:p w14:paraId="6E2194CF" w14:textId="77777777" w:rsidR="00EF304D" w:rsidRPr="00794147" w:rsidRDefault="00EF304D" w:rsidP="0026062D">
            <w:pPr>
              <w:pStyle w:val="TableText"/>
              <w:widowControl w:val="0"/>
              <w:ind w:left="144"/>
              <w:rPr>
                <w:bCs/>
                <w:sz w:val="20"/>
                <w:szCs w:val="20"/>
              </w:rPr>
            </w:pPr>
            <w:r w:rsidRPr="00794147">
              <w:rPr>
                <w:bCs/>
                <w:sz w:val="20"/>
                <w:szCs w:val="20"/>
              </w:rPr>
              <w:t>Co-financing requirement documentation</w:t>
            </w:r>
          </w:p>
        </w:tc>
      </w:tr>
      <w:tr w:rsidR="002A6367" w:rsidRPr="00794147" w14:paraId="0152737A" w14:textId="77777777" w:rsidTr="00D92FA6">
        <w:trPr>
          <w:trHeight w:val="432"/>
        </w:trPr>
        <w:tc>
          <w:tcPr>
            <w:tcW w:w="567" w:type="dxa"/>
          </w:tcPr>
          <w:p w14:paraId="20F5570C" w14:textId="39549802" w:rsidR="002A6367" w:rsidRDefault="00000000" w:rsidP="0026062D">
            <w:pPr>
              <w:pStyle w:val="TableText"/>
              <w:widowControl w:val="0"/>
              <w:rPr>
                <w:sz w:val="20"/>
                <w:szCs w:val="20"/>
              </w:rPr>
            </w:pPr>
            <w:sdt>
              <w:sdtPr>
                <w:rPr>
                  <w:sz w:val="20"/>
                  <w:szCs w:val="20"/>
                </w:rPr>
                <w:id w:val="-267306128"/>
                <w14:checkbox>
                  <w14:checked w14:val="0"/>
                  <w14:checkedState w14:val="2612" w14:font="MS Gothic"/>
                  <w14:uncheckedState w14:val="2610" w14:font="MS Gothic"/>
                </w14:checkbox>
              </w:sdtPr>
              <w:sdtContent>
                <w:r w:rsidR="002A6367">
                  <w:rPr>
                    <w:rFonts w:ascii="MS Gothic" w:eastAsia="MS Gothic" w:hAnsi="MS Gothic" w:hint="eastAsia"/>
                    <w:sz w:val="20"/>
                    <w:szCs w:val="20"/>
                  </w:rPr>
                  <w:t>☐</w:t>
                </w:r>
              </w:sdtContent>
            </w:sdt>
          </w:p>
        </w:tc>
        <w:tc>
          <w:tcPr>
            <w:tcW w:w="8642" w:type="dxa"/>
          </w:tcPr>
          <w:p w14:paraId="7F191BF5" w14:textId="2D428D5E" w:rsidR="002A6367" w:rsidRPr="00794147" w:rsidRDefault="002A6367" w:rsidP="0026062D">
            <w:pPr>
              <w:pStyle w:val="TableText"/>
              <w:widowControl w:val="0"/>
              <w:ind w:left="144"/>
              <w:rPr>
                <w:bCs/>
                <w:sz w:val="20"/>
                <w:szCs w:val="20"/>
              </w:rPr>
            </w:pPr>
            <w:r w:rsidRPr="004B3386">
              <w:rPr>
                <w:sz w:val="20"/>
                <w:szCs w:val="20"/>
              </w:rPr>
              <w:t>Sexual Exploitation, Abuse and Harassment (SEAH) Risk Assessment</w:t>
            </w:r>
            <w:r>
              <w:rPr>
                <w:sz w:val="20"/>
                <w:szCs w:val="20"/>
              </w:rPr>
              <w:t xml:space="preserve"> (optional)</w:t>
            </w:r>
          </w:p>
        </w:tc>
      </w:tr>
    </w:tbl>
    <w:p w14:paraId="44E16941" w14:textId="77777777" w:rsidR="00F92EBF" w:rsidRDefault="00F92EBF" w:rsidP="0026062D">
      <w:pPr>
        <w:pStyle w:val="BodyText"/>
        <w:widowControl w:val="0"/>
        <w:spacing w:line="240" w:lineRule="auto"/>
        <w:rPr>
          <w:lang w:val="en-US"/>
        </w:rPr>
      </w:pPr>
    </w:p>
    <w:sectPr w:rsidR="00F92EBF" w:rsidSect="007E2465">
      <w:headerReference w:type="default" r:id="rId39"/>
      <w:footerReference w:type="default" r:id="rId40"/>
      <w:pgSz w:w="11906" w:h="16838" w:code="9"/>
      <w:pgMar w:top="851" w:right="851" w:bottom="1871" w:left="851"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E00F" w14:textId="77777777" w:rsidR="0001536B" w:rsidRDefault="0001536B" w:rsidP="00861A9E">
      <w:pPr>
        <w:spacing w:after="0" w:line="240" w:lineRule="auto"/>
      </w:pPr>
      <w:r>
        <w:separator/>
      </w:r>
    </w:p>
  </w:endnote>
  <w:endnote w:type="continuationSeparator" w:id="0">
    <w:p w14:paraId="7CAFE7E6" w14:textId="77777777" w:rsidR="0001536B" w:rsidRDefault="0001536B" w:rsidP="00861A9E">
      <w:pPr>
        <w:spacing w:after="0" w:line="240" w:lineRule="auto"/>
      </w:pPr>
      <w:r>
        <w:continuationSeparator/>
      </w:r>
    </w:p>
  </w:endnote>
  <w:endnote w:type="continuationNotice" w:id="1">
    <w:p w14:paraId="215259E7" w14:textId="77777777" w:rsidR="0001536B" w:rsidRDefault="00015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horzAnchor="page" w:tblpX="646" w:tblpY="15140"/>
      <w:tblOverlap w:val="never"/>
      <w:tblW w:w="15642" w:type="dxa"/>
      <w:tblLook w:val="04A0" w:firstRow="1" w:lastRow="0" w:firstColumn="1" w:lastColumn="0" w:noHBand="0" w:noVBand="1"/>
    </w:tblPr>
    <w:tblGrid>
      <w:gridCol w:w="15642"/>
    </w:tblGrid>
    <w:tr w:rsidR="00A0183A" w14:paraId="351AF428" w14:textId="77777777" w:rsidTr="00A0183A">
      <w:trPr>
        <w:trHeight w:val="652"/>
      </w:trPr>
      <w:tc>
        <w:tcPr>
          <w:tcW w:w="15642" w:type="dxa"/>
        </w:tcPr>
        <w:p w14:paraId="3D2DEA60" w14:textId="77777777" w:rsidR="00A0183A" w:rsidRDefault="00A0183A" w:rsidP="00A0183A">
          <w:pPr>
            <w:pStyle w:val="Footer"/>
            <w:rPr>
              <w:noProof/>
            </w:rPr>
          </w:pPr>
          <w:r>
            <w:rPr>
              <w:noProof/>
            </w:rPr>
            <w:drawing>
              <wp:inline distT="0" distB="0" distL="0" distR="0" wp14:anchorId="1878EEED" wp14:editId="7272BE22">
                <wp:extent cx="1620259" cy="1522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p w14:paraId="25852D55" w14:textId="77777777" w:rsidR="00A0183A" w:rsidRDefault="00A0183A" w:rsidP="00A0183A">
          <w:pPr>
            <w:pStyle w:val="Footer"/>
          </w:pPr>
        </w:p>
        <w:p w14:paraId="04EDE29A" w14:textId="160570AD" w:rsidR="00A0183A" w:rsidRDefault="00000000" w:rsidP="00A0183A">
          <w:pPr>
            <w:pStyle w:val="Footer"/>
            <w:rPr>
              <w:noProof/>
            </w:rPr>
          </w:pPr>
          <w:fldSimple w:instr="STYLEREF  Title  \* MERGEFORMAT">
            <w:r w:rsidR="00343873">
              <w:rPr>
                <w:noProof/>
              </w:rPr>
              <w:t>Funding Request Form</w:t>
            </w:r>
          </w:fldSimple>
          <w:r w:rsidR="00A0183A">
            <w:rPr>
              <w:noProof/>
            </w:rPr>
            <w:t xml:space="preserve"> – Tailored for Focused Portfolios</w:t>
          </w:r>
        </w:p>
      </w:tc>
    </w:tr>
  </w:tbl>
  <w:p w14:paraId="6DBA35C2" w14:textId="77777777" w:rsidR="00854BF5" w:rsidRDefault="00854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411FE1" w14:paraId="549010BC" w14:textId="77777777" w:rsidTr="00F83EB1">
      <w:tc>
        <w:tcPr>
          <w:tcW w:w="5102" w:type="dxa"/>
          <w:tcBorders>
            <w:top w:val="single" w:sz="4" w:space="0" w:color="auto"/>
          </w:tcBorders>
        </w:tcPr>
        <w:p w14:paraId="78088178" w14:textId="5DF22CF0" w:rsidR="00411FE1" w:rsidRDefault="00411FE1" w:rsidP="005266C8">
          <w:pPr>
            <w:pStyle w:val="Footer"/>
          </w:pPr>
        </w:p>
      </w:tc>
      <w:tc>
        <w:tcPr>
          <w:tcW w:w="5102" w:type="dxa"/>
          <w:tcBorders>
            <w:top w:val="single" w:sz="4" w:space="0" w:color="auto"/>
          </w:tcBorders>
        </w:tcPr>
        <w:p w14:paraId="795BDF3D" w14:textId="77777777" w:rsidR="00411FE1" w:rsidRDefault="00411FE1" w:rsidP="005266C8">
          <w:pPr>
            <w:pStyle w:val="PageNo"/>
          </w:pPr>
        </w:p>
      </w:tc>
    </w:tr>
    <w:tr w:rsidR="00411FE1" w14:paraId="73A57512" w14:textId="77777777" w:rsidTr="00F83EB1">
      <w:sdt>
        <w:sdtPr>
          <w:alias w:val="Form.DocLang.Logo_horizontal"/>
          <w:tag w:val="{&quot;templafy&quot;:{&quot;id&quot;:&quot;aa521240-03a2-4021-b98d-f2768856db37&quot;}}"/>
          <w:id w:val="549195250"/>
          <w:picture/>
        </w:sdtPr>
        <w:sdtContent>
          <w:tc>
            <w:tcPr>
              <w:tcW w:w="5102" w:type="dxa"/>
              <w:vAlign w:val="bottom"/>
            </w:tcPr>
            <w:p w14:paraId="35DED397" w14:textId="77777777" w:rsidR="00411FE1" w:rsidRDefault="00411FE1" w:rsidP="005266C8">
              <w:pPr>
                <w:pStyle w:val="Footer"/>
              </w:pPr>
              <w:r>
                <w:rPr>
                  <w:noProof/>
                </w:rPr>
                <w:drawing>
                  <wp:inline distT="0" distB="0" distL="0" distR="0" wp14:anchorId="36A15C7D" wp14:editId="6765FF13">
                    <wp:extent cx="1620259" cy="1522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06812C9" w14:textId="77777777" w:rsidR="00411FE1" w:rsidRDefault="00411FE1" w:rsidP="005266C8">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fldSimple w:instr="NUMPAGES  \* Arabic  \* MERGEFORMAT">
            <w:r>
              <w:t>10</w:t>
            </w:r>
          </w:fldSimple>
        </w:p>
      </w:tc>
    </w:tr>
    <w:tr w:rsidR="00411FE1" w14:paraId="3324C455" w14:textId="77777777" w:rsidTr="009A015B">
      <w:trPr>
        <w:trHeight w:val="454"/>
      </w:trPr>
      <w:tc>
        <w:tcPr>
          <w:tcW w:w="5102" w:type="dxa"/>
          <w:vAlign w:val="center"/>
        </w:tcPr>
        <w:p w14:paraId="2D891B64" w14:textId="76FC08DA" w:rsidR="00411FE1" w:rsidRDefault="00000000" w:rsidP="009A015B">
          <w:pPr>
            <w:pStyle w:val="Footer"/>
          </w:pPr>
          <w:fldSimple w:instr="STYLEREF  Title  \* MERGEFORMAT">
            <w:r w:rsidR="00892178">
              <w:rPr>
                <w:noProof/>
              </w:rPr>
              <w:t>Funding Request Form</w:t>
            </w:r>
          </w:fldSimple>
          <w:r w:rsidR="00411FE1">
            <w:rPr>
              <w:noProof/>
            </w:rPr>
            <w:t xml:space="preserve"> – Tailored for Focused Portfolios</w:t>
          </w:r>
        </w:p>
      </w:tc>
      <w:tc>
        <w:tcPr>
          <w:tcW w:w="5102" w:type="dxa"/>
          <w:vAlign w:val="bottom"/>
        </w:tcPr>
        <w:p w14:paraId="7FEC9BDF" w14:textId="77777777" w:rsidR="00411FE1" w:rsidRDefault="00411FE1" w:rsidP="005266C8">
          <w:pPr>
            <w:pStyle w:val="PageNo"/>
          </w:pPr>
        </w:p>
      </w:tc>
    </w:tr>
  </w:tbl>
  <w:p w14:paraId="248CB058" w14:textId="77777777" w:rsidR="00411FE1" w:rsidRPr="005266C8" w:rsidRDefault="00411FE1" w:rsidP="003A71E7">
    <w:pPr>
      <w:pStyle w:val="TableSpaceAf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6153F0" w14:paraId="59C1AEB9" w14:textId="77777777" w:rsidTr="00E90762">
      <w:trPr>
        <w:trHeight w:val="325"/>
      </w:trPr>
      <w:tc>
        <w:tcPr>
          <w:tcW w:w="3200" w:type="dxa"/>
          <w:tcBorders>
            <w:top w:val="single" w:sz="4" w:space="0" w:color="auto"/>
          </w:tcBorders>
        </w:tcPr>
        <w:p w14:paraId="6A1C6DA9" w14:textId="77777777" w:rsidR="006153F0" w:rsidRDefault="006153F0" w:rsidP="006153F0">
          <w:pPr>
            <w:pStyle w:val="Footer"/>
            <w:ind w:left="-284"/>
          </w:pPr>
        </w:p>
      </w:tc>
      <w:tc>
        <w:tcPr>
          <w:tcW w:w="3067" w:type="dxa"/>
          <w:tcBorders>
            <w:top w:val="single" w:sz="4" w:space="0" w:color="auto"/>
          </w:tcBorders>
        </w:tcPr>
        <w:p w14:paraId="5FA7EED8" w14:textId="77777777" w:rsidR="006153F0" w:rsidRDefault="006153F0" w:rsidP="006153F0">
          <w:pPr>
            <w:pStyle w:val="PageNo"/>
          </w:pPr>
        </w:p>
      </w:tc>
      <w:tc>
        <w:tcPr>
          <w:tcW w:w="3903" w:type="dxa"/>
          <w:tcBorders>
            <w:top w:val="single" w:sz="4" w:space="0" w:color="auto"/>
          </w:tcBorders>
          <w:vAlign w:val="bottom"/>
        </w:tcPr>
        <w:p w14:paraId="4882B760" w14:textId="77777777" w:rsidR="006153F0" w:rsidRDefault="006153F0" w:rsidP="006153F0">
          <w:pPr>
            <w:pStyle w:val="PageNo"/>
          </w:pPr>
        </w:p>
      </w:tc>
    </w:tr>
    <w:tr w:rsidR="006153F0" w14:paraId="0C567A8B" w14:textId="77777777" w:rsidTr="00E90762">
      <w:trPr>
        <w:trHeight w:val="325"/>
      </w:trPr>
      <w:tc>
        <w:tcPr>
          <w:tcW w:w="3200" w:type="dxa"/>
          <w:vAlign w:val="bottom"/>
        </w:tcPr>
        <w:p w14:paraId="7658C8AB" w14:textId="77777777" w:rsidR="006153F0" w:rsidRDefault="006153F0" w:rsidP="006153F0">
          <w:pPr>
            <w:pStyle w:val="Footer"/>
          </w:pPr>
        </w:p>
        <w:p w14:paraId="471743AE" w14:textId="77777777" w:rsidR="006153F0" w:rsidRDefault="006153F0" w:rsidP="006153F0">
          <w:pPr>
            <w:pStyle w:val="Footer"/>
          </w:pPr>
          <w:r>
            <w:rPr>
              <w:noProof/>
            </w:rPr>
            <w:drawing>
              <wp:inline distT="0" distB="0" distL="0" distR="0" wp14:anchorId="45FB3E5A" wp14:editId="5293D198">
                <wp:extent cx="1620259" cy="152280"/>
                <wp:effectExtent l="0" t="0" r="0" b="0"/>
                <wp:docPr id="8" name="Picture 4"/>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tc>
        <w:tcPr>
          <w:tcW w:w="3067" w:type="dxa"/>
          <w:vAlign w:val="bottom"/>
        </w:tcPr>
        <w:p w14:paraId="628C31EA" w14:textId="77777777" w:rsidR="006153F0" w:rsidRDefault="006153F0" w:rsidP="006153F0">
          <w:pPr>
            <w:pStyle w:val="PageNo"/>
          </w:pPr>
        </w:p>
      </w:tc>
      <w:tc>
        <w:tcPr>
          <w:tcW w:w="3903" w:type="dxa"/>
          <w:vAlign w:val="bottom"/>
        </w:tcPr>
        <w:p w14:paraId="3763D7B1" w14:textId="77777777" w:rsidR="006153F0" w:rsidRDefault="006153F0" w:rsidP="006153F0">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fldSimple w:instr="NUMPAGES  \* Arabic  \* MERGEFORMAT">
            <w:r>
              <w:t>10</w:t>
            </w:r>
          </w:fldSimple>
        </w:p>
      </w:tc>
    </w:tr>
    <w:tr w:rsidR="006153F0" w14:paraId="7AD484E5" w14:textId="77777777" w:rsidTr="00E90762">
      <w:trPr>
        <w:trHeight w:val="589"/>
      </w:trPr>
      <w:tc>
        <w:tcPr>
          <w:tcW w:w="3200" w:type="dxa"/>
        </w:tcPr>
        <w:p w14:paraId="6CA7E6C8" w14:textId="77777777" w:rsidR="006153F0" w:rsidRDefault="006153F0" w:rsidP="006153F0">
          <w:pPr>
            <w:pStyle w:val="Footer"/>
          </w:pPr>
        </w:p>
        <w:p w14:paraId="004D8105" w14:textId="4B7658DE" w:rsidR="006153F0" w:rsidRDefault="006153F0" w:rsidP="006153F0">
          <w:pPr>
            <w:pStyle w:val="Footer"/>
            <w:rPr>
              <w:noProof/>
            </w:rPr>
          </w:pPr>
          <w:r>
            <w:t>Tailored for Focused Portfolios Form</w:t>
          </w:r>
          <w:r>
            <w:br/>
            <w:t xml:space="preserve">Issue Date: </w:t>
          </w:r>
          <w:r w:rsidR="00023590">
            <w:t>November</w:t>
          </w:r>
          <w:r>
            <w:t xml:space="preserve"> 2022</w:t>
          </w:r>
        </w:p>
        <w:p w14:paraId="385B41C2" w14:textId="77777777" w:rsidR="006153F0" w:rsidRDefault="006153F0" w:rsidP="006153F0">
          <w:pPr>
            <w:pStyle w:val="Footer"/>
          </w:pPr>
        </w:p>
      </w:tc>
      <w:tc>
        <w:tcPr>
          <w:tcW w:w="3067" w:type="dxa"/>
          <w:vAlign w:val="bottom"/>
        </w:tcPr>
        <w:p w14:paraId="1FF67803" w14:textId="77777777" w:rsidR="006153F0" w:rsidRPr="00023590" w:rsidRDefault="006153F0" w:rsidP="006153F0">
          <w:pPr>
            <w:pStyle w:val="PageNo"/>
            <w:rPr>
              <w:lang w:val="en-US"/>
            </w:rPr>
          </w:pPr>
        </w:p>
      </w:tc>
      <w:tc>
        <w:tcPr>
          <w:tcW w:w="3903" w:type="dxa"/>
          <w:vAlign w:val="bottom"/>
        </w:tcPr>
        <w:p w14:paraId="4D66C65C" w14:textId="77777777" w:rsidR="006153F0" w:rsidRDefault="006153F0" w:rsidP="006153F0">
          <w:pPr>
            <w:pStyle w:val="PageNo"/>
          </w:pPr>
        </w:p>
      </w:tc>
    </w:tr>
  </w:tbl>
  <w:p w14:paraId="32247D67" w14:textId="77777777" w:rsidR="00411FE1" w:rsidRDefault="00411F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1C7C2F" w14:paraId="6E1B43E8" w14:textId="77777777" w:rsidTr="00F83EB1">
      <w:tc>
        <w:tcPr>
          <w:tcW w:w="5102" w:type="dxa"/>
          <w:tcBorders>
            <w:top w:val="single" w:sz="4" w:space="0" w:color="auto"/>
          </w:tcBorders>
        </w:tcPr>
        <w:p w14:paraId="31F7157C" w14:textId="40F93832" w:rsidR="001C7C2F" w:rsidRDefault="001C7C2F" w:rsidP="005266C8">
          <w:pPr>
            <w:pStyle w:val="Footer"/>
          </w:pPr>
        </w:p>
      </w:tc>
      <w:tc>
        <w:tcPr>
          <w:tcW w:w="5102" w:type="dxa"/>
          <w:tcBorders>
            <w:top w:val="single" w:sz="4" w:space="0" w:color="auto"/>
          </w:tcBorders>
        </w:tcPr>
        <w:p w14:paraId="6F000060" w14:textId="77777777" w:rsidR="001C7C2F" w:rsidRDefault="001C7C2F" w:rsidP="005266C8">
          <w:pPr>
            <w:pStyle w:val="PageNo"/>
          </w:pPr>
        </w:p>
      </w:tc>
    </w:tr>
    <w:tr w:rsidR="001C7C2F" w14:paraId="0DE0C068" w14:textId="77777777" w:rsidTr="00F83EB1">
      <w:sdt>
        <w:sdtPr>
          <w:alias w:val="Form.DocLang.Logo_horizontal"/>
          <w:tag w:val="{&quot;templafy&quot;:{&quot;id&quot;:&quot;aa521240-03a2-4021-b98d-f2768856db37&quot;}}"/>
          <w:id w:val="1050741473"/>
          <w:picture/>
        </w:sdtPr>
        <w:sdtContent>
          <w:tc>
            <w:tcPr>
              <w:tcW w:w="5102" w:type="dxa"/>
              <w:vAlign w:val="bottom"/>
            </w:tcPr>
            <w:p w14:paraId="2708FDD0" w14:textId="77777777" w:rsidR="001C7C2F" w:rsidRDefault="001C7C2F" w:rsidP="005266C8">
              <w:pPr>
                <w:pStyle w:val="Footer"/>
              </w:pPr>
              <w:r>
                <w:rPr>
                  <w:noProof/>
                </w:rPr>
                <w:drawing>
                  <wp:inline distT="0" distB="0" distL="0" distR="0" wp14:anchorId="24906449" wp14:editId="52641631">
                    <wp:extent cx="1620259" cy="1522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EFDE902" w14:textId="77777777" w:rsidR="001C7C2F" w:rsidRDefault="001C7C2F" w:rsidP="005266C8">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fldSimple w:instr="NUMPAGES  \* Arabic  \* MERGEFORMAT">
            <w:r>
              <w:t>10</w:t>
            </w:r>
          </w:fldSimple>
        </w:p>
      </w:tc>
    </w:tr>
    <w:tr w:rsidR="001C7C2F" w14:paraId="63B2CF38" w14:textId="77777777" w:rsidTr="009A015B">
      <w:trPr>
        <w:trHeight w:val="454"/>
      </w:trPr>
      <w:tc>
        <w:tcPr>
          <w:tcW w:w="5102" w:type="dxa"/>
          <w:vAlign w:val="center"/>
        </w:tcPr>
        <w:p w14:paraId="0241FE9F" w14:textId="529CF97E" w:rsidR="001C7C2F" w:rsidRDefault="00000000" w:rsidP="009A015B">
          <w:pPr>
            <w:pStyle w:val="Footer"/>
          </w:pPr>
          <w:fldSimple w:instr="STYLEREF  Title  \* MERGEFORMAT">
            <w:r w:rsidR="00156140">
              <w:rPr>
                <w:noProof/>
              </w:rPr>
              <w:t>Funding Request Form</w:t>
            </w:r>
          </w:fldSimple>
          <w:r w:rsidR="001C7C2F">
            <w:rPr>
              <w:noProof/>
            </w:rPr>
            <w:t xml:space="preserve"> – </w:t>
          </w:r>
          <w:r w:rsidR="00207675">
            <w:rPr>
              <w:noProof/>
            </w:rPr>
            <w:t>Tailored for Focused Portfolios</w:t>
          </w:r>
        </w:p>
      </w:tc>
      <w:tc>
        <w:tcPr>
          <w:tcW w:w="5102" w:type="dxa"/>
          <w:vAlign w:val="bottom"/>
        </w:tcPr>
        <w:p w14:paraId="38D1CD03" w14:textId="77777777" w:rsidR="001C7C2F" w:rsidRDefault="001C7C2F" w:rsidP="005266C8">
          <w:pPr>
            <w:pStyle w:val="PageNo"/>
          </w:pPr>
        </w:p>
      </w:tc>
    </w:tr>
  </w:tbl>
  <w:p w14:paraId="58DE74E3" w14:textId="77777777" w:rsidR="001C7C2F" w:rsidRPr="005266C8" w:rsidRDefault="001C7C2F" w:rsidP="003A71E7">
    <w:pPr>
      <w:pStyle w:val="TableSpaceAf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1C7C2F" w14:paraId="6FFD4589" w14:textId="77777777" w:rsidTr="00F83EB1">
      <w:tc>
        <w:tcPr>
          <w:tcW w:w="5102" w:type="dxa"/>
          <w:tcBorders>
            <w:top w:val="single" w:sz="4" w:space="0" w:color="auto"/>
          </w:tcBorders>
        </w:tcPr>
        <w:p w14:paraId="4079ABE2" w14:textId="77777777" w:rsidR="001C7C2F" w:rsidRDefault="001C7C2F" w:rsidP="005D11A0">
          <w:pPr>
            <w:pStyle w:val="Footer"/>
          </w:pPr>
        </w:p>
      </w:tc>
      <w:tc>
        <w:tcPr>
          <w:tcW w:w="5102" w:type="dxa"/>
          <w:tcBorders>
            <w:top w:val="single" w:sz="4" w:space="0" w:color="auto"/>
          </w:tcBorders>
        </w:tcPr>
        <w:p w14:paraId="16C3C8DB" w14:textId="77777777" w:rsidR="001C7C2F" w:rsidRDefault="001C7C2F" w:rsidP="005D11A0">
          <w:pPr>
            <w:pStyle w:val="PageNo"/>
          </w:pPr>
        </w:p>
      </w:tc>
    </w:tr>
    <w:tr w:rsidR="001C7C2F" w14:paraId="4E7E3599" w14:textId="77777777" w:rsidTr="00001F81">
      <w:trPr>
        <w:trHeight w:val="708"/>
      </w:trPr>
      <w:tc>
        <w:tcPr>
          <w:tcW w:w="5102" w:type="dxa"/>
        </w:tcPr>
        <w:p w14:paraId="626179A6" w14:textId="389C27A2" w:rsidR="00920AB2" w:rsidRDefault="00000000" w:rsidP="00920AB2">
          <w:pPr>
            <w:pStyle w:val="Footer"/>
            <w:rPr>
              <w:noProof/>
            </w:rPr>
          </w:pPr>
          <w:fldSimple w:instr="STYLEREF  Title  \* MERGEFORMAT">
            <w:r w:rsidR="00343873">
              <w:rPr>
                <w:noProof/>
              </w:rPr>
              <w:t>Funding Request Form</w:t>
            </w:r>
          </w:fldSimple>
        </w:p>
        <w:p w14:paraId="5084D043" w14:textId="545C0450" w:rsidR="001C7C2F" w:rsidRDefault="00920AB2" w:rsidP="00920AB2">
          <w:pPr>
            <w:pStyle w:val="Footer"/>
            <w:rPr>
              <w:noProof/>
            </w:rPr>
          </w:pPr>
          <w:r>
            <w:rPr>
              <w:noProof/>
            </w:rPr>
            <w:t xml:space="preserve">Issue Date: </w:t>
          </w:r>
          <w:r>
            <w:rPr>
              <w:noProof/>
            </w:rPr>
            <w:fldChar w:fldCharType="begin"/>
          </w:r>
          <w:r>
            <w:rPr>
              <w:noProof/>
            </w:rPr>
            <w:instrText xml:space="preserve"> DATE  \@ "MMMM yy"  \* MERGEFORMAT </w:instrText>
          </w:r>
          <w:r>
            <w:rPr>
              <w:noProof/>
            </w:rPr>
            <w:fldChar w:fldCharType="separate"/>
          </w:r>
          <w:r w:rsidR="005B1BD5">
            <w:rPr>
              <w:noProof/>
            </w:rPr>
            <w:t>March 23</w:t>
          </w:r>
          <w:r>
            <w:rPr>
              <w:noProof/>
            </w:rPr>
            <w:fldChar w:fldCharType="end"/>
          </w:r>
        </w:p>
      </w:tc>
      <w:tc>
        <w:tcPr>
          <w:tcW w:w="5102" w:type="dxa"/>
        </w:tcPr>
        <w:p w14:paraId="123676F4" w14:textId="77777777" w:rsidR="001C7C2F" w:rsidRDefault="001C7C2F" w:rsidP="00001F81">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fldSimple w:instr="NUMPAGES  \* Arabic  \* MERGEFORMAT">
            <w:r>
              <w:t>10</w:t>
            </w:r>
          </w:fldSimple>
        </w:p>
      </w:tc>
    </w:tr>
  </w:tbl>
  <w:p w14:paraId="4578B600" w14:textId="77777777" w:rsidR="001C7C2F" w:rsidRDefault="001C7C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7" w:rightFromText="187" w:vertAnchor="page" w:horzAnchor="page" w:tblpX="852" w:tblpY="10587"/>
      <w:tblOverlap w:val="never"/>
      <w:tblW w:w="15139" w:type="dxa"/>
      <w:tblLook w:val="04A0" w:firstRow="1" w:lastRow="0" w:firstColumn="1" w:lastColumn="0" w:noHBand="0" w:noVBand="1"/>
    </w:tblPr>
    <w:tblGrid>
      <w:gridCol w:w="5073"/>
      <w:gridCol w:w="5038"/>
      <w:gridCol w:w="5028"/>
    </w:tblGrid>
    <w:tr w:rsidR="00080ED6" w14:paraId="6E6B6DBA" w14:textId="77777777" w:rsidTr="00F766D9">
      <w:tc>
        <w:tcPr>
          <w:tcW w:w="5130" w:type="dxa"/>
          <w:tcBorders>
            <w:top w:val="single" w:sz="4" w:space="0" w:color="auto"/>
          </w:tcBorders>
        </w:tcPr>
        <w:p w14:paraId="3CF468D3" w14:textId="77777777" w:rsidR="00080ED6" w:rsidRDefault="00080ED6" w:rsidP="00F766D9">
          <w:pPr>
            <w:pStyle w:val="Footer"/>
          </w:pPr>
        </w:p>
      </w:tc>
      <w:tc>
        <w:tcPr>
          <w:tcW w:w="5130" w:type="dxa"/>
          <w:tcBorders>
            <w:top w:val="single" w:sz="4" w:space="0" w:color="auto"/>
          </w:tcBorders>
        </w:tcPr>
        <w:p w14:paraId="07662A9E" w14:textId="77777777" w:rsidR="00080ED6" w:rsidRDefault="00080ED6" w:rsidP="00F766D9">
          <w:pPr>
            <w:pStyle w:val="PageNo"/>
          </w:pPr>
        </w:p>
      </w:tc>
      <w:tc>
        <w:tcPr>
          <w:tcW w:w="5130" w:type="dxa"/>
          <w:tcBorders>
            <w:top w:val="single" w:sz="4" w:space="0" w:color="auto"/>
          </w:tcBorders>
          <w:vAlign w:val="bottom"/>
        </w:tcPr>
        <w:p w14:paraId="757D9935" w14:textId="77777777" w:rsidR="00080ED6" w:rsidRDefault="00080ED6" w:rsidP="00F766D9">
          <w:pPr>
            <w:pStyle w:val="PageNo"/>
          </w:pPr>
        </w:p>
      </w:tc>
    </w:tr>
    <w:tr w:rsidR="00080ED6" w14:paraId="7093418A" w14:textId="77777777" w:rsidTr="00F766D9">
      <w:sdt>
        <w:sdtPr>
          <w:alias w:val="Form.DocLang.Logo_horizontal"/>
          <w:tag w:val="{&quot;templafy&quot;:{&quot;id&quot;:&quot;56f27077-8255-46cb-8038-a9ca3d51227a&quot;}}"/>
          <w:id w:val="-1220824970"/>
          <w:picture/>
        </w:sdtPr>
        <w:sdtContent>
          <w:tc>
            <w:tcPr>
              <w:tcW w:w="5130" w:type="dxa"/>
              <w:vAlign w:val="bottom"/>
            </w:tcPr>
            <w:p w14:paraId="2A5D72EE" w14:textId="77777777" w:rsidR="00080ED6" w:rsidRDefault="00080ED6" w:rsidP="00F766D9">
              <w:pPr>
                <w:pStyle w:val="Footer"/>
              </w:pPr>
              <w:r>
                <w:rPr>
                  <w:noProof/>
                </w:rPr>
                <w:drawing>
                  <wp:inline distT="0" distB="0" distL="0" distR="0" wp14:anchorId="503F9949" wp14:editId="32E87038">
                    <wp:extent cx="1620259" cy="1522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30" w:type="dxa"/>
          <w:vAlign w:val="center"/>
        </w:tcPr>
        <w:p w14:paraId="5E0EDFC3" w14:textId="1829952B" w:rsidR="00080ED6" w:rsidRDefault="00080ED6" w:rsidP="00F766D9">
          <w:pPr>
            <w:pStyle w:val="PageNo"/>
            <w:jc w:val="center"/>
          </w:pPr>
          <w:r>
            <w:t>Tailored for Focused Portfolios Form</w:t>
          </w:r>
        </w:p>
      </w:tc>
      <w:tc>
        <w:tcPr>
          <w:tcW w:w="5130" w:type="dxa"/>
          <w:vAlign w:val="bottom"/>
        </w:tcPr>
        <w:p w14:paraId="7BAB2ABB" w14:textId="77777777" w:rsidR="00080ED6" w:rsidRDefault="00080ED6" w:rsidP="00F766D9">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fldSimple w:instr="NUMPAGES  \* Arabic  \* MERGEFORMAT">
            <w:r>
              <w:t>10</w:t>
            </w:r>
          </w:fldSimple>
        </w:p>
      </w:tc>
    </w:tr>
    <w:tr w:rsidR="00080ED6" w14:paraId="52C0F9E5" w14:textId="77777777" w:rsidTr="00F766D9">
      <w:trPr>
        <w:trHeight w:val="454"/>
      </w:trPr>
      <w:tc>
        <w:tcPr>
          <w:tcW w:w="5130" w:type="dxa"/>
          <w:vAlign w:val="bottom"/>
        </w:tcPr>
        <w:p w14:paraId="5C4643D7" w14:textId="77777777" w:rsidR="00080ED6" w:rsidRDefault="00080ED6" w:rsidP="00F766D9">
          <w:pPr>
            <w:pStyle w:val="Footer"/>
          </w:pPr>
        </w:p>
      </w:tc>
      <w:tc>
        <w:tcPr>
          <w:tcW w:w="5130" w:type="dxa"/>
          <w:vAlign w:val="bottom"/>
        </w:tcPr>
        <w:p w14:paraId="0EA580ED" w14:textId="77777777" w:rsidR="00080ED6" w:rsidRDefault="00080ED6" w:rsidP="00F766D9">
          <w:pPr>
            <w:pStyle w:val="PageNo"/>
          </w:pPr>
        </w:p>
      </w:tc>
      <w:tc>
        <w:tcPr>
          <w:tcW w:w="5130" w:type="dxa"/>
          <w:vAlign w:val="bottom"/>
        </w:tcPr>
        <w:p w14:paraId="7E4FB433" w14:textId="77777777" w:rsidR="00080ED6" w:rsidRDefault="00080ED6" w:rsidP="00F766D9">
          <w:pPr>
            <w:pStyle w:val="PageNo"/>
          </w:pPr>
        </w:p>
      </w:tc>
    </w:tr>
  </w:tbl>
  <w:p w14:paraId="6AED5F24" w14:textId="77777777" w:rsidR="001C215B" w:rsidRDefault="001C21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5525AC" w14:paraId="55A23BA7" w14:textId="77777777" w:rsidTr="00E90762">
      <w:trPr>
        <w:trHeight w:val="325"/>
      </w:trPr>
      <w:tc>
        <w:tcPr>
          <w:tcW w:w="3200" w:type="dxa"/>
          <w:tcBorders>
            <w:top w:val="single" w:sz="4" w:space="0" w:color="auto"/>
          </w:tcBorders>
        </w:tcPr>
        <w:p w14:paraId="17734DD3" w14:textId="77777777" w:rsidR="005525AC" w:rsidRDefault="005525AC" w:rsidP="00C95F76">
          <w:pPr>
            <w:pStyle w:val="Footer"/>
            <w:ind w:left="-284"/>
          </w:pPr>
        </w:p>
      </w:tc>
      <w:tc>
        <w:tcPr>
          <w:tcW w:w="3067" w:type="dxa"/>
          <w:tcBorders>
            <w:top w:val="single" w:sz="4" w:space="0" w:color="auto"/>
          </w:tcBorders>
        </w:tcPr>
        <w:p w14:paraId="3D7D61D5" w14:textId="77777777" w:rsidR="005525AC" w:rsidRDefault="005525AC" w:rsidP="00C95F76">
          <w:pPr>
            <w:pStyle w:val="PageNo"/>
          </w:pPr>
        </w:p>
      </w:tc>
      <w:tc>
        <w:tcPr>
          <w:tcW w:w="3903" w:type="dxa"/>
          <w:tcBorders>
            <w:top w:val="single" w:sz="4" w:space="0" w:color="auto"/>
          </w:tcBorders>
          <w:vAlign w:val="bottom"/>
        </w:tcPr>
        <w:p w14:paraId="0E1EFB7A" w14:textId="77777777" w:rsidR="005525AC" w:rsidRDefault="005525AC" w:rsidP="00C95F76">
          <w:pPr>
            <w:pStyle w:val="PageNo"/>
          </w:pPr>
        </w:p>
      </w:tc>
    </w:tr>
    <w:tr w:rsidR="005525AC" w14:paraId="407431D0" w14:textId="77777777" w:rsidTr="00E90762">
      <w:trPr>
        <w:trHeight w:val="325"/>
      </w:trPr>
      <w:tc>
        <w:tcPr>
          <w:tcW w:w="3200" w:type="dxa"/>
          <w:vAlign w:val="bottom"/>
        </w:tcPr>
        <w:p w14:paraId="4BD768AF" w14:textId="77777777" w:rsidR="005525AC" w:rsidRDefault="005525AC" w:rsidP="00C95F76">
          <w:pPr>
            <w:pStyle w:val="Footer"/>
          </w:pPr>
        </w:p>
        <w:p w14:paraId="21D7D472" w14:textId="77777777" w:rsidR="005525AC" w:rsidRDefault="005525AC" w:rsidP="00C95F76">
          <w:pPr>
            <w:pStyle w:val="Footer"/>
          </w:pPr>
          <w:r>
            <w:rPr>
              <w:noProof/>
              <w:lang w:val="ru-RU" w:eastAsia="ru-RU"/>
            </w:rPr>
            <w:drawing>
              <wp:inline distT="0" distB="0" distL="0" distR="0" wp14:anchorId="7C414063" wp14:editId="6E5022D4">
                <wp:extent cx="1620259" cy="15228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743172320" name="Picture 4"/>
                        <pic:cNvPicPr/>
                      </pic:nvPicPr>
                      <pic:blipFill>
                        <a:blip r:embed="rId1"/>
                        <a:stretch>
                          <a:fillRect/>
                        </a:stretch>
                      </pic:blipFill>
                      <pic:spPr>
                        <a:xfrm>
                          <a:off x="0" y="0"/>
                          <a:ext cx="1620259" cy="152280"/>
                        </a:xfrm>
                        <a:prstGeom prst="rect">
                          <a:avLst/>
                        </a:prstGeom>
                      </pic:spPr>
                    </pic:pic>
                  </a:graphicData>
                </a:graphic>
              </wp:inline>
            </w:drawing>
          </w:r>
        </w:p>
      </w:tc>
      <w:tc>
        <w:tcPr>
          <w:tcW w:w="3067" w:type="dxa"/>
          <w:vAlign w:val="bottom"/>
        </w:tcPr>
        <w:p w14:paraId="6FFDEF34" w14:textId="77777777" w:rsidR="005525AC" w:rsidRDefault="005525AC" w:rsidP="00C95F76">
          <w:pPr>
            <w:pStyle w:val="PageNo"/>
          </w:pPr>
        </w:p>
      </w:tc>
      <w:tc>
        <w:tcPr>
          <w:tcW w:w="3903" w:type="dxa"/>
          <w:vAlign w:val="bottom"/>
        </w:tcPr>
        <w:p w14:paraId="7BCE9D44" w14:textId="77777777" w:rsidR="005525AC" w:rsidRDefault="005525AC" w:rsidP="00C95F76">
          <w:pPr>
            <w:pStyle w:val="PageNo"/>
          </w:pPr>
          <w:r>
            <w:rPr>
              <w:lang w:val="en"/>
            </w:rPr>
            <w:t xml:space="preserve">Page </w:t>
          </w:r>
          <w:r>
            <w:fldChar w:fldCharType="begin"/>
          </w:r>
          <w:r>
            <w:rPr>
              <w:lang w:val="en"/>
            </w:rPr>
            <w:instrText xml:space="preserve"> PAGE  \* Arabic  \* MERGEFORMAT </w:instrText>
          </w:r>
          <w:r>
            <w:fldChar w:fldCharType="separate"/>
          </w:r>
          <w:r>
            <w:rPr>
              <w:noProof/>
              <w:lang w:val="en"/>
            </w:rPr>
            <w:t>63</w:t>
          </w:r>
          <w:r>
            <w:fldChar w:fldCharType="end"/>
          </w:r>
          <w:r>
            <w:rPr>
              <w:lang w:val="en"/>
            </w:rPr>
            <w:t xml:space="preserve"> of </w:t>
          </w:r>
          <w:r>
            <w:rPr>
              <w:noProof/>
            </w:rPr>
            <w:fldChar w:fldCharType="begin"/>
          </w:r>
          <w:r>
            <w:rPr>
              <w:noProof/>
              <w:lang w:val="en"/>
            </w:rPr>
            <w:instrText>NUMPAGES  \* Arabic  \* MERGEFORMAT</w:instrText>
          </w:r>
          <w:r>
            <w:rPr>
              <w:noProof/>
            </w:rPr>
            <w:fldChar w:fldCharType="separate"/>
          </w:r>
          <w:r>
            <w:rPr>
              <w:noProof/>
              <w:lang w:val="en"/>
            </w:rPr>
            <w:t>72</w:t>
          </w:r>
          <w:r>
            <w:rPr>
              <w:noProof/>
            </w:rPr>
            <w:fldChar w:fldCharType="end"/>
          </w:r>
        </w:p>
      </w:tc>
    </w:tr>
    <w:tr w:rsidR="005525AC" w14:paraId="25ACCC05" w14:textId="77777777" w:rsidTr="00E90762">
      <w:trPr>
        <w:trHeight w:val="589"/>
      </w:trPr>
      <w:tc>
        <w:tcPr>
          <w:tcW w:w="3200" w:type="dxa"/>
        </w:tcPr>
        <w:p w14:paraId="44A7D8FF" w14:textId="77777777" w:rsidR="005525AC" w:rsidRDefault="005525AC" w:rsidP="00C95F76">
          <w:pPr>
            <w:pStyle w:val="Footer"/>
          </w:pPr>
        </w:p>
        <w:p w14:paraId="763C7FB5" w14:textId="77777777" w:rsidR="005525AC" w:rsidRDefault="005525AC" w:rsidP="00C95F76">
          <w:pPr>
            <w:pStyle w:val="Footer"/>
            <w:rPr>
              <w:noProof/>
            </w:rPr>
          </w:pPr>
          <w:r w:rsidRPr="00417DE1">
            <w:rPr>
              <w:lang w:val="en"/>
            </w:rPr>
            <w:t xml:space="preserve">Tailored for Focused Portfolios </w:t>
          </w:r>
          <w:r w:rsidRPr="00D35B7C">
            <w:rPr>
              <w:lang w:val="en"/>
            </w:rPr>
            <w:t xml:space="preserve">request </w:t>
          </w:r>
          <w:r>
            <w:rPr>
              <w:lang w:val="en"/>
            </w:rPr>
            <w:t>form</w:t>
          </w:r>
        </w:p>
        <w:p w14:paraId="09FC3120" w14:textId="77777777" w:rsidR="005525AC" w:rsidRDefault="005525AC" w:rsidP="00C95F76">
          <w:pPr>
            <w:pStyle w:val="Footer"/>
          </w:pPr>
        </w:p>
      </w:tc>
      <w:tc>
        <w:tcPr>
          <w:tcW w:w="3067" w:type="dxa"/>
          <w:vAlign w:val="bottom"/>
        </w:tcPr>
        <w:p w14:paraId="2AF56188" w14:textId="77777777" w:rsidR="005525AC" w:rsidRDefault="005525AC" w:rsidP="00C95F76">
          <w:pPr>
            <w:pStyle w:val="PageNo"/>
          </w:pPr>
        </w:p>
      </w:tc>
      <w:tc>
        <w:tcPr>
          <w:tcW w:w="3903" w:type="dxa"/>
          <w:vAlign w:val="bottom"/>
        </w:tcPr>
        <w:p w14:paraId="22AB6E22" w14:textId="77777777" w:rsidR="005525AC" w:rsidRDefault="005525AC" w:rsidP="00C95F76">
          <w:pPr>
            <w:pStyle w:val="PageNo"/>
          </w:pPr>
        </w:p>
      </w:tc>
    </w:tr>
  </w:tbl>
  <w:p w14:paraId="711BA219" w14:textId="77777777" w:rsidR="005525AC" w:rsidRDefault="005525AC" w:rsidP="00C95F76">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C95F76" w14:paraId="69F8817C" w14:textId="77777777" w:rsidTr="00E90762">
      <w:trPr>
        <w:trHeight w:val="325"/>
      </w:trPr>
      <w:tc>
        <w:tcPr>
          <w:tcW w:w="3200" w:type="dxa"/>
          <w:tcBorders>
            <w:top w:val="single" w:sz="4" w:space="0" w:color="auto"/>
          </w:tcBorders>
        </w:tcPr>
        <w:p w14:paraId="0A46124D" w14:textId="77777777" w:rsidR="00C95F76" w:rsidRDefault="00C95F76" w:rsidP="00C95F76">
          <w:pPr>
            <w:pStyle w:val="Footer"/>
            <w:ind w:left="-284"/>
          </w:pPr>
        </w:p>
      </w:tc>
      <w:tc>
        <w:tcPr>
          <w:tcW w:w="3067" w:type="dxa"/>
          <w:tcBorders>
            <w:top w:val="single" w:sz="4" w:space="0" w:color="auto"/>
          </w:tcBorders>
        </w:tcPr>
        <w:p w14:paraId="3D38D4F0" w14:textId="77777777" w:rsidR="00C95F76" w:rsidRDefault="00C95F76" w:rsidP="00C95F76">
          <w:pPr>
            <w:pStyle w:val="PageNo"/>
          </w:pPr>
        </w:p>
      </w:tc>
      <w:tc>
        <w:tcPr>
          <w:tcW w:w="3903" w:type="dxa"/>
          <w:tcBorders>
            <w:top w:val="single" w:sz="4" w:space="0" w:color="auto"/>
          </w:tcBorders>
          <w:vAlign w:val="bottom"/>
        </w:tcPr>
        <w:p w14:paraId="484DC12C" w14:textId="77777777" w:rsidR="00C95F76" w:rsidRDefault="00C95F76" w:rsidP="00C95F76">
          <w:pPr>
            <w:pStyle w:val="PageNo"/>
          </w:pPr>
        </w:p>
      </w:tc>
    </w:tr>
    <w:tr w:rsidR="00C95F76" w14:paraId="3EF106E4" w14:textId="77777777" w:rsidTr="00E90762">
      <w:trPr>
        <w:trHeight w:val="325"/>
      </w:trPr>
      <w:tc>
        <w:tcPr>
          <w:tcW w:w="3200" w:type="dxa"/>
          <w:vAlign w:val="bottom"/>
        </w:tcPr>
        <w:p w14:paraId="7D8C5D57" w14:textId="77777777" w:rsidR="00C95F76" w:rsidRDefault="00C95F76" w:rsidP="00C95F76">
          <w:pPr>
            <w:pStyle w:val="Footer"/>
          </w:pPr>
        </w:p>
        <w:p w14:paraId="0CE5D702" w14:textId="77777777" w:rsidR="00C95F76" w:rsidRDefault="00C95F76" w:rsidP="00C95F76">
          <w:pPr>
            <w:pStyle w:val="Footer"/>
          </w:pPr>
          <w:r>
            <w:rPr>
              <w:noProof/>
            </w:rPr>
            <w:drawing>
              <wp:inline distT="0" distB="0" distL="0" distR="0" wp14:anchorId="290083A3" wp14:editId="13C6BAEA">
                <wp:extent cx="1620259" cy="15228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tc>
        <w:tcPr>
          <w:tcW w:w="3067" w:type="dxa"/>
          <w:vAlign w:val="bottom"/>
        </w:tcPr>
        <w:p w14:paraId="687619B4" w14:textId="77777777" w:rsidR="00C95F76" w:rsidRDefault="00C95F76" w:rsidP="00C95F76">
          <w:pPr>
            <w:pStyle w:val="PageNo"/>
          </w:pPr>
        </w:p>
      </w:tc>
      <w:tc>
        <w:tcPr>
          <w:tcW w:w="3903" w:type="dxa"/>
          <w:vAlign w:val="bottom"/>
        </w:tcPr>
        <w:p w14:paraId="15C4EE27" w14:textId="77777777" w:rsidR="00C95F76" w:rsidRDefault="00C95F76" w:rsidP="00C95F76">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fldSimple w:instr="NUMPAGES  \* Arabic  \* MERGEFORMAT">
            <w:r>
              <w:t>10</w:t>
            </w:r>
          </w:fldSimple>
        </w:p>
      </w:tc>
    </w:tr>
    <w:tr w:rsidR="00C95F76" w14:paraId="2117CC2C" w14:textId="77777777" w:rsidTr="00E90762">
      <w:trPr>
        <w:trHeight w:val="589"/>
      </w:trPr>
      <w:tc>
        <w:tcPr>
          <w:tcW w:w="3200" w:type="dxa"/>
        </w:tcPr>
        <w:p w14:paraId="3FA21F90" w14:textId="77777777" w:rsidR="00C95F76" w:rsidRDefault="00C95F76" w:rsidP="00C95F76">
          <w:pPr>
            <w:pStyle w:val="Footer"/>
          </w:pPr>
        </w:p>
        <w:p w14:paraId="49A19CC5" w14:textId="0D3B4BAA" w:rsidR="00C95F76" w:rsidRDefault="00C95F76" w:rsidP="00C95F76">
          <w:pPr>
            <w:pStyle w:val="Footer"/>
            <w:rPr>
              <w:noProof/>
            </w:rPr>
          </w:pPr>
          <w:r>
            <w:t>Tailored for</w:t>
          </w:r>
          <w:r w:rsidR="008C4985">
            <w:t xml:space="preserve"> </w:t>
          </w:r>
          <w:r w:rsidR="00BD2EFF">
            <w:t>Focused Portfolios Form</w:t>
          </w:r>
        </w:p>
        <w:p w14:paraId="58081A04" w14:textId="77777777" w:rsidR="00C95F76" w:rsidRDefault="00C95F76" w:rsidP="00C95F76">
          <w:pPr>
            <w:pStyle w:val="Footer"/>
          </w:pPr>
        </w:p>
      </w:tc>
      <w:tc>
        <w:tcPr>
          <w:tcW w:w="3067" w:type="dxa"/>
          <w:vAlign w:val="bottom"/>
        </w:tcPr>
        <w:p w14:paraId="49DAED3C" w14:textId="77777777" w:rsidR="00C95F76" w:rsidRDefault="00C95F76" w:rsidP="00C95F76">
          <w:pPr>
            <w:pStyle w:val="PageNo"/>
          </w:pPr>
        </w:p>
      </w:tc>
      <w:tc>
        <w:tcPr>
          <w:tcW w:w="3903" w:type="dxa"/>
          <w:vAlign w:val="bottom"/>
        </w:tcPr>
        <w:p w14:paraId="6ECBF235" w14:textId="77777777" w:rsidR="00C95F76" w:rsidRDefault="00C95F76" w:rsidP="00C95F76">
          <w:pPr>
            <w:pStyle w:val="PageNo"/>
          </w:pPr>
        </w:p>
      </w:tc>
    </w:tr>
  </w:tbl>
  <w:p w14:paraId="16B547A4" w14:textId="77777777" w:rsidR="0016782C" w:rsidRDefault="0016782C" w:rsidP="00C95F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8A30" w14:textId="77777777" w:rsidR="0001536B" w:rsidRDefault="0001536B" w:rsidP="00861A9E">
      <w:pPr>
        <w:spacing w:after="0" w:line="240" w:lineRule="auto"/>
      </w:pPr>
      <w:r>
        <w:separator/>
      </w:r>
    </w:p>
  </w:footnote>
  <w:footnote w:type="continuationSeparator" w:id="0">
    <w:p w14:paraId="56078F4C" w14:textId="77777777" w:rsidR="0001536B" w:rsidRDefault="0001536B" w:rsidP="00861A9E">
      <w:pPr>
        <w:spacing w:after="0" w:line="240" w:lineRule="auto"/>
      </w:pPr>
      <w:r>
        <w:continuationSeparator/>
      </w:r>
    </w:p>
  </w:footnote>
  <w:footnote w:type="continuationNotice" w:id="1">
    <w:p w14:paraId="5E0F16DA" w14:textId="77777777" w:rsidR="0001536B" w:rsidRDefault="0001536B">
      <w:pPr>
        <w:spacing w:after="0" w:line="240" w:lineRule="auto"/>
      </w:pPr>
    </w:p>
  </w:footnote>
  <w:footnote w:id="2">
    <w:p w14:paraId="4525F0B2" w14:textId="77777777" w:rsidR="00771958" w:rsidRPr="000864E3" w:rsidRDefault="00771958" w:rsidP="00771958">
      <w:pPr>
        <w:pStyle w:val="FootnoteText"/>
      </w:pPr>
      <w:r w:rsidRPr="000864E3">
        <w:rPr>
          <w:rStyle w:val="FootnoteReference"/>
        </w:rPr>
        <w:footnoteRef/>
      </w:r>
      <w:r w:rsidRPr="000864E3">
        <w:rPr>
          <w:lang w:val="ru-RU"/>
        </w:rPr>
        <w:t xml:space="preserve"> http://koomtalkuu.gov.kg/ru/view-npa/1814</w:t>
      </w:r>
    </w:p>
  </w:footnote>
  <w:footnote w:id="3">
    <w:p w14:paraId="5B8FBBD2" w14:textId="77777777" w:rsidR="00771958" w:rsidRPr="000864E3" w:rsidRDefault="00771958" w:rsidP="00771958">
      <w:pPr>
        <w:pStyle w:val="FootnoteText"/>
      </w:pPr>
      <w:r w:rsidRPr="000864E3">
        <w:rPr>
          <w:rStyle w:val="FootnoteReference"/>
        </w:rPr>
        <w:footnoteRef/>
      </w:r>
      <w:r w:rsidRPr="000864E3">
        <w:t xml:space="preserve"> http://koomtalkuu.gov.kg/ru/view-npa/1813</w:t>
      </w:r>
    </w:p>
  </w:footnote>
  <w:footnote w:id="4">
    <w:p w14:paraId="34255B5B" w14:textId="77777777" w:rsidR="00771958" w:rsidRDefault="00771958" w:rsidP="00771958">
      <w:pPr>
        <w:pStyle w:val="FootnoteText"/>
      </w:pPr>
      <w:r w:rsidRPr="000864E3">
        <w:rPr>
          <w:rStyle w:val="FootnoteReference"/>
        </w:rPr>
        <w:footnoteRef/>
      </w:r>
      <w:r w:rsidRPr="000864E3">
        <w:t xml:space="preserve"> http://koomtalkuu.gov.kg/ru/view-npa/1812</w:t>
      </w:r>
    </w:p>
  </w:footnote>
  <w:footnote w:id="5">
    <w:p w14:paraId="182E7366" w14:textId="77777777" w:rsidR="00771958" w:rsidRPr="000864E3" w:rsidRDefault="00771958" w:rsidP="00771958">
      <w:pPr>
        <w:pStyle w:val="FootnoteText"/>
      </w:pPr>
      <w:r>
        <w:rPr>
          <w:rStyle w:val="FootnoteReference"/>
        </w:rPr>
        <w:footnoteRef/>
      </w:r>
      <w:r w:rsidRPr="000864E3">
        <w:t xml:space="preserve"> https://pereboi.kg/2022/07/13/otchet-po-zakupkam-preparatov-dlya-lecheniya-vich-i-gepatita-s-v-kyrgyzstane-v-2021-godu/</w:t>
      </w:r>
    </w:p>
  </w:footnote>
  <w:footnote w:id="6">
    <w:p w14:paraId="490DD284" w14:textId="77777777" w:rsidR="00771958" w:rsidRPr="000864E3" w:rsidRDefault="00771958" w:rsidP="00771958">
      <w:pPr>
        <w:pStyle w:val="FootnoteText"/>
      </w:pPr>
      <w:r>
        <w:rPr>
          <w:rStyle w:val="FootnoteReference"/>
        </w:rPr>
        <w:footnoteRef/>
      </w:r>
      <w:r w:rsidRPr="000864E3">
        <w:t xml:space="preserve"> https://www.minfin.kg/pages/utverzhdennyy-byudzhet#</w:t>
      </w:r>
    </w:p>
  </w:footnote>
  <w:footnote w:id="7">
    <w:p w14:paraId="3251F037" w14:textId="77777777" w:rsidR="00771958" w:rsidRPr="000864E3" w:rsidRDefault="00771958" w:rsidP="00771958">
      <w:pPr>
        <w:pStyle w:val="FootnoteText"/>
      </w:pPr>
      <w:r>
        <w:rPr>
          <w:rStyle w:val="FootnoteReference"/>
        </w:rPr>
        <w:footnoteRef/>
      </w:r>
      <w:r w:rsidRPr="000864E3">
        <w:t xml:space="preserve"> https://www.minfin.kg/pages/utverzhdennyy-byudzhet#</w:t>
      </w:r>
    </w:p>
  </w:footnote>
  <w:footnote w:id="8">
    <w:p w14:paraId="0C7934CB" w14:textId="77777777" w:rsidR="00771958" w:rsidRPr="00FC388D" w:rsidRDefault="00771958" w:rsidP="00654519">
      <w:pPr>
        <w:pStyle w:val="FootnoteText"/>
        <w:jc w:val="both"/>
      </w:pPr>
      <w:r>
        <w:rPr>
          <w:rStyle w:val="FootnoteReference"/>
        </w:rPr>
        <w:footnoteRef/>
      </w:r>
      <w:r w:rsidRPr="00FC388D">
        <w:t xml:space="preserve"> </w:t>
      </w:r>
      <w:r w:rsidRPr="00A26916">
        <w:rPr>
          <w:lang w:val="en"/>
        </w:rPr>
        <w:t>http</w:t>
      </w:r>
      <w:r w:rsidRPr="00FC388D">
        <w:t>://</w:t>
      </w:r>
      <w:proofErr w:type="spellStart"/>
      <w:r w:rsidRPr="00A26916">
        <w:rPr>
          <w:lang w:val="en"/>
        </w:rPr>
        <w:t>cbd</w:t>
      </w:r>
      <w:proofErr w:type="spellEnd"/>
      <w:r w:rsidRPr="00FC388D">
        <w:t>.</w:t>
      </w:r>
      <w:proofErr w:type="spellStart"/>
      <w:r w:rsidRPr="00A26916">
        <w:rPr>
          <w:lang w:val="en"/>
        </w:rPr>
        <w:t>minjust</w:t>
      </w:r>
      <w:proofErr w:type="spellEnd"/>
      <w:r w:rsidRPr="00FC388D">
        <w:t>.</w:t>
      </w:r>
      <w:r w:rsidRPr="00A26916">
        <w:rPr>
          <w:lang w:val="en"/>
        </w:rPr>
        <w:t>gov</w:t>
      </w:r>
      <w:r w:rsidRPr="00FC388D">
        <w:t>.</w:t>
      </w:r>
      <w:r w:rsidRPr="00A26916">
        <w:rPr>
          <w:lang w:val="en"/>
        </w:rPr>
        <w:t>kg</w:t>
      </w:r>
      <w:r w:rsidRPr="00FC388D">
        <w:t>/</w:t>
      </w:r>
      <w:r w:rsidRPr="00A26916">
        <w:rPr>
          <w:lang w:val="en"/>
        </w:rPr>
        <w:t>act</w:t>
      </w:r>
      <w:r w:rsidRPr="00FC388D">
        <w:t>/</w:t>
      </w:r>
      <w:r w:rsidRPr="00A26916">
        <w:rPr>
          <w:lang w:val="en"/>
        </w:rPr>
        <w:t>view</w:t>
      </w:r>
      <w:r w:rsidRPr="00FC388D">
        <w:t>/</w:t>
      </w:r>
      <w:proofErr w:type="spellStart"/>
      <w:r w:rsidRPr="00A26916">
        <w:rPr>
          <w:lang w:val="en"/>
        </w:rPr>
        <w:t>ru</w:t>
      </w:r>
      <w:proofErr w:type="spellEnd"/>
      <w:r w:rsidRPr="00FC388D">
        <w:t>-</w:t>
      </w:r>
      <w:proofErr w:type="spellStart"/>
      <w:r w:rsidRPr="00A26916">
        <w:rPr>
          <w:lang w:val="en"/>
        </w:rPr>
        <w:t>ru</w:t>
      </w:r>
      <w:proofErr w:type="spellEnd"/>
      <w:r w:rsidRPr="00FC388D">
        <w:t>/215621</w:t>
      </w:r>
    </w:p>
  </w:footnote>
  <w:footnote w:id="9">
    <w:p w14:paraId="7C994D86" w14:textId="7E5DCC32" w:rsidR="006E1283" w:rsidRPr="00294243" w:rsidRDefault="006E1283" w:rsidP="00654519">
      <w:pPr>
        <w:pStyle w:val="FootnoteText"/>
        <w:jc w:val="both"/>
      </w:pPr>
      <w:r w:rsidRPr="007B62F6">
        <w:rPr>
          <w:rStyle w:val="FootnoteReference"/>
        </w:rPr>
        <w:footnoteRef/>
      </w:r>
      <w:r w:rsidRPr="007B62F6">
        <w:t xml:space="preserve"> The </w:t>
      </w:r>
      <w:proofErr w:type="spellStart"/>
      <w:r w:rsidRPr="007B62F6">
        <w:t>Programme</w:t>
      </w:r>
      <w:proofErr w:type="spellEnd"/>
      <w:r w:rsidRPr="007B62F6">
        <w:t xml:space="preserve"> of the Cabinet of Ministers for overcoming the epidemics of V</w:t>
      </w:r>
      <w:r w:rsidR="00C5143E" w:rsidRPr="007B62F6">
        <w:t>iral Hepatitis</w:t>
      </w:r>
      <w:r w:rsidRPr="007B62F6">
        <w:t xml:space="preserve"> and HIV for 2023-2027, draft – please refer to the document “FR1405-KGZ-C_09A_NSP_HIV_2023-2027_DRAFT_RUS”</w:t>
      </w:r>
    </w:p>
  </w:footnote>
  <w:footnote w:id="10">
    <w:p w14:paraId="20400917" w14:textId="55C88FA9" w:rsidR="006E1283" w:rsidRPr="00294243" w:rsidRDefault="006E1283" w:rsidP="00654519">
      <w:pPr>
        <w:pStyle w:val="FootnoteText"/>
        <w:jc w:val="both"/>
      </w:pPr>
      <w:r>
        <w:rPr>
          <w:rStyle w:val="FootnoteReference"/>
        </w:rPr>
        <w:footnoteRef/>
      </w:r>
      <w:r w:rsidRPr="00294243">
        <w:t xml:space="preserve"> </w:t>
      </w:r>
      <w:r w:rsidR="00040B36">
        <w:t xml:space="preserve">Annex 01. </w:t>
      </w:r>
      <w:r w:rsidR="00040B36" w:rsidRPr="00040B36">
        <w:t>Order of the Ministry of Health of the Kyrgyz Republic № 1354 from 21.11.2022 "On the re-registration of the Institution "Republican Center "AIDS" Ministry of Health and Social Development of the Kyrgyz Republic".</w:t>
      </w:r>
    </w:p>
  </w:footnote>
  <w:footnote w:id="11">
    <w:p w14:paraId="53A97120" w14:textId="77777777" w:rsidR="006E1283" w:rsidRPr="00294243" w:rsidRDefault="006E1283" w:rsidP="00654519">
      <w:pPr>
        <w:pStyle w:val="FootnoteText"/>
        <w:jc w:val="both"/>
      </w:pPr>
      <w:r>
        <w:rPr>
          <w:rStyle w:val="FootnoteReference"/>
        </w:rPr>
        <w:footnoteRef/>
      </w:r>
      <w:r w:rsidRPr="00294243">
        <w:t xml:space="preserve"> https://www.minfin.kg/pages/utverzhdennyy-byudzhet#</w:t>
      </w:r>
    </w:p>
  </w:footnote>
  <w:footnote w:id="12">
    <w:p w14:paraId="5F44DE34" w14:textId="68502223" w:rsidR="00040B36" w:rsidRPr="00040B36" w:rsidRDefault="00040B36" w:rsidP="00654519">
      <w:pPr>
        <w:pStyle w:val="FootnoteText"/>
        <w:jc w:val="both"/>
      </w:pPr>
      <w:r>
        <w:rPr>
          <w:rStyle w:val="FootnoteReference"/>
        </w:rPr>
        <w:footnoteRef/>
      </w:r>
      <w:r>
        <w:t xml:space="preserve"> Annex 02. </w:t>
      </w:r>
      <w:r w:rsidRPr="00040B36">
        <w:t>Order of the Ministry of Health of the Kyrgyz Republic № 191 of 27.02.2023 "On the activities of health care organizations in the provision of medical services related to viral hepatitis B and C for the population of the Kyrgyz Republic</w:t>
      </w:r>
      <w:r w:rsidR="00040AD1">
        <w:t>”</w:t>
      </w:r>
    </w:p>
  </w:footnote>
  <w:footnote w:id="13">
    <w:p w14:paraId="504FA457" w14:textId="77777777" w:rsidR="007B62F6" w:rsidRPr="007B62F6" w:rsidRDefault="007B62F6" w:rsidP="007B62F6">
      <w:pPr>
        <w:pStyle w:val="FootnoteText"/>
      </w:pPr>
      <w:r>
        <w:rPr>
          <w:rStyle w:val="FootnoteReference"/>
        </w:rPr>
        <w:footnoteRef/>
      </w:r>
      <w:r w:rsidRPr="007B62F6">
        <w:t xml:space="preserve"> </w:t>
      </w:r>
      <w:r w:rsidRPr="00A26916">
        <w:rPr>
          <w:lang w:val="en"/>
        </w:rPr>
        <w:t>http</w:t>
      </w:r>
      <w:r w:rsidRPr="007B62F6">
        <w:t>://</w:t>
      </w:r>
      <w:proofErr w:type="spellStart"/>
      <w:r w:rsidRPr="00A26916">
        <w:rPr>
          <w:lang w:val="en"/>
        </w:rPr>
        <w:t>cbd</w:t>
      </w:r>
      <w:proofErr w:type="spellEnd"/>
      <w:r w:rsidRPr="007B62F6">
        <w:t>.</w:t>
      </w:r>
      <w:proofErr w:type="spellStart"/>
      <w:r w:rsidRPr="00A26916">
        <w:rPr>
          <w:lang w:val="en"/>
        </w:rPr>
        <w:t>minjust</w:t>
      </w:r>
      <w:proofErr w:type="spellEnd"/>
      <w:r w:rsidRPr="007B62F6">
        <w:t>.</w:t>
      </w:r>
      <w:r w:rsidRPr="00A26916">
        <w:rPr>
          <w:lang w:val="en"/>
        </w:rPr>
        <w:t>gov</w:t>
      </w:r>
      <w:r w:rsidRPr="007B62F6">
        <w:t>.</w:t>
      </w:r>
      <w:r w:rsidRPr="00A26916">
        <w:rPr>
          <w:lang w:val="en"/>
        </w:rPr>
        <w:t>kg</w:t>
      </w:r>
      <w:r w:rsidRPr="007B62F6">
        <w:t>/</w:t>
      </w:r>
      <w:r w:rsidRPr="00A26916">
        <w:rPr>
          <w:lang w:val="en"/>
        </w:rPr>
        <w:t>act</w:t>
      </w:r>
      <w:r w:rsidRPr="007B62F6">
        <w:t>/</w:t>
      </w:r>
      <w:r w:rsidRPr="00A26916">
        <w:rPr>
          <w:lang w:val="en"/>
        </w:rPr>
        <w:t>view</w:t>
      </w:r>
      <w:r w:rsidRPr="007B62F6">
        <w:t>/</w:t>
      </w:r>
      <w:proofErr w:type="spellStart"/>
      <w:r w:rsidRPr="00A26916">
        <w:rPr>
          <w:lang w:val="en"/>
        </w:rPr>
        <w:t>ru</w:t>
      </w:r>
      <w:proofErr w:type="spellEnd"/>
      <w:r w:rsidRPr="007B62F6">
        <w:t>-</w:t>
      </w:r>
      <w:proofErr w:type="spellStart"/>
      <w:r w:rsidRPr="00A26916">
        <w:rPr>
          <w:lang w:val="en"/>
        </w:rPr>
        <w:t>ru</w:t>
      </w:r>
      <w:proofErr w:type="spellEnd"/>
      <w:r w:rsidRPr="007B62F6">
        <w:t>/98211?</w:t>
      </w:r>
      <w:r w:rsidRPr="00A26916">
        <w:rPr>
          <w:lang w:val="en"/>
        </w:rPr>
        <w:t>cl</w:t>
      </w:r>
      <w:r w:rsidRPr="007B62F6">
        <w:t>=</w:t>
      </w:r>
      <w:proofErr w:type="spellStart"/>
      <w:r w:rsidRPr="00A26916">
        <w:rPr>
          <w:lang w:val="en"/>
        </w:rPr>
        <w:t>ru</w:t>
      </w:r>
      <w:proofErr w:type="spellEnd"/>
      <w:r w:rsidRPr="007B62F6">
        <w:t>-</w:t>
      </w:r>
      <w:proofErr w:type="spellStart"/>
      <w:r w:rsidRPr="00A26916">
        <w:rPr>
          <w:lang w:val="en"/>
        </w:rPr>
        <w:t>ru</w:t>
      </w:r>
      <w:proofErr w:type="spellEnd"/>
    </w:p>
  </w:footnote>
  <w:footnote w:id="14">
    <w:p w14:paraId="1A607473" w14:textId="77777777" w:rsidR="007B62F6" w:rsidRPr="007B62F6" w:rsidRDefault="007B62F6" w:rsidP="007B62F6">
      <w:pPr>
        <w:pStyle w:val="FootnoteText"/>
      </w:pPr>
      <w:r>
        <w:rPr>
          <w:rStyle w:val="FootnoteReference"/>
        </w:rPr>
        <w:footnoteRef/>
      </w:r>
      <w:r w:rsidRPr="007B62F6">
        <w:t xml:space="preserve"> </w:t>
      </w:r>
      <w:r w:rsidRPr="00A26916">
        <w:rPr>
          <w:lang w:val="en"/>
        </w:rPr>
        <w:t>http</w:t>
      </w:r>
      <w:r w:rsidRPr="007B62F6">
        <w:t>://</w:t>
      </w:r>
      <w:r w:rsidRPr="00A26916">
        <w:rPr>
          <w:lang w:val="en"/>
        </w:rPr>
        <w:t>www</w:t>
      </w:r>
      <w:r w:rsidRPr="007B62F6">
        <w:t>.</w:t>
      </w:r>
      <w:r w:rsidRPr="00A26916">
        <w:rPr>
          <w:lang w:val="en"/>
        </w:rPr>
        <w:t>pharm</w:t>
      </w:r>
      <w:r w:rsidRPr="007B62F6">
        <w:t>.</w:t>
      </w:r>
      <w:r w:rsidRPr="00A26916">
        <w:rPr>
          <w:lang w:val="en"/>
        </w:rPr>
        <w:t>kg</w:t>
      </w:r>
      <w:r w:rsidRPr="007B62F6">
        <w:t>/</w:t>
      </w:r>
      <w:proofErr w:type="spellStart"/>
      <w:r w:rsidRPr="00A26916">
        <w:rPr>
          <w:lang w:val="en"/>
        </w:rPr>
        <w:t>ru</w:t>
      </w:r>
      <w:proofErr w:type="spellEnd"/>
      <w:r w:rsidRPr="007B62F6">
        <w:t>/</w:t>
      </w:r>
      <w:r w:rsidRPr="00A26916">
        <w:rPr>
          <w:lang w:val="en"/>
        </w:rPr>
        <w:t>live</w:t>
      </w:r>
      <w:r w:rsidRPr="007B62F6">
        <w:t>_</w:t>
      </w:r>
      <w:r w:rsidRPr="00A26916">
        <w:rPr>
          <w:lang w:val="en"/>
        </w:rPr>
        <w:t>important</w:t>
      </w:r>
      <w:r w:rsidRPr="007B62F6">
        <w:t>/</w:t>
      </w:r>
    </w:p>
  </w:footnote>
  <w:footnote w:id="15">
    <w:p w14:paraId="01602743" w14:textId="37B83ED0" w:rsidR="007B62F6" w:rsidRPr="007B62F6" w:rsidRDefault="007B62F6" w:rsidP="007B62F6">
      <w:pPr>
        <w:pStyle w:val="FootnoteText"/>
      </w:pPr>
      <w:r>
        <w:rPr>
          <w:rStyle w:val="FootnoteReference"/>
        </w:rPr>
        <w:footnoteRef/>
      </w:r>
      <w:r w:rsidRPr="007B62F6">
        <w:t xml:space="preserve"> </w:t>
      </w:r>
      <w:r>
        <w:rPr>
          <w:lang w:val="en"/>
        </w:rPr>
        <w:t>http</w:t>
      </w:r>
      <w:r w:rsidRPr="007B62F6">
        <w:t>://</w:t>
      </w:r>
      <w:proofErr w:type="spellStart"/>
      <w:r>
        <w:rPr>
          <w:lang w:val="en"/>
        </w:rPr>
        <w:t>cbd</w:t>
      </w:r>
      <w:proofErr w:type="spellEnd"/>
      <w:r w:rsidRPr="007B62F6">
        <w:t>.</w:t>
      </w:r>
      <w:proofErr w:type="spellStart"/>
      <w:r>
        <w:rPr>
          <w:lang w:val="en"/>
        </w:rPr>
        <w:t>minjust</w:t>
      </w:r>
      <w:proofErr w:type="spellEnd"/>
      <w:r w:rsidRPr="007B62F6">
        <w:t>.</w:t>
      </w:r>
      <w:r>
        <w:rPr>
          <w:lang w:val="en"/>
        </w:rPr>
        <w:t>gov</w:t>
      </w:r>
      <w:r w:rsidRPr="007B62F6">
        <w:t>.</w:t>
      </w:r>
      <w:r>
        <w:rPr>
          <w:lang w:val="en"/>
        </w:rPr>
        <w:t>kg</w:t>
      </w:r>
      <w:r w:rsidRPr="007B62F6">
        <w:t>/</w:t>
      </w:r>
      <w:r>
        <w:rPr>
          <w:lang w:val="en"/>
        </w:rPr>
        <w:t>act</w:t>
      </w:r>
      <w:r w:rsidRPr="007B62F6">
        <w:t>/</w:t>
      </w:r>
      <w:r>
        <w:rPr>
          <w:lang w:val="en"/>
        </w:rPr>
        <w:t>view</w:t>
      </w:r>
      <w:r w:rsidRPr="007B62F6">
        <w:t>/</w:t>
      </w:r>
      <w:proofErr w:type="spellStart"/>
      <w:r>
        <w:rPr>
          <w:lang w:val="en"/>
        </w:rPr>
        <w:t>ru</w:t>
      </w:r>
      <w:proofErr w:type="spellEnd"/>
      <w:r w:rsidRPr="007B62F6">
        <w:t>-</w:t>
      </w:r>
      <w:proofErr w:type="spellStart"/>
      <w:r>
        <w:rPr>
          <w:lang w:val="en"/>
        </w:rPr>
        <w:t>ru</w:t>
      </w:r>
      <w:proofErr w:type="spellEnd"/>
      <w:r w:rsidRPr="007B62F6">
        <w:t>/112361</w:t>
      </w:r>
    </w:p>
  </w:footnote>
  <w:footnote w:id="16">
    <w:p w14:paraId="60CEF3C1" w14:textId="77777777" w:rsidR="007B62F6" w:rsidRPr="005B1BD5" w:rsidRDefault="007B62F6" w:rsidP="007B62F6">
      <w:pPr>
        <w:pStyle w:val="FootnoteText"/>
        <w:rPr>
          <w:lang w:val="de-DE"/>
        </w:rPr>
      </w:pPr>
      <w:r>
        <w:rPr>
          <w:rStyle w:val="FootnoteReference"/>
        </w:rPr>
        <w:footnoteRef/>
      </w:r>
      <w:r w:rsidRPr="00761686">
        <w:rPr>
          <w:lang w:val="en-GB"/>
        </w:rPr>
        <w:t xml:space="preserve"> </w:t>
      </w:r>
      <w:r w:rsidRPr="004A5FF0">
        <w:rPr>
          <w:lang w:val="en-GB"/>
        </w:rPr>
        <w:t>http://cbd.minjust.gov.kg/act/view/ru-ru/215621</w:t>
      </w:r>
      <w:r w:rsidRPr="00BA0E13">
        <w:rPr>
          <w:lang w:val="en-GB"/>
        </w:rPr>
        <w:t xml:space="preserve">TB Service Optimization Plan 2017-2026 </w:t>
      </w:r>
      <w:r>
        <w:rPr>
          <w:lang w:val="en-GB"/>
        </w:rPr>
        <w:t xml:space="preserve">adopted by the Government of the KR Order from </w:t>
      </w:r>
      <w:r w:rsidRPr="00761686">
        <w:t>17 Jan.</w:t>
      </w:r>
      <w:r>
        <w:t xml:space="preserve"> 2017, # 9-p. </w:t>
      </w:r>
      <w:r w:rsidRPr="005B1BD5">
        <w:rPr>
          <w:lang w:val="de-DE"/>
        </w:rPr>
        <w:t>(RU)</w:t>
      </w:r>
    </w:p>
  </w:footnote>
  <w:footnote w:id="17">
    <w:p w14:paraId="73AF449F" w14:textId="77777777" w:rsidR="00A65439" w:rsidRPr="005B1BD5" w:rsidRDefault="00A65439" w:rsidP="00A65439">
      <w:pPr>
        <w:pStyle w:val="FootnoteText"/>
        <w:rPr>
          <w:lang w:val="de-DE"/>
        </w:rPr>
      </w:pPr>
      <w:r w:rsidRPr="00604BE1">
        <w:rPr>
          <w:rStyle w:val="FootnoteReference"/>
        </w:rPr>
        <w:footnoteRef/>
      </w:r>
      <w:r w:rsidRPr="005B1BD5">
        <w:rPr>
          <w:lang w:val="de-DE"/>
        </w:rPr>
        <w:t xml:space="preserve"> http://hivtbcc.kg/proekti/72-mezhvedomstvennyi-plan-po-preodoleniyu-pravovyh-barerov-svjazannyh-s-vich-i-tb.html</w:t>
      </w:r>
    </w:p>
  </w:footnote>
  <w:footnote w:id="18">
    <w:p w14:paraId="25E87D67" w14:textId="77777777" w:rsidR="00A65439" w:rsidRPr="005B1BD5" w:rsidRDefault="00A65439" w:rsidP="00A65439">
      <w:pPr>
        <w:pStyle w:val="FootnoteText"/>
        <w:rPr>
          <w:lang w:val="de-DE"/>
        </w:rPr>
      </w:pPr>
      <w:r>
        <w:rPr>
          <w:rStyle w:val="FootnoteReference"/>
        </w:rPr>
        <w:footnoteRef/>
      </w:r>
      <w:r w:rsidRPr="005B1BD5">
        <w:rPr>
          <w:lang w:val="de-DE"/>
        </w:rPr>
        <w:t xml:space="preserve"> https://hac.health/wp-content/uploads/2023/03/Mapping-report-1.pdf</w:t>
      </w:r>
    </w:p>
  </w:footnote>
  <w:footnote w:id="19">
    <w:p w14:paraId="631F92C9" w14:textId="345AC06A" w:rsidR="00A65439" w:rsidRPr="00761686" w:rsidRDefault="00A65439" w:rsidP="00A65439">
      <w:pPr>
        <w:pStyle w:val="FootnoteText"/>
        <w:rPr>
          <w:lang w:val="en-GB"/>
        </w:rPr>
      </w:pPr>
      <w:r w:rsidRPr="002F5848">
        <w:rPr>
          <w:rStyle w:val="FootnoteReference"/>
        </w:rPr>
        <w:footnoteRef/>
      </w:r>
      <w:r w:rsidRPr="002F5848">
        <w:rPr>
          <w:lang w:val="en-GB"/>
        </w:rPr>
        <w:t xml:space="preserve"> </w:t>
      </w:r>
      <w:r w:rsidR="002F5848" w:rsidRPr="002F5848">
        <w:rPr>
          <w:lang w:val="en-GB"/>
        </w:rPr>
        <w:t>Annex 0</w:t>
      </w:r>
      <w:r w:rsidR="002C0BDD">
        <w:rPr>
          <w:lang w:val="en-GB"/>
        </w:rPr>
        <w:t>3</w:t>
      </w:r>
      <w:r w:rsidR="002F5848" w:rsidRPr="002F5848">
        <w:rPr>
          <w:lang w:val="en-GB"/>
        </w:rPr>
        <w:t xml:space="preserve">. </w:t>
      </w:r>
      <w:r w:rsidRPr="002F5848">
        <w:rPr>
          <w:lang w:val="en-GB"/>
        </w:rPr>
        <w:t>KYRGYZSTAN Program Progress Assessment Global Fund Breaking Down Barriers Initiative. Preliminary findings and recommendations.</w:t>
      </w:r>
    </w:p>
  </w:footnote>
  <w:footnote w:id="20">
    <w:p w14:paraId="704C5EC9" w14:textId="77777777" w:rsidR="00A65439" w:rsidRPr="00761686" w:rsidRDefault="00A65439" w:rsidP="00A65439">
      <w:pPr>
        <w:pStyle w:val="FootnoteText"/>
        <w:rPr>
          <w:lang w:val="en-GB"/>
        </w:rPr>
      </w:pPr>
      <w:r>
        <w:rPr>
          <w:rStyle w:val="FootnoteReference"/>
        </w:rPr>
        <w:footnoteRef/>
      </w:r>
      <w:r w:rsidRPr="00761686">
        <w:rPr>
          <w:lang w:val="en-GB"/>
        </w:rPr>
        <w:t xml:space="preserve"> </w:t>
      </w:r>
      <w:r w:rsidRPr="009D6BD9">
        <w:rPr>
          <w:lang w:val="en"/>
        </w:rPr>
        <w:t>https</w:t>
      </w:r>
      <w:r w:rsidRPr="00761686">
        <w:rPr>
          <w:lang w:val="en-GB"/>
        </w:rPr>
        <w:t>://</w:t>
      </w:r>
      <w:r w:rsidRPr="009D6BD9">
        <w:rPr>
          <w:lang w:val="en"/>
        </w:rPr>
        <w:t>www</w:t>
      </w:r>
      <w:r w:rsidRPr="00761686">
        <w:rPr>
          <w:lang w:val="en-GB"/>
        </w:rPr>
        <w:t>.</w:t>
      </w:r>
      <w:proofErr w:type="spellStart"/>
      <w:r w:rsidRPr="009D6BD9">
        <w:rPr>
          <w:lang w:val="en"/>
        </w:rPr>
        <w:t>icnl</w:t>
      </w:r>
      <w:proofErr w:type="spellEnd"/>
      <w:r w:rsidRPr="00761686">
        <w:rPr>
          <w:lang w:val="en-GB"/>
        </w:rPr>
        <w:t>.</w:t>
      </w:r>
      <w:r w:rsidRPr="009D6BD9">
        <w:rPr>
          <w:lang w:val="en"/>
        </w:rPr>
        <w:t>org</w:t>
      </w:r>
      <w:r w:rsidRPr="00761686">
        <w:rPr>
          <w:lang w:val="en-GB"/>
        </w:rPr>
        <w:t>/</w:t>
      </w:r>
      <w:r w:rsidRPr="009D6BD9">
        <w:rPr>
          <w:lang w:val="en"/>
        </w:rPr>
        <w:t>wp</w:t>
      </w:r>
      <w:r w:rsidRPr="00761686">
        <w:rPr>
          <w:lang w:val="en-GB"/>
        </w:rPr>
        <w:t>-</w:t>
      </w:r>
      <w:r w:rsidRPr="009D6BD9">
        <w:rPr>
          <w:lang w:val="en"/>
        </w:rPr>
        <w:t>content</w:t>
      </w:r>
      <w:r w:rsidRPr="00761686">
        <w:rPr>
          <w:lang w:val="en-GB"/>
        </w:rPr>
        <w:t>/</w:t>
      </w:r>
      <w:r w:rsidRPr="009D6BD9">
        <w:rPr>
          <w:lang w:val="en"/>
        </w:rPr>
        <w:t>uploads</w:t>
      </w:r>
      <w:r w:rsidRPr="00761686">
        <w:rPr>
          <w:lang w:val="en-GB"/>
        </w:rPr>
        <w:t>/</w:t>
      </w:r>
      <w:r w:rsidRPr="009D6BD9">
        <w:rPr>
          <w:lang w:val="en"/>
        </w:rPr>
        <w:t>Analysis</w:t>
      </w:r>
      <w:r w:rsidRPr="00761686">
        <w:rPr>
          <w:lang w:val="en-GB"/>
        </w:rPr>
        <w:t>-</w:t>
      </w:r>
      <w:r w:rsidRPr="009D6BD9">
        <w:rPr>
          <w:lang w:val="en"/>
        </w:rPr>
        <w:t>of</w:t>
      </w:r>
      <w:r w:rsidRPr="00761686">
        <w:rPr>
          <w:lang w:val="en-GB"/>
        </w:rPr>
        <w:t>-</w:t>
      </w:r>
      <w:r w:rsidRPr="009D6BD9">
        <w:rPr>
          <w:lang w:val="en"/>
        </w:rPr>
        <w:t>the</w:t>
      </w:r>
      <w:r w:rsidRPr="00761686">
        <w:rPr>
          <w:lang w:val="en-GB"/>
        </w:rPr>
        <w:t>-</w:t>
      </w:r>
      <w:r w:rsidRPr="009D6BD9">
        <w:rPr>
          <w:lang w:val="en"/>
        </w:rPr>
        <w:t>KR</w:t>
      </w:r>
      <w:r w:rsidRPr="00761686">
        <w:rPr>
          <w:lang w:val="en-GB"/>
        </w:rPr>
        <w:t>-</w:t>
      </w:r>
      <w:r w:rsidRPr="009D6BD9">
        <w:rPr>
          <w:lang w:val="en"/>
        </w:rPr>
        <w:t>Draft</w:t>
      </w:r>
      <w:r w:rsidRPr="00761686">
        <w:rPr>
          <w:lang w:val="en-GB"/>
        </w:rPr>
        <w:t>-</w:t>
      </w:r>
      <w:r w:rsidRPr="009D6BD9">
        <w:rPr>
          <w:lang w:val="en"/>
        </w:rPr>
        <w:t>Law</w:t>
      </w:r>
      <w:r w:rsidRPr="00761686">
        <w:rPr>
          <w:lang w:val="en-GB"/>
        </w:rPr>
        <w:t>-</w:t>
      </w:r>
      <w:r w:rsidRPr="009D6BD9">
        <w:rPr>
          <w:lang w:val="en"/>
        </w:rPr>
        <w:t>on</w:t>
      </w:r>
      <w:r w:rsidRPr="00761686">
        <w:rPr>
          <w:lang w:val="en-GB"/>
        </w:rPr>
        <w:t>-</w:t>
      </w:r>
      <w:r w:rsidRPr="009D6BD9">
        <w:rPr>
          <w:lang w:val="en"/>
        </w:rPr>
        <w:t>Foreign</w:t>
      </w:r>
      <w:r w:rsidRPr="00761686">
        <w:rPr>
          <w:lang w:val="en-GB"/>
        </w:rPr>
        <w:t>-</w:t>
      </w:r>
      <w:r w:rsidRPr="009D6BD9">
        <w:rPr>
          <w:lang w:val="en"/>
        </w:rPr>
        <w:t>Representatives</w:t>
      </w:r>
      <w:r w:rsidRPr="00761686">
        <w:rPr>
          <w:lang w:val="en-GB"/>
        </w:rPr>
        <w:t>-</w:t>
      </w:r>
      <w:r w:rsidRPr="009D6BD9">
        <w:rPr>
          <w:lang w:val="en"/>
        </w:rPr>
        <w:t>Rus</w:t>
      </w:r>
      <w:r w:rsidRPr="00761686">
        <w:rPr>
          <w:lang w:val="en-GB"/>
        </w:rPr>
        <w:t>.</w:t>
      </w:r>
      <w:r w:rsidRPr="009D6BD9">
        <w:rPr>
          <w:lang w:val="en"/>
        </w:rPr>
        <w:t>pdf</w:t>
      </w:r>
    </w:p>
  </w:footnote>
  <w:footnote w:id="21">
    <w:p w14:paraId="5778D65F" w14:textId="77777777" w:rsidR="00A65439" w:rsidRPr="00761686" w:rsidRDefault="00A65439" w:rsidP="00A65439">
      <w:pPr>
        <w:pStyle w:val="FootnoteText"/>
        <w:rPr>
          <w:lang w:val="fr-FR"/>
        </w:rPr>
      </w:pPr>
      <w:r>
        <w:rPr>
          <w:rStyle w:val="FootnoteReference"/>
        </w:rPr>
        <w:footnoteRef/>
      </w:r>
      <w:r w:rsidRPr="00761686">
        <w:rPr>
          <w:lang w:val="fr-FR"/>
        </w:rPr>
        <w:t xml:space="preserve"> </w:t>
      </w:r>
      <w:hyperlink r:id="rId1" w:history="1">
        <w:r w:rsidRPr="00761686">
          <w:rPr>
            <w:rStyle w:val="Hyperlink"/>
            <w:lang w:val="fr-FR"/>
          </w:rPr>
          <w:t>http://cbd.minjust.gov.kg/act/view/ru-ru/74</w:t>
        </w:r>
      </w:hyperlink>
      <w:r w:rsidRPr="00761686">
        <w:rPr>
          <w:lang w:val="fr-FR"/>
        </w:rPr>
        <w:t xml:space="preserve"> , article 36, </w:t>
      </w:r>
      <w:proofErr w:type="spellStart"/>
      <w:r w:rsidRPr="00761686">
        <w:rPr>
          <w:lang w:val="fr-FR"/>
        </w:rPr>
        <w:t>paragraph</w:t>
      </w:r>
      <w:proofErr w:type="spellEnd"/>
      <w:r w:rsidRPr="00761686">
        <w:rPr>
          <w:lang w:val="fr-FR"/>
        </w:rPr>
        <w:t xml:space="preserve"> 3</w:t>
      </w:r>
    </w:p>
  </w:footnote>
  <w:footnote w:id="22">
    <w:p w14:paraId="78ABB67E" w14:textId="77777777" w:rsidR="004947B4" w:rsidRPr="00761686" w:rsidRDefault="004947B4" w:rsidP="004947B4">
      <w:pPr>
        <w:pStyle w:val="FootnoteText"/>
        <w:rPr>
          <w:lang w:val="fr-FR"/>
        </w:rPr>
      </w:pPr>
      <w:r>
        <w:rPr>
          <w:rStyle w:val="FootnoteReference"/>
        </w:rPr>
        <w:footnoteRef/>
      </w:r>
      <w:r w:rsidRPr="00761686">
        <w:rPr>
          <w:lang w:val="fr-FR"/>
        </w:rPr>
        <w:t xml:space="preserve"> https://aidscenter.kg/wp-content/uploads/2022/07/BBS-MSM-2021-OnePager-2-1.pdf</w:t>
      </w:r>
    </w:p>
  </w:footnote>
  <w:footnote w:id="23">
    <w:p w14:paraId="54323A3F" w14:textId="0600D51D" w:rsidR="0065163A" w:rsidRDefault="0065163A">
      <w:pPr>
        <w:pStyle w:val="FootnoteText"/>
      </w:pPr>
      <w:r>
        <w:rPr>
          <w:rStyle w:val="FootnoteReference"/>
        </w:rPr>
        <w:footnoteRef/>
      </w:r>
      <w:r>
        <w:t xml:space="preserve"> Annex 0</w:t>
      </w:r>
      <w:r w:rsidR="002C0BDD">
        <w:t>4</w:t>
      </w:r>
      <w:r>
        <w:t xml:space="preserve">. Online Outreach </w:t>
      </w:r>
      <w:r w:rsidR="00FB5ED2">
        <w:t>Algorithm</w:t>
      </w:r>
    </w:p>
  </w:footnote>
  <w:footnote w:id="24">
    <w:p w14:paraId="5A375A34" w14:textId="6D4D0D17" w:rsidR="00FB5ED2" w:rsidRPr="002C0BDD" w:rsidRDefault="00FB5ED2" w:rsidP="00FB5ED2">
      <w:pPr>
        <w:pStyle w:val="FootnoteText"/>
      </w:pPr>
      <w:r>
        <w:rPr>
          <w:rStyle w:val="FootnoteReference"/>
        </w:rPr>
        <w:footnoteRef/>
      </w:r>
      <w:r w:rsidRPr="002C0BDD">
        <w:t xml:space="preserve"> </w:t>
      </w:r>
      <w:r w:rsidR="002C0BDD">
        <w:t>Online</w:t>
      </w:r>
      <w:r w:rsidR="002C0BDD" w:rsidRPr="002C0BDD">
        <w:t xml:space="preserve"> outreach in the context of harm reduction among NP</w:t>
      </w:r>
      <w:r w:rsidR="002C0BDD">
        <w:t>A</w:t>
      </w:r>
      <w:r w:rsidR="002C0BDD" w:rsidRPr="002C0BDD">
        <w:t xml:space="preserve">S </w:t>
      </w:r>
      <w:r w:rsidR="002C0BDD">
        <w:t>users</w:t>
      </w:r>
      <w:r w:rsidR="002C0BDD" w:rsidRPr="002C0BDD">
        <w:t xml:space="preserve"> </w:t>
      </w:r>
      <w:hyperlink r:id="rId2" w:tgtFrame="_blank" w:history="1">
        <w:r>
          <w:rPr>
            <w:rStyle w:val="Hyperlink"/>
            <w:rFonts w:ascii="Arial" w:hAnsi="Arial" w:cs="Arial"/>
            <w:color w:val="1155CC"/>
            <w:shd w:val="clear" w:color="auto" w:fill="FFFFFF"/>
          </w:rPr>
          <w:t>https</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ehra</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uploads</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s</w:t>
        </w:r>
        <w:r w:rsidRPr="002C0BDD">
          <w:rPr>
            <w:rStyle w:val="Hyperlink"/>
            <w:rFonts w:ascii="Arial" w:hAnsi="Arial" w:cs="Arial"/>
            <w:color w:val="1155CC"/>
            <w:shd w:val="clear" w:color="auto" w:fill="FFFFFF"/>
          </w:rPr>
          <w:t>3.</w:t>
        </w:r>
        <w:r>
          <w:rPr>
            <w:rStyle w:val="Hyperlink"/>
            <w:rFonts w:ascii="Arial" w:hAnsi="Arial" w:cs="Arial"/>
            <w:color w:val="1155CC"/>
            <w:shd w:val="clear" w:color="auto" w:fill="FFFFFF"/>
          </w:rPr>
          <w:t>eu</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central</w:t>
        </w:r>
        <w:r w:rsidRPr="002C0BDD">
          <w:rPr>
            <w:rStyle w:val="Hyperlink"/>
            <w:rFonts w:ascii="Arial" w:hAnsi="Arial" w:cs="Arial"/>
            <w:color w:val="1155CC"/>
            <w:shd w:val="clear" w:color="auto" w:fill="FFFFFF"/>
          </w:rPr>
          <w:t>-1.</w:t>
        </w:r>
        <w:r>
          <w:rPr>
            <w:rStyle w:val="Hyperlink"/>
            <w:rFonts w:ascii="Arial" w:hAnsi="Arial" w:cs="Arial"/>
            <w:color w:val="1155CC"/>
            <w:shd w:val="clear" w:color="auto" w:fill="FFFFFF"/>
          </w:rPr>
          <w:t>amazonaws</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com</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c</w:t>
        </w:r>
        <w:r w:rsidRPr="002C0BDD">
          <w:rPr>
            <w:rStyle w:val="Hyperlink"/>
            <w:rFonts w:ascii="Arial" w:hAnsi="Arial" w:cs="Arial"/>
            <w:color w:val="1155CC"/>
            <w:shd w:val="clear" w:color="auto" w:fill="FFFFFF"/>
          </w:rPr>
          <w:t>46</w:t>
        </w:r>
        <w:r>
          <w:rPr>
            <w:rStyle w:val="Hyperlink"/>
            <w:rFonts w:ascii="Arial" w:hAnsi="Arial" w:cs="Arial"/>
            <w:color w:val="1155CC"/>
            <w:shd w:val="clear" w:color="auto" w:fill="FFFFFF"/>
          </w:rPr>
          <w:t>fb</w:t>
        </w:r>
        <w:r w:rsidRPr="002C0BDD">
          <w:rPr>
            <w:rStyle w:val="Hyperlink"/>
            <w:rFonts w:ascii="Arial" w:hAnsi="Arial" w:cs="Arial"/>
            <w:color w:val="1155CC"/>
            <w:shd w:val="clear" w:color="auto" w:fill="FFFFFF"/>
          </w:rPr>
          <w:t>468-30</w:t>
        </w:r>
        <w:r>
          <w:rPr>
            <w:rStyle w:val="Hyperlink"/>
            <w:rFonts w:ascii="Arial" w:hAnsi="Arial" w:cs="Arial"/>
            <w:color w:val="1155CC"/>
            <w:shd w:val="clear" w:color="auto" w:fill="FFFFFF"/>
          </w:rPr>
          <w:t>a</w:t>
        </w:r>
        <w:r w:rsidRPr="002C0BDD">
          <w:rPr>
            <w:rStyle w:val="Hyperlink"/>
            <w:rFonts w:ascii="Arial" w:hAnsi="Arial" w:cs="Arial"/>
            <w:color w:val="1155CC"/>
            <w:shd w:val="clear" w:color="auto" w:fill="FFFFFF"/>
          </w:rPr>
          <w:t>1-4</w:t>
        </w:r>
        <w:r>
          <w:rPr>
            <w:rStyle w:val="Hyperlink"/>
            <w:rFonts w:ascii="Arial" w:hAnsi="Arial" w:cs="Arial"/>
            <w:color w:val="1155CC"/>
            <w:shd w:val="clear" w:color="auto" w:fill="FFFFFF"/>
          </w:rPr>
          <w:t>e</w:t>
        </w:r>
        <w:r w:rsidRPr="002C0BDD">
          <w:rPr>
            <w:rStyle w:val="Hyperlink"/>
            <w:rFonts w:ascii="Arial" w:hAnsi="Arial" w:cs="Arial"/>
            <w:color w:val="1155CC"/>
            <w:shd w:val="clear" w:color="auto" w:fill="FFFFFF"/>
          </w:rPr>
          <w:t>9</w:t>
        </w:r>
        <w:r>
          <w:rPr>
            <w:rStyle w:val="Hyperlink"/>
            <w:rFonts w:ascii="Arial" w:hAnsi="Arial" w:cs="Arial"/>
            <w:color w:val="1155CC"/>
            <w:shd w:val="clear" w:color="auto" w:fill="FFFFFF"/>
          </w:rPr>
          <w:t>d</w:t>
        </w:r>
        <w:r w:rsidRPr="002C0BDD">
          <w:rPr>
            <w:rStyle w:val="Hyperlink"/>
            <w:rFonts w:ascii="Arial" w:hAnsi="Arial" w:cs="Arial"/>
            <w:color w:val="1155CC"/>
            <w:shd w:val="clear" w:color="auto" w:fill="FFFFFF"/>
          </w:rPr>
          <w:t>-9</w:t>
        </w:r>
        <w:r>
          <w:rPr>
            <w:rStyle w:val="Hyperlink"/>
            <w:rFonts w:ascii="Arial" w:hAnsi="Arial" w:cs="Arial"/>
            <w:color w:val="1155CC"/>
            <w:shd w:val="clear" w:color="auto" w:fill="FFFFFF"/>
          </w:rPr>
          <w:t>d</w:t>
        </w:r>
        <w:r w:rsidRPr="002C0BDD">
          <w:rPr>
            <w:rStyle w:val="Hyperlink"/>
            <w:rFonts w:ascii="Arial" w:hAnsi="Arial" w:cs="Arial"/>
            <w:color w:val="1155CC"/>
            <w:shd w:val="clear" w:color="auto" w:fill="FFFFFF"/>
          </w:rPr>
          <w:t>7</w:t>
        </w:r>
        <w:r>
          <w:rPr>
            <w:rStyle w:val="Hyperlink"/>
            <w:rFonts w:ascii="Arial" w:hAnsi="Arial" w:cs="Arial"/>
            <w:color w:val="1155CC"/>
            <w:shd w:val="clear" w:color="auto" w:fill="FFFFFF"/>
          </w:rPr>
          <w:t>b</w:t>
        </w:r>
        <w:r w:rsidRPr="002C0BDD">
          <w:rPr>
            <w:rStyle w:val="Hyperlink"/>
            <w:rFonts w:ascii="Arial" w:hAnsi="Arial" w:cs="Arial"/>
            <w:color w:val="1155CC"/>
            <w:shd w:val="clear" w:color="auto" w:fill="FFFFFF"/>
          </w:rPr>
          <w:t>-006184134</w:t>
        </w:r>
        <w:r>
          <w:rPr>
            <w:rStyle w:val="Hyperlink"/>
            <w:rFonts w:ascii="Arial" w:hAnsi="Arial" w:cs="Arial"/>
            <w:color w:val="1155CC"/>
            <w:shd w:val="clear" w:color="auto" w:fill="FFFFFF"/>
          </w:rPr>
          <w:t>c</w:t>
        </w:r>
        <w:r w:rsidRPr="002C0BDD">
          <w:rPr>
            <w:rStyle w:val="Hyperlink"/>
            <w:rFonts w:ascii="Arial" w:hAnsi="Arial" w:cs="Arial"/>
            <w:color w:val="1155CC"/>
            <w:shd w:val="clear" w:color="auto" w:fill="FFFFFF"/>
          </w:rPr>
          <w:t>4</w:t>
        </w:r>
        <w:r>
          <w:rPr>
            <w:rStyle w:val="Hyperlink"/>
            <w:rFonts w:ascii="Arial" w:hAnsi="Arial" w:cs="Arial"/>
            <w:color w:val="1155CC"/>
            <w:shd w:val="clear" w:color="auto" w:fill="FFFFFF"/>
          </w:rPr>
          <w:t>a</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pdf</w:t>
        </w:r>
      </w:hyperlink>
    </w:p>
  </w:footnote>
  <w:footnote w:id="25">
    <w:p w14:paraId="0F8021DA" w14:textId="123F6A7D" w:rsidR="00FB5ED2" w:rsidRPr="002C0BDD" w:rsidRDefault="00FB5ED2" w:rsidP="00FB5ED2">
      <w:pPr>
        <w:pStyle w:val="FootnoteText"/>
      </w:pPr>
      <w:r>
        <w:rPr>
          <w:rStyle w:val="FootnoteReference"/>
        </w:rPr>
        <w:footnoteRef/>
      </w:r>
      <w:r w:rsidRPr="002C0BDD">
        <w:t xml:space="preserve"> </w:t>
      </w:r>
      <w:r w:rsidR="002C0BDD" w:rsidRPr="002C0BDD">
        <w:t xml:space="preserve">Recommendations for creating online harm reduction services </w:t>
      </w:r>
      <w:hyperlink r:id="rId3" w:tgtFrame="_blank" w:history="1">
        <w:r>
          <w:rPr>
            <w:rStyle w:val="Hyperlink"/>
            <w:rFonts w:ascii="Arial" w:hAnsi="Arial" w:cs="Arial"/>
            <w:color w:val="1155CC"/>
            <w:shd w:val="clear" w:color="auto" w:fill="FFFFFF"/>
          </w:rPr>
          <w:t>https</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ehra</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uploads</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s</w:t>
        </w:r>
        <w:r w:rsidRPr="002C0BDD">
          <w:rPr>
            <w:rStyle w:val="Hyperlink"/>
            <w:rFonts w:ascii="Arial" w:hAnsi="Arial" w:cs="Arial"/>
            <w:color w:val="1155CC"/>
            <w:shd w:val="clear" w:color="auto" w:fill="FFFFFF"/>
          </w:rPr>
          <w:t>3.</w:t>
        </w:r>
        <w:r>
          <w:rPr>
            <w:rStyle w:val="Hyperlink"/>
            <w:rFonts w:ascii="Arial" w:hAnsi="Arial" w:cs="Arial"/>
            <w:color w:val="1155CC"/>
            <w:shd w:val="clear" w:color="auto" w:fill="FFFFFF"/>
          </w:rPr>
          <w:t>eu</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central</w:t>
        </w:r>
        <w:r w:rsidRPr="002C0BDD">
          <w:rPr>
            <w:rStyle w:val="Hyperlink"/>
            <w:rFonts w:ascii="Arial" w:hAnsi="Arial" w:cs="Arial"/>
            <w:color w:val="1155CC"/>
            <w:shd w:val="clear" w:color="auto" w:fill="FFFFFF"/>
          </w:rPr>
          <w:t>-1.</w:t>
        </w:r>
        <w:r>
          <w:rPr>
            <w:rStyle w:val="Hyperlink"/>
            <w:rFonts w:ascii="Arial" w:hAnsi="Arial" w:cs="Arial"/>
            <w:color w:val="1155CC"/>
            <w:shd w:val="clear" w:color="auto" w:fill="FFFFFF"/>
          </w:rPr>
          <w:t>amazonaws</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com</w:t>
        </w:r>
        <w:r w:rsidRPr="002C0BDD">
          <w:rPr>
            <w:rStyle w:val="Hyperlink"/>
            <w:rFonts w:ascii="Arial" w:hAnsi="Arial" w:cs="Arial"/>
            <w:color w:val="1155CC"/>
            <w:shd w:val="clear" w:color="auto" w:fill="FFFFFF"/>
          </w:rPr>
          <w:t>/5</w:t>
        </w:r>
        <w:r>
          <w:rPr>
            <w:rStyle w:val="Hyperlink"/>
            <w:rFonts w:ascii="Arial" w:hAnsi="Arial" w:cs="Arial"/>
            <w:color w:val="1155CC"/>
            <w:shd w:val="clear" w:color="auto" w:fill="FFFFFF"/>
          </w:rPr>
          <w:t>c</w:t>
        </w:r>
        <w:r w:rsidRPr="002C0BDD">
          <w:rPr>
            <w:rStyle w:val="Hyperlink"/>
            <w:rFonts w:ascii="Arial" w:hAnsi="Arial" w:cs="Arial"/>
            <w:color w:val="1155CC"/>
            <w:shd w:val="clear" w:color="auto" w:fill="FFFFFF"/>
          </w:rPr>
          <w:t>08</w:t>
        </w:r>
        <w:r>
          <w:rPr>
            <w:rStyle w:val="Hyperlink"/>
            <w:rFonts w:ascii="Arial" w:hAnsi="Arial" w:cs="Arial"/>
            <w:color w:val="1155CC"/>
            <w:shd w:val="clear" w:color="auto" w:fill="FFFFFF"/>
          </w:rPr>
          <w:t>f</w:t>
        </w:r>
        <w:r w:rsidRPr="002C0BDD">
          <w:rPr>
            <w:rStyle w:val="Hyperlink"/>
            <w:rFonts w:ascii="Arial" w:hAnsi="Arial" w:cs="Arial"/>
            <w:color w:val="1155CC"/>
            <w:shd w:val="clear" w:color="auto" w:fill="FFFFFF"/>
          </w:rPr>
          <w:t>4</w:t>
        </w:r>
        <w:r>
          <w:rPr>
            <w:rStyle w:val="Hyperlink"/>
            <w:rFonts w:ascii="Arial" w:hAnsi="Arial" w:cs="Arial"/>
            <w:color w:val="1155CC"/>
            <w:shd w:val="clear" w:color="auto" w:fill="FFFFFF"/>
          </w:rPr>
          <w:t>fc</w:t>
        </w:r>
        <w:r w:rsidRPr="002C0BDD">
          <w:rPr>
            <w:rStyle w:val="Hyperlink"/>
            <w:rFonts w:ascii="Arial" w:hAnsi="Arial" w:cs="Arial"/>
            <w:color w:val="1155CC"/>
            <w:shd w:val="clear" w:color="auto" w:fill="FFFFFF"/>
          </w:rPr>
          <w:t>-6521-4130-</w:t>
        </w:r>
        <w:r>
          <w:rPr>
            <w:rStyle w:val="Hyperlink"/>
            <w:rFonts w:ascii="Arial" w:hAnsi="Arial" w:cs="Arial"/>
            <w:color w:val="1155CC"/>
            <w:shd w:val="clear" w:color="auto" w:fill="FFFFFF"/>
          </w:rPr>
          <w:t>a</w:t>
        </w:r>
        <w:r w:rsidRPr="002C0BDD">
          <w:rPr>
            <w:rStyle w:val="Hyperlink"/>
            <w:rFonts w:ascii="Arial" w:hAnsi="Arial" w:cs="Arial"/>
            <w:color w:val="1155CC"/>
            <w:shd w:val="clear" w:color="auto" w:fill="FFFFFF"/>
          </w:rPr>
          <w:t>559-7837</w:t>
        </w:r>
        <w:r>
          <w:rPr>
            <w:rStyle w:val="Hyperlink"/>
            <w:rFonts w:ascii="Arial" w:hAnsi="Arial" w:cs="Arial"/>
            <w:color w:val="1155CC"/>
            <w:shd w:val="clear" w:color="auto" w:fill="FFFFFF"/>
          </w:rPr>
          <w:t>cef</w:t>
        </w:r>
        <w:r w:rsidRPr="002C0BDD">
          <w:rPr>
            <w:rStyle w:val="Hyperlink"/>
            <w:rFonts w:ascii="Arial" w:hAnsi="Arial" w:cs="Arial"/>
            <w:color w:val="1155CC"/>
            <w:shd w:val="clear" w:color="auto" w:fill="FFFFFF"/>
          </w:rPr>
          <w:t>982</w:t>
        </w:r>
        <w:r>
          <w:rPr>
            <w:rStyle w:val="Hyperlink"/>
            <w:rFonts w:ascii="Arial" w:hAnsi="Arial" w:cs="Arial"/>
            <w:color w:val="1155CC"/>
            <w:shd w:val="clear" w:color="auto" w:fill="FFFFFF"/>
          </w:rPr>
          <w:t>bc</w:t>
        </w:r>
        <w:r w:rsidRPr="002C0BDD">
          <w:rPr>
            <w:rStyle w:val="Hyperlink"/>
            <w:rFonts w:ascii="Arial" w:hAnsi="Arial" w:cs="Arial"/>
            <w:color w:val="1155CC"/>
            <w:shd w:val="clear" w:color="auto" w:fill="FFFFFF"/>
          </w:rPr>
          <w:t>.</w:t>
        </w:r>
        <w:r>
          <w:rPr>
            <w:rStyle w:val="Hyperlink"/>
            <w:rFonts w:ascii="Arial" w:hAnsi="Arial" w:cs="Arial"/>
            <w:color w:val="1155CC"/>
            <w:shd w:val="clear" w:color="auto" w:fill="FFFFFF"/>
          </w:rPr>
          <w:t>pdf</w:t>
        </w:r>
      </w:hyperlink>
    </w:p>
  </w:footnote>
  <w:footnote w:id="26">
    <w:p w14:paraId="6E8507B1" w14:textId="3955B810" w:rsidR="004947B4" w:rsidRPr="00E769B9" w:rsidRDefault="004947B4" w:rsidP="004947B4">
      <w:pPr>
        <w:pStyle w:val="FootnoteText"/>
      </w:pPr>
      <w:r>
        <w:rPr>
          <w:rStyle w:val="FootnoteReference"/>
        </w:rPr>
        <w:footnoteRef/>
      </w:r>
      <w:r w:rsidRPr="007E6536">
        <w:rPr>
          <w:lang w:val="en"/>
        </w:rPr>
        <w:t xml:space="preserve"> FHI360, as part of the </w:t>
      </w:r>
      <w:proofErr w:type="spellStart"/>
      <w:r w:rsidRPr="007E6536">
        <w:rPr>
          <w:lang w:val="en"/>
        </w:rPr>
        <w:t>EpiC</w:t>
      </w:r>
      <w:proofErr w:type="spellEnd"/>
      <w:r w:rsidRPr="007E6536">
        <w:rPr>
          <w:lang w:val="en"/>
        </w:rPr>
        <w:t xml:space="preserve"> project, is currently piloting a project to distribute self-tests through 2 </w:t>
      </w:r>
      <w:r w:rsidR="009D00FB">
        <w:rPr>
          <w:lang w:val="en"/>
        </w:rPr>
        <w:t>vending</w:t>
      </w:r>
      <w:r w:rsidRPr="007E6536">
        <w:rPr>
          <w:lang w:val="en"/>
        </w:rPr>
        <w:t xml:space="preserve"> machines </w:t>
      </w:r>
      <w:r w:rsidR="009D00FB">
        <w:rPr>
          <w:lang w:val="en"/>
        </w:rPr>
        <w:t>(locker</w:t>
      </w:r>
      <w:r w:rsidRPr="007E6536">
        <w:rPr>
          <w:lang w:val="en"/>
        </w:rPr>
        <w:t xml:space="preserve"> type) in a social pharmacy in Osh and in Asia Mall in Bishkek</w:t>
      </w:r>
      <w:r w:rsidR="009D00FB">
        <w:rPr>
          <w:lang w:val="en"/>
        </w:rPr>
        <w:t xml:space="preserve">. </w:t>
      </w:r>
      <w:r w:rsidR="00FC39D0">
        <w:rPr>
          <w:rFonts w:ascii="Arial" w:eastAsia="Arial" w:hAnsi="Arial" w:cs="Arial"/>
          <w:lang w:val="en"/>
        </w:rPr>
        <w:t xml:space="preserve">ICF “International Alliance for Public Health” </w:t>
      </w:r>
      <w:r w:rsidR="009D00FB">
        <w:rPr>
          <w:lang w:val="en"/>
        </w:rPr>
        <w:t xml:space="preserve">within </w:t>
      </w:r>
      <w:proofErr w:type="gramStart"/>
      <w:r w:rsidR="009D00FB">
        <w:rPr>
          <w:lang w:val="en"/>
        </w:rPr>
        <w:t>Regional</w:t>
      </w:r>
      <w:proofErr w:type="gramEnd"/>
      <w:r w:rsidR="009D00FB">
        <w:rPr>
          <w:lang w:val="en"/>
        </w:rPr>
        <w:t xml:space="preserve"> grant SoS2.0 (financed by the GF) will supply 4 vending machines (2 for Bishkek and 2 for Osh city, all to be installed at the PHC facilities).</w:t>
      </w:r>
    </w:p>
  </w:footnote>
  <w:footnote w:id="27">
    <w:p w14:paraId="5C9E5B9F" w14:textId="77777777" w:rsidR="002476E2" w:rsidRDefault="002476E2" w:rsidP="002476E2">
      <w:pPr>
        <w:pStyle w:val="FootnoteText"/>
      </w:pPr>
      <w:r>
        <w:rPr>
          <w:rStyle w:val="FootnoteReference"/>
        </w:rPr>
        <w:footnoteRef/>
      </w:r>
      <w:r>
        <w:t xml:space="preserve"> </w:t>
      </w:r>
      <w:r w:rsidRPr="00BA0E13">
        <w:t>https://aidscenter.kg/wp-content/uploads/2022/07/BBS-PWID-2021-2-1.pdf</w:t>
      </w:r>
    </w:p>
  </w:footnote>
  <w:footnote w:id="28">
    <w:p w14:paraId="422DCA8A" w14:textId="336DE1F6" w:rsidR="002476E2" w:rsidRPr="00E769B9" w:rsidRDefault="002476E2" w:rsidP="002476E2">
      <w:pPr>
        <w:pStyle w:val="FootnoteText"/>
      </w:pPr>
      <w:r>
        <w:rPr>
          <w:rStyle w:val="FootnoteReference"/>
        </w:rPr>
        <w:footnoteRef/>
      </w:r>
      <w:r w:rsidRPr="000A3168">
        <w:rPr>
          <w:lang w:val="en"/>
        </w:rPr>
        <w:t xml:space="preserve"> </w:t>
      </w:r>
      <w:r w:rsidR="00D812D7">
        <w:rPr>
          <w:lang w:val="en"/>
        </w:rPr>
        <w:t>Annex 0</w:t>
      </w:r>
      <w:r w:rsidR="00E90C2F">
        <w:rPr>
          <w:lang w:val="en"/>
        </w:rPr>
        <w:t>5</w:t>
      </w:r>
      <w:r w:rsidR="00D812D7">
        <w:rPr>
          <w:lang w:val="en"/>
        </w:rPr>
        <w:t xml:space="preserve">. </w:t>
      </w:r>
      <w:r w:rsidRPr="000A3168">
        <w:rPr>
          <w:lang w:val="en"/>
        </w:rPr>
        <w:t>Anti-Drug Program of the Cabinet of Ministers of the KR, approved by the Decree of the Cabinet of Ministers of the KR from 10.08.2022, № 445 "On approval of the Anti-Drug Program of the Cabinet of Ministers of the Kyrgyz Republic and the Action Plan for its Implementation for 2022-2026", page 2, paragraph 1.3.1.</w:t>
      </w:r>
    </w:p>
  </w:footnote>
  <w:footnote w:id="29">
    <w:p w14:paraId="680A4373" w14:textId="77777777" w:rsidR="002476E2" w:rsidRPr="005B1BD5" w:rsidRDefault="002476E2" w:rsidP="002476E2">
      <w:pPr>
        <w:pStyle w:val="FootnoteText"/>
        <w:rPr>
          <w:lang w:val="de-DE"/>
        </w:rPr>
      </w:pPr>
      <w:r>
        <w:rPr>
          <w:rStyle w:val="FootnoteReference"/>
        </w:rPr>
        <w:footnoteRef/>
      </w:r>
      <w:r w:rsidRPr="005B1BD5">
        <w:rPr>
          <w:lang w:val="de-DE"/>
        </w:rPr>
        <w:t xml:space="preserve"> PUDR GF/UNDP</w:t>
      </w:r>
    </w:p>
  </w:footnote>
  <w:footnote w:id="30">
    <w:p w14:paraId="6CCA8065" w14:textId="77777777" w:rsidR="002476E2" w:rsidRPr="005B1BD5" w:rsidRDefault="002476E2" w:rsidP="002476E2">
      <w:pPr>
        <w:pStyle w:val="FootnoteText"/>
        <w:rPr>
          <w:lang w:val="de-DE"/>
        </w:rPr>
      </w:pPr>
      <w:r>
        <w:rPr>
          <w:rStyle w:val="FootnoteReference"/>
        </w:rPr>
        <w:footnoteRef/>
      </w:r>
      <w:r w:rsidRPr="005B1BD5">
        <w:rPr>
          <w:lang w:val="de-DE"/>
        </w:rPr>
        <w:t xml:space="preserve"> https://www.minfin.kg/pages/utverzhdennyy-byudzhet#</w:t>
      </w:r>
    </w:p>
  </w:footnote>
  <w:footnote w:id="31">
    <w:p w14:paraId="61950E08" w14:textId="2592EFB1" w:rsidR="0024217B" w:rsidRDefault="0024217B">
      <w:pPr>
        <w:pStyle w:val="FootnoteText"/>
      </w:pPr>
      <w:r w:rsidRPr="0024217B">
        <w:rPr>
          <w:rStyle w:val="FootnoteReference"/>
        </w:rPr>
        <w:footnoteRef/>
      </w:r>
      <w:r w:rsidRPr="0024217B">
        <w:t xml:space="preserve"> Annex 06. Analysis of HIV activities of PS sites of the Ministry of Justice of the Kyrgyz Republic. </w:t>
      </w:r>
      <w:r w:rsidR="00AC7AD0">
        <w:t>RCCVHHIV</w:t>
      </w:r>
      <w:r w:rsidRPr="0024217B">
        <w:t>, Jan. 2023</w:t>
      </w:r>
    </w:p>
  </w:footnote>
  <w:footnote w:id="32">
    <w:p w14:paraId="3C8E8423" w14:textId="71134985" w:rsidR="001C3A44" w:rsidRDefault="001C3A44" w:rsidP="001C3A44">
      <w:pPr>
        <w:pStyle w:val="FootnoteText"/>
      </w:pPr>
      <w:r>
        <w:rPr>
          <w:rStyle w:val="FootnoteReference"/>
        </w:rPr>
        <w:footnoteRef/>
      </w:r>
      <w:r>
        <w:t xml:space="preserve"> Annex 03. </w:t>
      </w:r>
      <w:r w:rsidRPr="00E72BDB">
        <w:t>KYRGYZSTAN Program Progress Assessment Global Fund Breaking Down Barriers Initiative. Preliminary findings and recommendations.</w:t>
      </w:r>
    </w:p>
  </w:footnote>
  <w:footnote w:id="33">
    <w:p w14:paraId="426FF52D" w14:textId="0E8959AA" w:rsidR="001C3A44" w:rsidRPr="00E769B9" w:rsidRDefault="001C3A44" w:rsidP="001C3A44">
      <w:pPr>
        <w:pStyle w:val="FootnoteText"/>
      </w:pPr>
      <w:r>
        <w:rPr>
          <w:rStyle w:val="FootnoteReference"/>
        </w:rPr>
        <w:footnoteRef/>
      </w:r>
      <w:r w:rsidRPr="005A0779">
        <w:rPr>
          <w:lang w:val="en"/>
        </w:rPr>
        <w:t xml:space="preserve"> </w:t>
      </w:r>
      <w:r w:rsidR="00516071">
        <w:rPr>
          <w:lang w:val="en"/>
        </w:rPr>
        <w:t>Annex 0</w:t>
      </w:r>
      <w:r w:rsidR="00D86E0E">
        <w:rPr>
          <w:lang w:val="en"/>
        </w:rPr>
        <w:t>7</w:t>
      </w:r>
      <w:r w:rsidR="00516071">
        <w:rPr>
          <w:lang w:val="en"/>
        </w:rPr>
        <w:t xml:space="preserve">. </w:t>
      </w:r>
      <w:r w:rsidRPr="005A0779">
        <w:rPr>
          <w:lang w:val="en"/>
        </w:rPr>
        <w:t>Interdepartmental action plan to overcome legal barriers to HIV and TB services in the Kyrgyz Republic for 2022-2025. Approved by the joint order of the Ministry of Health of 14.03.2022 No. 311; the Ministry of Internal Affairs of 14.03.22 No. 219; the Ministry of Justice of 14.03.2022 No. 34.</w:t>
      </w:r>
    </w:p>
  </w:footnote>
  <w:footnote w:id="34">
    <w:p w14:paraId="5C1D9D9B" w14:textId="17331A0B" w:rsidR="001C3A44" w:rsidRPr="00E72BDB" w:rsidRDefault="001C3A44" w:rsidP="001C3A44">
      <w:pPr>
        <w:pStyle w:val="FootnoteText"/>
      </w:pPr>
      <w:r>
        <w:rPr>
          <w:rStyle w:val="FootnoteReference"/>
        </w:rPr>
        <w:footnoteRef/>
      </w:r>
      <w:r w:rsidRPr="00E72BDB">
        <w:t xml:space="preserve"> </w:t>
      </w:r>
      <w:r w:rsidR="00516071">
        <w:t>Annex 0</w:t>
      </w:r>
      <w:r w:rsidR="00D86E0E">
        <w:t>8</w:t>
      </w:r>
      <w:r w:rsidR="00516071">
        <w:t xml:space="preserve">. </w:t>
      </w:r>
      <w:r>
        <w:t>Order of the MoH #</w:t>
      </w:r>
      <w:r w:rsidRPr="00E72BDB">
        <w:t xml:space="preserve"> 131, </w:t>
      </w:r>
      <w:r>
        <w:t xml:space="preserve">from </w:t>
      </w:r>
      <w:r w:rsidRPr="00E72BDB">
        <w:t xml:space="preserve">14.02.2023 </w:t>
      </w:r>
      <w:r w:rsidRPr="00761686">
        <w:rPr>
          <w:lang w:val="ru-RU"/>
        </w:rPr>
        <w:t>г</w:t>
      </w:r>
      <w:r w:rsidRPr="00E72BDB">
        <w:t>. «</w:t>
      </w:r>
      <w:r w:rsidRPr="00761686">
        <w:t>On the establishment of a working group to monitor the implementation of the Action Plan to overcome legal barriers to HIV and TB services in the Kyrgyz Republic for</w:t>
      </w:r>
      <w:r>
        <w:t xml:space="preserve"> year</w:t>
      </w:r>
      <w:r w:rsidRPr="00E72BDB">
        <w:t xml:space="preserve"> 2023-2025</w:t>
      </w:r>
      <w:r>
        <w:t>”</w:t>
      </w:r>
      <w:r w:rsidRPr="00E72BDB">
        <w:t>.</w:t>
      </w:r>
    </w:p>
  </w:footnote>
  <w:footnote w:id="35">
    <w:p w14:paraId="032C5EAD" w14:textId="05EE4FA5" w:rsidR="00905DC6" w:rsidRPr="00BC70AD" w:rsidRDefault="00905DC6" w:rsidP="00905DC6">
      <w:pPr>
        <w:pStyle w:val="FootnoteText"/>
      </w:pPr>
      <w:r>
        <w:rPr>
          <w:rStyle w:val="FootnoteReference"/>
        </w:rPr>
        <w:footnoteRef/>
      </w:r>
      <w:r w:rsidRPr="00E72BDB">
        <w:t xml:space="preserve"> </w:t>
      </w:r>
      <w:hyperlink r:id="rId4" w:history="1">
        <w:r w:rsidRPr="00CA1227">
          <w:rPr>
            <w:rStyle w:val="Hyperlink"/>
          </w:rPr>
          <w:t>https://itpc-eeca.org/2021/06/10/obzor-zakonodatelstva-reguliruyushhego-obrashhenie-lekarstv-v-evrazijskom-ekonomicheskom-soyuze/</w:t>
        </w:r>
      </w:hyperlink>
    </w:p>
  </w:footnote>
  <w:footnote w:id="36">
    <w:p w14:paraId="513D5362" w14:textId="3CABF15B" w:rsidR="00C030AB" w:rsidRDefault="00C030AB">
      <w:pPr>
        <w:pStyle w:val="FootnoteText"/>
      </w:pPr>
      <w:r>
        <w:rPr>
          <w:rStyle w:val="FootnoteReference"/>
        </w:rPr>
        <w:footnoteRef/>
      </w:r>
      <w:r>
        <w:t>Annex 0</w:t>
      </w:r>
      <w:r w:rsidR="00D86E0E">
        <w:t>9</w:t>
      </w:r>
      <w:r>
        <w:t xml:space="preserve">. </w:t>
      </w:r>
      <w:r w:rsidR="00F848E6" w:rsidRPr="00F848E6">
        <w:t xml:space="preserve">Hayrapetyan A., Khachatryan N., </w:t>
      </w:r>
      <w:proofErr w:type="spellStart"/>
      <w:r w:rsidR="00F848E6" w:rsidRPr="00F848E6">
        <w:t>Volik</w:t>
      </w:r>
      <w:proofErr w:type="spellEnd"/>
      <w:r w:rsidR="00F848E6" w:rsidRPr="00F848E6">
        <w:t xml:space="preserve"> M. Tuberculosis patient pathway analysis. Country Report: Analysis of the Patient Pathway, Kyrgyz Republic. Center for Health Policy and Research, 2021.</w:t>
      </w:r>
    </w:p>
  </w:footnote>
  <w:footnote w:id="37">
    <w:p w14:paraId="7B97660A" w14:textId="77777777" w:rsidR="00C3155E" w:rsidRPr="00670FE7" w:rsidRDefault="00C3155E" w:rsidP="00C3155E">
      <w:pPr>
        <w:pStyle w:val="FootnoteText"/>
      </w:pPr>
      <w:r>
        <w:rPr>
          <w:rStyle w:val="FootnoteReference"/>
        </w:rPr>
        <w:footnoteRef/>
      </w:r>
      <w:r w:rsidRPr="00670FE7">
        <w:t xml:space="preserve"> </w:t>
      </w:r>
      <w:r>
        <w:t>UNAIDS Data 2022</w:t>
      </w:r>
    </w:p>
  </w:footnote>
  <w:footnote w:id="38">
    <w:p w14:paraId="54D77B7A" w14:textId="77777777" w:rsidR="007D5449" w:rsidRPr="00E769B9" w:rsidRDefault="007D5449" w:rsidP="007D5449">
      <w:pPr>
        <w:pStyle w:val="FootnoteText"/>
        <w:rPr>
          <w:szCs w:val="16"/>
        </w:rPr>
      </w:pPr>
      <w:r w:rsidRPr="00F53123">
        <w:rPr>
          <w:rStyle w:val="FootnoteReference"/>
          <w:szCs w:val="16"/>
        </w:rPr>
        <w:footnoteRef/>
      </w:r>
      <w:r w:rsidRPr="00D42231">
        <w:rPr>
          <w:szCs w:val="16"/>
          <w:lang w:val="en"/>
        </w:rPr>
        <w:t xml:space="preserve"> UNAIDS Data 2022</w:t>
      </w:r>
    </w:p>
  </w:footnote>
  <w:footnote w:id="39">
    <w:p w14:paraId="65772736" w14:textId="77777777" w:rsidR="00BA069A" w:rsidRPr="00E769B9" w:rsidRDefault="00BA069A" w:rsidP="00BA069A">
      <w:pPr>
        <w:pStyle w:val="FootnoteText"/>
      </w:pPr>
      <w:r>
        <w:rPr>
          <w:rStyle w:val="FootnoteReference"/>
        </w:rPr>
        <w:footnoteRef/>
      </w:r>
      <w:r w:rsidRPr="00036165">
        <w:rPr>
          <w:sz w:val="14"/>
          <w:szCs w:val="14"/>
          <w:lang w:val="en"/>
        </w:rPr>
        <w:t xml:space="preserve"> https://aidscenter.kg/statistika/?lang=ru</w:t>
      </w:r>
    </w:p>
  </w:footnote>
  <w:footnote w:id="40">
    <w:p w14:paraId="27282A65" w14:textId="77777777" w:rsidR="00BA069A" w:rsidRPr="00E769B9" w:rsidRDefault="00BA069A" w:rsidP="00BA069A">
      <w:pPr>
        <w:pStyle w:val="FootnoteText"/>
        <w:rPr>
          <w:sz w:val="14"/>
          <w:szCs w:val="14"/>
        </w:rPr>
      </w:pPr>
      <w:r>
        <w:rPr>
          <w:rStyle w:val="FootnoteReference"/>
        </w:rPr>
        <w:footnoteRef/>
      </w:r>
      <w:r w:rsidRPr="00C115DB">
        <w:rPr>
          <w:sz w:val="14"/>
          <w:szCs w:val="14"/>
          <w:lang w:val="en"/>
        </w:rPr>
        <w:t xml:space="preserve"> https://aidsinfo.unaids.org/</w:t>
      </w:r>
    </w:p>
  </w:footnote>
  <w:footnote w:id="41">
    <w:p w14:paraId="4AEF2E1F" w14:textId="77777777" w:rsidR="00BA069A" w:rsidRPr="00E769B9" w:rsidRDefault="00BA069A" w:rsidP="00BA069A">
      <w:pPr>
        <w:pStyle w:val="FootnoteText"/>
      </w:pPr>
      <w:r>
        <w:rPr>
          <w:rStyle w:val="FootnoteReference"/>
        </w:rPr>
        <w:footnoteRef/>
      </w:r>
      <w:r w:rsidRPr="00C115DB">
        <w:rPr>
          <w:sz w:val="14"/>
          <w:szCs w:val="14"/>
          <w:lang w:val="en"/>
        </w:rPr>
        <w:t xml:space="preserve"> https://aidscenter.kg/?lang=ru</w:t>
      </w:r>
    </w:p>
  </w:footnote>
  <w:footnote w:id="42">
    <w:p w14:paraId="110894F5" w14:textId="77777777" w:rsidR="005525AC" w:rsidRPr="00E769B9" w:rsidRDefault="005525AC" w:rsidP="005525AC">
      <w:pPr>
        <w:pStyle w:val="FootnoteText"/>
      </w:pPr>
      <w:r>
        <w:rPr>
          <w:rStyle w:val="FootnoteReference"/>
        </w:rPr>
        <w:footnoteRef/>
      </w:r>
      <w:r w:rsidRPr="00C115DB">
        <w:rPr>
          <w:sz w:val="14"/>
          <w:szCs w:val="14"/>
          <w:lang w:val="en"/>
        </w:rPr>
        <w:t xml:space="preserve"> https://aidscenter.kg/?lang=ru</w:t>
      </w:r>
    </w:p>
  </w:footnote>
  <w:footnote w:id="43">
    <w:p w14:paraId="50BFD3DC" w14:textId="02D5683B" w:rsidR="00F26CD7" w:rsidRPr="00670FE7" w:rsidRDefault="00F26CD7" w:rsidP="00F26CD7">
      <w:pPr>
        <w:pStyle w:val="FootnoteText"/>
      </w:pPr>
      <w:r>
        <w:rPr>
          <w:rStyle w:val="FootnoteReference"/>
        </w:rPr>
        <w:footnoteRef/>
      </w:r>
      <w:r w:rsidRPr="00670FE7">
        <w:t xml:space="preserve"> </w:t>
      </w:r>
      <w:r w:rsidR="007C0117">
        <w:t xml:space="preserve">Annex 10. </w:t>
      </w:r>
      <w:r>
        <w:t>Republican AIDS Center (RAC) of the Kyrgyz Republic. Bio-behavioral Survey. 2021</w:t>
      </w:r>
    </w:p>
  </w:footnote>
  <w:footnote w:id="44">
    <w:p w14:paraId="6A2F6E0B" w14:textId="4F201951" w:rsidR="00F26CD7" w:rsidRPr="00670FE7" w:rsidRDefault="00F26CD7" w:rsidP="00F26CD7">
      <w:pPr>
        <w:pStyle w:val="FootnoteText"/>
        <w:rPr>
          <w:b/>
          <w:bCs/>
        </w:rPr>
      </w:pPr>
      <w:r>
        <w:rPr>
          <w:rStyle w:val="FootnoteReference"/>
        </w:rPr>
        <w:footnoteRef/>
      </w:r>
      <w:r w:rsidRPr="00670FE7">
        <w:t xml:space="preserve"> </w:t>
      </w:r>
      <w:r w:rsidR="007C0117">
        <w:t xml:space="preserve">Annex 10. </w:t>
      </w:r>
      <w:r>
        <w:t>Republican AIDS Center (RAC) of the Kyrgyz Republic. Bio-behavioral Survey. 2021</w:t>
      </w:r>
    </w:p>
  </w:footnote>
  <w:footnote w:id="45">
    <w:p w14:paraId="6BCB1F52" w14:textId="77777777" w:rsidR="008319F0" w:rsidRPr="00E769B9" w:rsidRDefault="008319F0" w:rsidP="008319F0">
      <w:pPr>
        <w:pStyle w:val="FootnoteText"/>
      </w:pPr>
      <w:r>
        <w:rPr>
          <w:rStyle w:val="FootnoteReference"/>
        </w:rPr>
        <w:footnoteRef/>
      </w:r>
      <w:r w:rsidRPr="00AB7182">
        <w:rPr>
          <w:sz w:val="14"/>
          <w:szCs w:val="14"/>
          <w:lang w:val="en"/>
        </w:rPr>
        <w:t xml:space="preserve"> https://aidscenter.kg/statistika/?lang=ru</w:t>
      </w:r>
    </w:p>
  </w:footnote>
  <w:footnote w:id="46">
    <w:p w14:paraId="50177458" w14:textId="77777777" w:rsidR="005525AC" w:rsidRPr="00F53123" w:rsidRDefault="005525AC" w:rsidP="005525AC">
      <w:pPr>
        <w:pStyle w:val="FootnoteText"/>
        <w:rPr>
          <w:szCs w:val="16"/>
        </w:rPr>
      </w:pPr>
      <w:r w:rsidRPr="00F53123">
        <w:rPr>
          <w:rStyle w:val="FootnoteReference"/>
          <w:szCs w:val="16"/>
        </w:rPr>
        <w:footnoteRef/>
      </w:r>
      <w:r w:rsidRPr="00F53123">
        <w:rPr>
          <w:szCs w:val="16"/>
          <w:lang w:val="en"/>
        </w:rPr>
        <w:t xml:space="preserve"> UNODC. Central Asia Synthetic Drug Situation Assessment 2017. Available online at: https://www.unodc.org/unodc/en/scientists/Central-Asia-synthetic-drugs-situation-assessment.html</w:t>
      </w:r>
    </w:p>
  </w:footnote>
  <w:footnote w:id="47">
    <w:p w14:paraId="2ED74736" w14:textId="77777777" w:rsidR="005525AC" w:rsidRPr="00283814" w:rsidRDefault="005525AC" w:rsidP="005525AC">
      <w:pPr>
        <w:pStyle w:val="FootnoteText"/>
      </w:pPr>
      <w:r>
        <w:rPr>
          <w:rStyle w:val="FootnoteReference"/>
        </w:rPr>
        <w:footnoteRef/>
      </w:r>
      <w:r w:rsidRPr="00AB7182">
        <w:rPr>
          <w:sz w:val="14"/>
          <w:szCs w:val="14"/>
          <w:lang w:val="en"/>
        </w:rPr>
        <w:t xml:space="preserve"> https://www.stigmaindex.org/country-reports/#/m/KG</w:t>
      </w:r>
    </w:p>
  </w:footnote>
  <w:footnote w:id="48">
    <w:p w14:paraId="13D3A408" w14:textId="77777777" w:rsidR="005525AC" w:rsidRPr="00E769B9" w:rsidRDefault="005525AC" w:rsidP="005525AC">
      <w:pPr>
        <w:pStyle w:val="FootnoteText"/>
      </w:pPr>
      <w:r w:rsidRPr="00A33CDB">
        <w:rPr>
          <w:rStyle w:val="FootnoteReference"/>
          <w:sz w:val="14"/>
          <w:szCs w:val="14"/>
        </w:rPr>
        <w:footnoteRef/>
      </w:r>
      <w:r w:rsidRPr="0030100B">
        <w:rPr>
          <w:sz w:val="14"/>
          <w:szCs w:val="14"/>
          <w:lang w:val="en"/>
        </w:rPr>
        <w:t xml:space="preserve"> The program of the Government of the Kyrgyz Republic on overcoming HIV infection in the Kyrgyz Republic for 2017-2021 http://cbd.minjust.gov.kg/act/view/ru-ru/11589</w:t>
      </w:r>
    </w:p>
  </w:footnote>
  <w:footnote w:id="49">
    <w:p w14:paraId="39489056" w14:textId="77777777" w:rsidR="005525AC" w:rsidRPr="00E769B9" w:rsidRDefault="005525AC" w:rsidP="005525AC">
      <w:pPr>
        <w:pStyle w:val="FootnoteText"/>
      </w:pPr>
      <w:r>
        <w:rPr>
          <w:rStyle w:val="FootnoteReference"/>
        </w:rPr>
        <w:footnoteRef/>
      </w:r>
      <w:r w:rsidRPr="0090273F">
        <w:rPr>
          <w:sz w:val="14"/>
          <w:szCs w:val="14"/>
          <w:lang w:val="en"/>
        </w:rPr>
        <w:t xml:space="preserve"> http://cbd.minjust.gov.kg/act/view/ru-ru/12976</w:t>
      </w:r>
    </w:p>
  </w:footnote>
  <w:footnote w:id="50">
    <w:p w14:paraId="2FD60D62" w14:textId="77777777" w:rsidR="005525AC" w:rsidRPr="007C2DE2" w:rsidRDefault="005525AC" w:rsidP="005525AC">
      <w:pPr>
        <w:pStyle w:val="FootnoteText"/>
      </w:pPr>
      <w:r>
        <w:rPr>
          <w:rStyle w:val="FootnoteReference"/>
          <w:lang w:val="ru"/>
        </w:rPr>
        <w:footnoteRef/>
      </w:r>
      <w:r w:rsidRPr="007C2DE2">
        <w:rPr>
          <w:lang w:val="en"/>
        </w:rPr>
        <w:t xml:space="preserve"> Corbett C et al., 2020.</w:t>
      </w:r>
    </w:p>
  </w:footnote>
  <w:footnote w:id="51">
    <w:p w14:paraId="41CC2FC9" w14:textId="77777777" w:rsidR="005525AC" w:rsidRPr="00D52B7D" w:rsidRDefault="005525AC" w:rsidP="005525AC">
      <w:pPr>
        <w:pStyle w:val="FootnoteText"/>
      </w:pPr>
      <w:r>
        <w:rPr>
          <w:rStyle w:val="FootnoteReference"/>
        </w:rPr>
        <w:footnoteRef/>
      </w:r>
      <w:r>
        <w:rPr>
          <w:lang w:val="en"/>
        </w:rPr>
        <w:t xml:space="preserve"> The Program of the Kyrgyz Republic Government on Public Health Protection and Health Care System Development for 2019-2030 “Healthy Person – Prosperous Country”. Bishkek: Kyrgyz Republic Government; 2018 (http://zdrav2030.med. kg/index.php/en/2-uncategorised/23-the-program-of-thekyrgyz-republic-government-on-public-health-protectionand-health-care-system-development-for-2019-2030- healthy-person-prosperous-country).</w:t>
      </w:r>
    </w:p>
  </w:footnote>
  <w:footnote w:id="52">
    <w:p w14:paraId="5151FAED" w14:textId="77777777" w:rsidR="005525AC" w:rsidRPr="00D52B7D" w:rsidRDefault="005525AC" w:rsidP="005525AC">
      <w:pPr>
        <w:pStyle w:val="FootnoteText"/>
      </w:pPr>
      <w:r>
        <w:rPr>
          <w:rStyle w:val="FootnoteReference"/>
        </w:rPr>
        <w:footnoteRef/>
      </w:r>
      <w:r w:rsidRPr="00D52B7D">
        <w:rPr>
          <w:lang w:val="en"/>
        </w:rPr>
        <w:t xml:space="preserve"> Compendium of the Roadmap for Health and Well-being in Central Asia (2022–2025). Copenhagen: WHO Regional Office for Europe; 2022. </w:t>
      </w:r>
      <w:proofErr w:type="spellStart"/>
      <w:r w:rsidRPr="00D52B7D">
        <w:rPr>
          <w:lang w:val="en"/>
        </w:rPr>
        <w:t>Licence</w:t>
      </w:r>
      <w:proofErr w:type="spellEnd"/>
      <w:r w:rsidRPr="00D52B7D">
        <w:rPr>
          <w:lang w:val="en"/>
        </w:rPr>
        <w:t>: CC BY-NC-SA 3.0 IGO., pp. 25-42 (https://apps.who.int/iris/bitstream/handle/10665/364327/WHO-EURO-2022-5904-45669-65599-eng.pdf?sequence=1&amp;isAllowed=y)</w:t>
      </w:r>
    </w:p>
  </w:footnote>
  <w:footnote w:id="53">
    <w:p w14:paraId="511425D2" w14:textId="77777777" w:rsidR="005525AC" w:rsidRPr="00A26916" w:rsidRDefault="005525AC" w:rsidP="00523C19">
      <w:pPr>
        <w:pStyle w:val="FootnoteText"/>
        <w:jc w:val="both"/>
      </w:pPr>
      <w:r>
        <w:rPr>
          <w:rStyle w:val="FootnoteReference"/>
        </w:rPr>
        <w:footnoteRef/>
      </w:r>
      <w:r w:rsidRPr="00D52B7D">
        <w:rPr>
          <w:lang w:val="en"/>
        </w:rPr>
        <w:t xml:space="preserve"> Biennial Collaborative Agreement between the Ministry of Health of the Kyrgyz Republic and the Regional Office for Europe of the World Health Organization 2022/2023 [DRAFT]. Copenhagen: WHO Regional Office for Europe; 2022.</w:t>
      </w:r>
    </w:p>
  </w:footnote>
  <w:footnote w:id="54">
    <w:p w14:paraId="0CFBCD52" w14:textId="77777777" w:rsidR="005525AC" w:rsidRDefault="005525AC" w:rsidP="005525AC">
      <w:pPr>
        <w:pStyle w:val="FootnoteText"/>
      </w:pPr>
      <w:r>
        <w:rPr>
          <w:rStyle w:val="FootnoteReference"/>
        </w:rPr>
        <w:footnoteRef/>
      </w:r>
      <w:r>
        <w:t xml:space="preserve"> </w:t>
      </w:r>
      <w:r w:rsidRPr="0093587C">
        <w:t>https://aidscenter.kg/wp-content/uploads/2021/02/Prikaz_-542_ot_22_04_2019_detsentralizatsiya_uslug_dlya_LZHV.pdf</w:t>
      </w:r>
    </w:p>
  </w:footnote>
  <w:footnote w:id="55">
    <w:p w14:paraId="33008913" w14:textId="77777777" w:rsidR="005525AC" w:rsidRPr="00A26916" w:rsidRDefault="005525AC" w:rsidP="005525AC">
      <w:pPr>
        <w:pStyle w:val="FootnoteText"/>
      </w:pPr>
      <w:r>
        <w:rPr>
          <w:rStyle w:val="FootnoteReference"/>
        </w:rPr>
        <w:footnoteRef/>
      </w:r>
      <w:r w:rsidRPr="00A26916">
        <w:rPr>
          <w:lang w:val="en"/>
        </w:rPr>
        <w:t xml:space="preserve"> http://cbd.minjust.gov.kg/act/view/ru-ru/215621</w:t>
      </w:r>
    </w:p>
  </w:footnote>
  <w:footnote w:id="56">
    <w:p w14:paraId="0320D3A6" w14:textId="77777777" w:rsidR="00345EF8" w:rsidRPr="00B56220" w:rsidRDefault="00345EF8" w:rsidP="00345EF8">
      <w:pPr>
        <w:pStyle w:val="FootnoteText"/>
      </w:pPr>
      <w:r w:rsidRPr="00B56220">
        <w:rPr>
          <w:rStyle w:val="FootnoteReference"/>
        </w:rPr>
        <w:footnoteRef/>
      </w:r>
      <w:r w:rsidRPr="00B56220">
        <w:t xml:space="preserve"> The Global Partnership for Action to Eliminate all Forms of HIV-related Stigma and Discrimination | UNAIDS</w:t>
      </w:r>
    </w:p>
  </w:footnote>
  <w:footnote w:id="57">
    <w:p w14:paraId="1D6430BE" w14:textId="262B6706" w:rsidR="00345EF8" w:rsidRPr="00600674" w:rsidRDefault="00345EF8" w:rsidP="00345EF8">
      <w:pPr>
        <w:pStyle w:val="FootnoteText"/>
      </w:pPr>
      <w:r w:rsidRPr="00AF20FF">
        <w:rPr>
          <w:rStyle w:val="FootnoteReference"/>
        </w:rPr>
        <w:footnoteRef/>
      </w:r>
      <w:r w:rsidRPr="00AF20FF">
        <w:t xml:space="preserve"> Annex </w:t>
      </w:r>
      <w:r w:rsidR="00AF20FF" w:rsidRPr="00AF20FF">
        <w:t>03</w:t>
      </w:r>
      <w:r w:rsidRPr="00AF20FF">
        <w:t>_KGZ BDB Progress Assessment Preliminary Recommendations_2023_ENG</w:t>
      </w:r>
    </w:p>
  </w:footnote>
  <w:footnote w:id="58">
    <w:p w14:paraId="5AA1081B" w14:textId="0377C45E" w:rsidR="000B73B2" w:rsidRPr="00600674" w:rsidRDefault="000B73B2" w:rsidP="000B73B2">
      <w:pPr>
        <w:pStyle w:val="FootnoteText"/>
        <w:rPr>
          <w:rFonts w:ascii="Arial" w:hAnsi="Arial" w:cs="Arial"/>
        </w:rPr>
      </w:pPr>
      <w:r w:rsidRPr="00600674">
        <w:rPr>
          <w:rStyle w:val="FootnoteReference"/>
          <w:rFonts w:ascii="Arial" w:hAnsi="Arial" w:cs="Arial"/>
        </w:rPr>
        <w:footnoteRef/>
      </w:r>
      <w:r w:rsidRPr="00600674">
        <w:rPr>
          <w:rFonts w:ascii="Arial" w:hAnsi="Arial" w:cs="Arial"/>
        </w:rPr>
        <w:t xml:space="preserve"> Annex </w:t>
      </w:r>
      <w:r w:rsidR="007C0117">
        <w:rPr>
          <w:rFonts w:ascii="Arial" w:hAnsi="Arial" w:cs="Arial"/>
        </w:rPr>
        <w:t>11</w:t>
      </w:r>
      <w:r w:rsidRPr="00600674">
        <w:rPr>
          <w:rFonts w:ascii="Arial" w:hAnsi="Arial" w:cs="Arial"/>
        </w:rPr>
        <w:t>_HIV State Financing_2021</w:t>
      </w:r>
    </w:p>
  </w:footnote>
  <w:footnote w:id="59">
    <w:p w14:paraId="6EC0D4FD" w14:textId="4C1CF2AD" w:rsidR="000B73B2" w:rsidRPr="008A2403" w:rsidRDefault="000B73B2" w:rsidP="000B73B2">
      <w:pPr>
        <w:pStyle w:val="FootnoteText"/>
        <w:rPr>
          <w:rFonts w:ascii="Arial" w:hAnsi="Arial" w:cs="Arial"/>
        </w:rPr>
      </w:pPr>
      <w:r w:rsidRPr="00600674">
        <w:rPr>
          <w:rStyle w:val="FootnoteReference"/>
          <w:rFonts w:ascii="Arial" w:hAnsi="Arial" w:cs="Arial"/>
        </w:rPr>
        <w:footnoteRef/>
      </w:r>
      <w:r w:rsidRPr="00600674">
        <w:rPr>
          <w:rFonts w:ascii="Arial" w:hAnsi="Arial" w:cs="Arial"/>
        </w:rPr>
        <w:t xml:space="preserve"> </w:t>
      </w:r>
      <w:r w:rsidRPr="00600674">
        <w:rPr>
          <w:rFonts w:ascii="Arial" w:eastAsia="Arial" w:hAnsi="Arial" w:cs="Arial"/>
        </w:rPr>
        <w:t xml:space="preserve">Annex </w:t>
      </w:r>
      <w:r w:rsidR="007C0117">
        <w:rPr>
          <w:rFonts w:ascii="Arial" w:eastAsia="Arial" w:hAnsi="Arial" w:cs="Arial"/>
        </w:rPr>
        <w:t>12</w:t>
      </w:r>
      <w:r w:rsidRPr="00600674">
        <w:rPr>
          <w:rFonts w:ascii="Arial" w:eastAsia="Arial" w:hAnsi="Arial" w:cs="Arial"/>
        </w:rPr>
        <w:t>_HIV State Financing_2022</w:t>
      </w:r>
    </w:p>
  </w:footnote>
  <w:footnote w:id="60">
    <w:p w14:paraId="76B7DE4D" w14:textId="77777777" w:rsidR="000B73B2" w:rsidRPr="008A2403" w:rsidRDefault="000B73B2" w:rsidP="000B73B2">
      <w:pPr>
        <w:pStyle w:val="FootnoteText"/>
        <w:rPr>
          <w:rFonts w:ascii="Arial" w:hAnsi="Arial" w:cs="Arial"/>
        </w:rPr>
      </w:pPr>
      <w:r w:rsidRPr="008A2403">
        <w:rPr>
          <w:rStyle w:val="FootnoteReference"/>
          <w:rFonts w:ascii="Arial" w:hAnsi="Arial" w:cs="Arial"/>
        </w:rPr>
        <w:footnoteRef/>
      </w:r>
      <w:r w:rsidRPr="008A2403">
        <w:rPr>
          <w:rFonts w:ascii="Arial" w:hAnsi="Arial" w:cs="Arial"/>
        </w:rPr>
        <w:t xml:space="preserve"> https://www.nbkr.kg/index1.jsp?item=1562&amp;lang=ENG</w:t>
      </w:r>
    </w:p>
  </w:footnote>
  <w:footnote w:id="61">
    <w:p w14:paraId="06D81B80" w14:textId="77777777" w:rsidR="000B73B2" w:rsidRPr="008A2403" w:rsidRDefault="000B73B2" w:rsidP="000B73B2">
      <w:pPr>
        <w:pStyle w:val="FootnoteText"/>
        <w:rPr>
          <w:rFonts w:ascii="Arial" w:hAnsi="Arial" w:cs="Arial"/>
        </w:rPr>
      </w:pPr>
      <w:r w:rsidRPr="008A2403">
        <w:rPr>
          <w:rStyle w:val="FootnoteReference"/>
          <w:rFonts w:ascii="Arial" w:hAnsi="Arial" w:cs="Arial"/>
        </w:rPr>
        <w:footnoteRef/>
      </w:r>
      <w:r w:rsidRPr="008A2403">
        <w:rPr>
          <w:rFonts w:ascii="Arial" w:hAnsi="Arial" w:cs="Arial"/>
        </w:rPr>
        <w:t xml:space="preserve"> https://www.minfin.kg/pages/utverzhdennyy-byudzhet#</w:t>
      </w:r>
    </w:p>
  </w:footnote>
  <w:footnote w:id="62">
    <w:p w14:paraId="2BA3A3CA" w14:textId="77777777" w:rsidR="000B73B2" w:rsidRPr="008A2403" w:rsidRDefault="000B73B2" w:rsidP="000B73B2">
      <w:pPr>
        <w:pStyle w:val="FootnoteText"/>
        <w:rPr>
          <w:rFonts w:ascii="Arial" w:hAnsi="Arial" w:cs="Arial"/>
        </w:rPr>
      </w:pPr>
      <w:r w:rsidRPr="008A2403">
        <w:rPr>
          <w:rStyle w:val="FootnoteReference"/>
          <w:rFonts w:ascii="Arial" w:hAnsi="Arial" w:cs="Arial"/>
        </w:rPr>
        <w:footnoteRef/>
      </w:r>
      <w:r w:rsidRPr="008A2403">
        <w:rPr>
          <w:rFonts w:ascii="Arial" w:hAnsi="Arial" w:cs="Arial"/>
        </w:rPr>
        <w:t xml:space="preserve"> https://www.minfin.kg/pages/utverzhdennyy-byudzhet#</w:t>
      </w:r>
    </w:p>
  </w:footnote>
  <w:footnote w:id="63">
    <w:p w14:paraId="3FCF4F41" w14:textId="77777777" w:rsidR="000B73B2" w:rsidRPr="008A2403" w:rsidRDefault="000B73B2" w:rsidP="000B73B2">
      <w:pPr>
        <w:pStyle w:val="FootnoteText"/>
        <w:rPr>
          <w:rFonts w:ascii="Arial" w:hAnsi="Arial" w:cs="Arial"/>
        </w:rPr>
      </w:pPr>
      <w:r w:rsidRPr="008A2403">
        <w:rPr>
          <w:rStyle w:val="FootnoteReference"/>
          <w:rFonts w:ascii="Arial" w:hAnsi="Arial" w:cs="Arial"/>
        </w:rPr>
        <w:footnoteRef/>
      </w:r>
      <w:r w:rsidRPr="008A2403">
        <w:rPr>
          <w:rFonts w:ascii="Arial" w:hAnsi="Arial" w:cs="Arial"/>
        </w:rPr>
        <w:t xml:space="preserve"> https://www.minfin.kg/pages/utverzhdennyy-byudzhet#</w:t>
      </w:r>
    </w:p>
  </w:footnote>
  <w:footnote w:id="64">
    <w:p w14:paraId="0F204669" w14:textId="77777777" w:rsidR="000B73B2" w:rsidRPr="008A2403" w:rsidRDefault="000B73B2" w:rsidP="000B73B2">
      <w:pPr>
        <w:pStyle w:val="FootnoteText"/>
        <w:rPr>
          <w:rFonts w:ascii="Arial" w:hAnsi="Arial" w:cs="Arial"/>
        </w:rPr>
      </w:pPr>
      <w:r w:rsidRPr="008A2403">
        <w:rPr>
          <w:rStyle w:val="FootnoteReference"/>
          <w:rFonts w:ascii="Arial" w:hAnsi="Arial" w:cs="Arial"/>
        </w:rPr>
        <w:footnoteRef/>
      </w:r>
      <w:r w:rsidRPr="008A2403">
        <w:rPr>
          <w:rFonts w:ascii="Arial" w:hAnsi="Arial" w:cs="Arial"/>
        </w:rPr>
        <w:t xml:space="preserve"> https://www.minfin.kg/pages/utverzhdennyy-byudzhet#</w:t>
      </w:r>
    </w:p>
  </w:footnote>
  <w:footnote w:id="65">
    <w:p w14:paraId="6439DCCB" w14:textId="77777777" w:rsidR="000B73B2" w:rsidRPr="006D1C6D" w:rsidRDefault="000B73B2" w:rsidP="000B73B2">
      <w:pPr>
        <w:pStyle w:val="FootnoteText"/>
        <w:rPr>
          <w:rFonts w:ascii="Arial" w:hAnsi="Arial" w:cs="Arial"/>
        </w:rPr>
      </w:pPr>
      <w:r w:rsidRPr="006D1C6D">
        <w:rPr>
          <w:rStyle w:val="FootnoteReference"/>
          <w:rFonts w:ascii="Arial" w:hAnsi="Arial" w:cs="Arial"/>
        </w:rPr>
        <w:footnoteRef/>
      </w:r>
      <w:r w:rsidRPr="006D1C6D">
        <w:rPr>
          <w:rFonts w:ascii="Arial" w:hAnsi="Arial" w:cs="Arial"/>
        </w:rPr>
        <w:t xml:space="preserve"> http://cbd.minjust.gov.kg/act/view/ru-ru/112412?cl=ru-ru</w:t>
      </w:r>
    </w:p>
  </w:footnote>
  <w:footnote w:id="66">
    <w:p w14:paraId="2AE51DB8" w14:textId="6F864C24" w:rsidR="00627217" w:rsidRPr="00704AB7" w:rsidRDefault="00627217" w:rsidP="00627217">
      <w:pPr>
        <w:pStyle w:val="FootnoteText"/>
      </w:pPr>
      <w:r w:rsidRPr="00B71B23">
        <w:rPr>
          <w:rStyle w:val="FootnoteReference"/>
        </w:rPr>
        <w:footnoteRef/>
      </w:r>
      <w:r w:rsidRPr="00B71B23">
        <w:t xml:space="preserve"> Annex </w:t>
      </w:r>
      <w:r w:rsidR="00B71B23" w:rsidRPr="00B71B23">
        <w:t>12</w:t>
      </w:r>
      <w:r w:rsidRPr="00B71B23">
        <w:t>_CCM Minutes_2023-01-20_PR selection</w:t>
      </w:r>
    </w:p>
  </w:footnote>
  <w:footnote w:id="67">
    <w:p w14:paraId="79091B43" w14:textId="79E2DBFA" w:rsidR="002351C4" w:rsidRDefault="002351C4">
      <w:pPr>
        <w:pStyle w:val="FootnoteText"/>
      </w:pPr>
      <w:r>
        <w:rPr>
          <w:rStyle w:val="FootnoteReference"/>
        </w:rPr>
        <w:footnoteRef/>
      </w:r>
      <w:r>
        <w:t xml:space="preserve"> Tailored for Focused Portfolios Instructions - </w:t>
      </w:r>
      <w:hyperlink r:id="rId5" w:history="1">
        <w:r w:rsidR="00035BC9" w:rsidRPr="00746BF3">
          <w:rPr>
            <w:rStyle w:val="Hyperlink"/>
          </w:rPr>
          <w:t>https://www.theglobalfund.org/media/8598/fundingrequest_focusedportfolio_instructions_en.pdf</w:t>
        </w:r>
      </w:hyperlink>
      <w:r w:rsidR="00035BC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BD6" w14:textId="77777777" w:rsidR="003650D6" w:rsidRDefault="0036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411FE1" w14:paraId="78B66264" w14:textId="77777777" w:rsidTr="3AE6F0BB">
      <w:tc>
        <w:tcPr>
          <w:tcW w:w="3210" w:type="dxa"/>
        </w:tcPr>
        <w:p w14:paraId="7DB5CB2C" w14:textId="77777777" w:rsidR="00411FE1" w:rsidRDefault="00411FE1" w:rsidP="3AE6F0BB">
          <w:pPr>
            <w:pStyle w:val="Header"/>
            <w:ind w:left="-115"/>
            <w:rPr>
              <w:szCs w:val="14"/>
            </w:rPr>
          </w:pPr>
        </w:p>
      </w:tc>
      <w:tc>
        <w:tcPr>
          <w:tcW w:w="3210" w:type="dxa"/>
        </w:tcPr>
        <w:p w14:paraId="424062F3" w14:textId="77777777" w:rsidR="00411FE1" w:rsidRDefault="00411FE1" w:rsidP="3AE6F0BB">
          <w:pPr>
            <w:pStyle w:val="Header"/>
            <w:jc w:val="center"/>
            <w:rPr>
              <w:szCs w:val="14"/>
            </w:rPr>
          </w:pPr>
        </w:p>
      </w:tc>
      <w:tc>
        <w:tcPr>
          <w:tcW w:w="3210" w:type="dxa"/>
        </w:tcPr>
        <w:p w14:paraId="3B20E9CE" w14:textId="77777777" w:rsidR="00411FE1" w:rsidRDefault="00411FE1" w:rsidP="3AE6F0BB">
          <w:pPr>
            <w:pStyle w:val="Header"/>
            <w:ind w:right="-115"/>
            <w:jc w:val="right"/>
            <w:rPr>
              <w:szCs w:val="14"/>
            </w:rPr>
          </w:pPr>
        </w:p>
      </w:tc>
    </w:tr>
  </w:tbl>
  <w:p w14:paraId="07E99F60" w14:textId="77777777" w:rsidR="00411FE1" w:rsidRDefault="00411FE1" w:rsidP="3AE6F0BB">
    <w:pPr>
      <w:pStyle w:val="Header"/>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W w:w="5000" w:type="pct"/>
      <w:tblLook w:val="04A0" w:firstRow="1" w:lastRow="0" w:firstColumn="1" w:lastColumn="0" w:noHBand="0" w:noVBand="1"/>
    </w:tblPr>
    <w:tblGrid>
      <w:gridCol w:w="2265"/>
      <w:gridCol w:w="7207"/>
    </w:tblGrid>
    <w:tr w:rsidR="00411FE1" w14:paraId="72ADB507" w14:textId="77777777" w:rsidTr="00AD5B71">
      <w:trPr>
        <w:trHeight w:val="2551"/>
      </w:trPr>
      <w:tc>
        <w:tcPr>
          <w:tcW w:w="1176" w:type="pct"/>
        </w:tcPr>
        <w:p w14:paraId="307FF5D5" w14:textId="77777777" w:rsidR="00411FE1" w:rsidRDefault="00411FE1">
          <w:pPr>
            <w:pStyle w:val="Header"/>
          </w:pPr>
        </w:p>
      </w:tc>
      <w:tc>
        <w:tcPr>
          <w:tcW w:w="3824" w:type="pct"/>
        </w:tcPr>
        <w:p w14:paraId="3806A9D2" w14:textId="77777777" w:rsidR="00411FE1" w:rsidRDefault="00411FE1">
          <w:pPr>
            <w:pStyle w:val="Header"/>
          </w:pPr>
        </w:p>
      </w:tc>
    </w:tr>
    <w:tr w:rsidR="00411FE1" w14:paraId="6A83914E" w14:textId="77777777" w:rsidTr="00892178">
      <w:trPr>
        <w:trHeight w:val="1008"/>
      </w:trPr>
      <w:sdt>
        <w:sdtPr>
          <w:alias w:val="Form.DocLang.Logo_stacked_black"/>
          <w:tag w:val="{&quot;templafy&quot;:{&quot;id&quot;:&quot;49598a8a-1609-4e0f-877c-71289e796f97&quot;}}"/>
          <w:id w:val="911042825"/>
          <w:picture/>
        </w:sdtPr>
        <w:sdtContent>
          <w:tc>
            <w:tcPr>
              <w:tcW w:w="1176" w:type="pct"/>
              <w:vAlign w:val="center"/>
            </w:tcPr>
            <w:p w14:paraId="0D06C249" w14:textId="77777777" w:rsidR="00411FE1" w:rsidRDefault="00411FE1" w:rsidP="00892178">
              <w:pPr>
                <w:pStyle w:val="Header"/>
              </w:pPr>
              <w:r>
                <w:rPr>
                  <w:noProof/>
                </w:rPr>
                <w:drawing>
                  <wp:inline distT="0" distB="0" distL="0" distR="0" wp14:anchorId="4EF769AC" wp14:editId="049DC94C">
                    <wp:extent cx="1438820" cy="493560"/>
                    <wp:effectExtent l="0" t="0" r="0" b="0"/>
                    <wp:docPr id="2" name="Picture 2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95689773" name="Picture 24"/>
                            <pic:cNvPicPr/>
                          </pic:nvPicPr>
                          <pic:blipFill>
                            <a:blip r:embed="rId1"/>
                            <a:srcRect/>
                            <a:stretch/>
                          </pic:blipFill>
                          <pic:spPr>
                            <a:xfrm>
                              <a:off x="0" y="0"/>
                              <a:ext cx="1438820" cy="493560"/>
                            </a:xfrm>
                            <a:prstGeom prst="rect">
                              <a:avLst/>
                            </a:prstGeom>
                          </pic:spPr>
                        </pic:pic>
                      </a:graphicData>
                    </a:graphic>
                  </wp:inline>
                </w:drawing>
              </w:r>
            </w:p>
          </w:tc>
        </w:sdtContent>
      </w:sdt>
      <w:tc>
        <w:tcPr>
          <w:tcW w:w="3824" w:type="pct"/>
        </w:tcPr>
        <w:p w14:paraId="7EB9CC73" w14:textId="77777777" w:rsidR="00411FE1" w:rsidRDefault="00411FE1">
          <w:pPr>
            <w:pStyle w:val="Header"/>
          </w:pPr>
        </w:p>
        <w:p w14:paraId="57581DFF" w14:textId="0ECD8D7E" w:rsidR="00892178" w:rsidRPr="00892178" w:rsidRDefault="00892178" w:rsidP="00892178">
          <w:pPr>
            <w:ind w:firstLine="720"/>
          </w:pPr>
        </w:p>
      </w:tc>
    </w:tr>
    <w:tr w:rsidR="00411FE1" w14:paraId="0AB664E3" w14:textId="77777777" w:rsidTr="00AD5B71">
      <w:trPr>
        <w:trHeight w:val="1417"/>
      </w:trPr>
      <w:tc>
        <w:tcPr>
          <w:tcW w:w="1176" w:type="pct"/>
        </w:tcPr>
        <w:p w14:paraId="546A5D16" w14:textId="77777777" w:rsidR="00411FE1" w:rsidRDefault="00411FE1">
          <w:pPr>
            <w:pStyle w:val="Header"/>
          </w:pPr>
        </w:p>
      </w:tc>
      <w:tc>
        <w:tcPr>
          <w:tcW w:w="3824" w:type="pct"/>
        </w:tcPr>
        <w:p w14:paraId="0F820995" w14:textId="77777777" w:rsidR="00411FE1" w:rsidRDefault="00411FE1">
          <w:pPr>
            <w:pStyle w:val="Header"/>
          </w:pPr>
        </w:p>
      </w:tc>
    </w:tr>
  </w:tbl>
  <w:p w14:paraId="1248FE15" w14:textId="77777777" w:rsidR="00411FE1" w:rsidRDefault="00411FE1">
    <w:pPr>
      <w:pStyle w:val="Header"/>
    </w:pPr>
    <w:r>
      <w:rPr>
        <w:noProof/>
      </w:rPr>
      <w:drawing>
        <wp:anchor distT="0" distB="0" distL="114300" distR="114300" simplePos="0" relativeHeight="251658241" behindDoc="1" locked="0" layoutInCell="1" allowOverlap="1" wp14:anchorId="34402BF9" wp14:editId="1CE3AE40">
          <wp:simplePos x="0" y="0"/>
          <wp:positionH relativeFrom="page">
            <wp:posOffset>0</wp:posOffset>
          </wp:positionH>
          <wp:positionV relativeFrom="page">
            <wp:posOffset>0</wp:posOffset>
          </wp:positionV>
          <wp:extent cx="7558560" cy="157104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558560" cy="1571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C7C2F" w14:paraId="27667EEA" w14:textId="77777777" w:rsidTr="3AE6F0BB">
      <w:tc>
        <w:tcPr>
          <w:tcW w:w="3210" w:type="dxa"/>
        </w:tcPr>
        <w:p w14:paraId="5BE7DC85" w14:textId="77777777" w:rsidR="001C7C2F" w:rsidRDefault="001C7C2F" w:rsidP="3AE6F0BB">
          <w:pPr>
            <w:pStyle w:val="Header"/>
            <w:ind w:left="-115"/>
            <w:rPr>
              <w:szCs w:val="14"/>
            </w:rPr>
          </w:pPr>
        </w:p>
      </w:tc>
      <w:tc>
        <w:tcPr>
          <w:tcW w:w="3210" w:type="dxa"/>
        </w:tcPr>
        <w:p w14:paraId="6903C589" w14:textId="77777777" w:rsidR="001C7C2F" w:rsidRDefault="001C7C2F" w:rsidP="3AE6F0BB">
          <w:pPr>
            <w:pStyle w:val="Header"/>
            <w:jc w:val="center"/>
            <w:rPr>
              <w:szCs w:val="14"/>
            </w:rPr>
          </w:pPr>
        </w:p>
      </w:tc>
      <w:tc>
        <w:tcPr>
          <w:tcW w:w="3210" w:type="dxa"/>
        </w:tcPr>
        <w:p w14:paraId="50BE1633" w14:textId="77777777" w:rsidR="001C7C2F" w:rsidRDefault="001C7C2F" w:rsidP="3AE6F0BB">
          <w:pPr>
            <w:pStyle w:val="Header"/>
            <w:ind w:right="-115"/>
            <w:jc w:val="right"/>
            <w:rPr>
              <w:szCs w:val="14"/>
            </w:rPr>
          </w:pPr>
        </w:p>
      </w:tc>
    </w:tr>
  </w:tbl>
  <w:p w14:paraId="221FAF6D" w14:textId="77777777" w:rsidR="001C7C2F" w:rsidRDefault="001C7C2F" w:rsidP="3AE6F0BB">
    <w:pPr>
      <w:pStyle w:val="Header"/>
      <w:rPr>
        <w:szCs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W w:w="5000" w:type="pct"/>
      <w:tblLook w:val="04A0" w:firstRow="1" w:lastRow="0" w:firstColumn="1" w:lastColumn="0" w:noHBand="0" w:noVBand="1"/>
    </w:tblPr>
    <w:tblGrid>
      <w:gridCol w:w="2265"/>
      <w:gridCol w:w="7207"/>
    </w:tblGrid>
    <w:tr w:rsidR="001C7C2F" w14:paraId="24DD89D1" w14:textId="77777777" w:rsidTr="00AD5B71">
      <w:trPr>
        <w:trHeight w:val="2551"/>
      </w:trPr>
      <w:tc>
        <w:tcPr>
          <w:tcW w:w="1176" w:type="pct"/>
        </w:tcPr>
        <w:p w14:paraId="012EDBAE" w14:textId="77777777" w:rsidR="001C7C2F" w:rsidRDefault="001C7C2F">
          <w:pPr>
            <w:pStyle w:val="Header"/>
          </w:pPr>
        </w:p>
      </w:tc>
      <w:tc>
        <w:tcPr>
          <w:tcW w:w="3824" w:type="pct"/>
        </w:tcPr>
        <w:p w14:paraId="7DAE5AC7" w14:textId="77777777" w:rsidR="001C7C2F" w:rsidRDefault="001C7C2F">
          <w:pPr>
            <w:pStyle w:val="Header"/>
          </w:pPr>
        </w:p>
      </w:tc>
    </w:tr>
    <w:tr w:rsidR="001C7C2F" w14:paraId="0736FBA5" w14:textId="77777777" w:rsidTr="00AD5B71">
      <w:sdt>
        <w:sdtPr>
          <w:alias w:val="Form.DocLang.Logo_stacked_black"/>
          <w:tag w:val="{&quot;templafy&quot;:{&quot;id&quot;:&quot;49598a8a-1609-4e0f-877c-71289e796f97&quot;}}"/>
          <w:id w:val="-1242175912"/>
          <w:picture/>
        </w:sdtPr>
        <w:sdtContent>
          <w:tc>
            <w:tcPr>
              <w:tcW w:w="1176" w:type="pct"/>
            </w:tcPr>
            <w:p w14:paraId="61FCF02A" w14:textId="77777777" w:rsidR="001C7C2F" w:rsidRDefault="001C7C2F">
              <w:pPr>
                <w:pStyle w:val="Header"/>
              </w:pPr>
              <w:r>
                <w:rPr>
                  <w:noProof/>
                </w:rPr>
                <w:drawing>
                  <wp:inline distT="0" distB="0" distL="0" distR="0" wp14:anchorId="64B42F30" wp14:editId="6F833906">
                    <wp:extent cx="1438820" cy="493560"/>
                    <wp:effectExtent l="0" t="0" r="0" b="0"/>
                    <wp:docPr id="11" name="Picture 2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95689773" name="Picture 24"/>
                            <pic:cNvPicPr/>
                          </pic:nvPicPr>
                          <pic:blipFill>
                            <a:blip r:embed="rId1"/>
                            <a:srcRect/>
                            <a:stretch/>
                          </pic:blipFill>
                          <pic:spPr>
                            <a:xfrm>
                              <a:off x="0" y="0"/>
                              <a:ext cx="1438820" cy="493560"/>
                            </a:xfrm>
                            <a:prstGeom prst="rect">
                              <a:avLst/>
                            </a:prstGeom>
                          </pic:spPr>
                        </pic:pic>
                      </a:graphicData>
                    </a:graphic>
                  </wp:inline>
                </w:drawing>
              </w:r>
            </w:p>
          </w:tc>
        </w:sdtContent>
      </w:sdt>
      <w:tc>
        <w:tcPr>
          <w:tcW w:w="3824" w:type="pct"/>
        </w:tcPr>
        <w:p w14:paraId="3F9661E9" w14:textId="77777777" w:rsidR="001C7C2F" w:rsidRDefault="001C7C2F">
          <w:pPr>
            <w:pStyle w:val="Header"/>
          </w:pPr>
        </w:p>
      </w:tc>
    </w:tr>
    <w:tr w:rsidR="001C7C2F" w14:paraId="7B5CB334" w14:textId="77777777" w:rsidTr="00AD5B71">
      <w:trPr>
        <w:trHeight w:val="1417"/>
      </w:trPr>
      <w:tc>
        <w:tcPr>
          <w:tcW w:w="1176" w:type="pct"/>
        </w:tcPr>
        <w:p w14:paraId="63608DCE" w14:textId="77777777" w:rsidR="001C7C2F" w:rsidRDefault="001C7C2F">
          <w:pPr>
            <w:pStyle w:val="Header"/>
          </w:pPr>
        </w:p>
      </w:tc>
      <w:tc>
        <w:tcPr>
          <w:tcW w:w="3824" w:type="pct"/>
        </w:tcPr>
        <w:p w14:paraId="0A2CFFC4" w14:textId="77777777" w:rsidR="001C7C2F" w:rsidRDefault="001C7C2F">
          <w:pPr>
            <w:pStyle w:val="Header"/>
          </w:pPr>
        </w:p>
      </w:tc>
    </w:tr>
  </w:tbl>
  <w:p w14:paraId="2E53CA27" w14:textId="77777777" w:rsidR="001C7C2F" w:rsidRDefault="001C7C2F">
    <w:pPr>
      <w:pStyle w:val="Header"/>
    </w:pPr>
    <w:r>
      <w:rPr>
        <w:noProof/>
      </w:rPr>
      <w:drawing>
        <wp:anchor distT="0" distB="0" distL="114300" distR="114300" simplePos="0" relativeHeight="251658240" behindDoc="1" locked="0" layoutInCell="1" allowOverlap="1" wp14:anchorId="182F8D4C" wp14:editId="734C68A9">
          <wp:simplePos x="0" y="0"/>
          <wp:positionH relativeFrom="page">
            <wp:posOffset>0</wp:posOffset>
          </wp:positionH>
          <wp:positionV relativeFrom="page">
            <wp:posOffset>0</wp:posOffset>
          </wp:positionV>
          <wp:extent cx="7558560" cy="157104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558560" cy="1571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5AD6" w14:textId="77777777" w:rsidR="001C215B" w:rsidRDefault="001C21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5FEA" w14:textId="77777777" w:rsidR="005525AC" w:rsidRDefault="005525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782B" w14:textId="77777777" w:rsidR="00637DCB" w:rsidRDefault="0063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B55"/>
    <w:multiLevelType w:val="hybridMultilevel"/>
    <w:tmpl w:val="F89AE354"/>
    <w:lvl w:ilvl="0" w:tplc="A7ACF738">
      <w:start w:val="1"/>
      <w:numFmt w:val="bullet"/>
      <w:lvlText w:val=""/>
      <w:lvlJc w:val="left"/>
      <w:pPr>
        <w:ind w:left="720" w:hanging="360"/>
      </w:pPr>
      <w:rPr>
        <w:rFonts w:ascii="Symbol" w:hAnsi="Symbol" w:hint="default"/>
      </w:rPr>
    </w:lvl>
    <w:lvl w:ilvl="1" w:tplc="D2F48172" w:tentative="1">
      <w:start w:val="1"/>
      <w:numFmt w:val="bullet"/>
      <w:lvlText w:val="o"/>
      <w:lvlJc w:val="left"/>
      <w:pPr>
        <w:ind w:left="1440" w:hanging="360"/>
      </w:pPr>
      <w:rPr>
        <w:rFonts w:ascii="Courier New" w:hAnsi="Courier New" w:cs="Courier New" w:hint="default"/>
      </w:rPr>
    </w:lvl>
    <w:lvl w:ilvl="2" w:tplc="8F24BBE2" w:tentative="1">
      <w:start w:val="1"/>
      <w:numFmt w:val="bullet"/>
      <w:lvlText w:val=""/>
      <w:lvlJc w:val="left"/>
      <w:pPr>
        <w:ind w:left="2160" w:hanging="360"/>
      </w:pPr>
      <w:rPr>
        <w:rFonts w:ascii="Wingdings" w:hAnsi="Wingdings" w:hint="default"/>
      </w:rPr>
    </w:lvl>
    <w:lvl w:ilvl="3" w:tplc="529EFA80" w:tentative="1">
      <w:start w:val="1"/>
      <w:numFmt w:val="bullet"/>
      <w:lvlText w:val=""/>
      <w:lvlJc w:val="left"/>
      <w:pPr>
        <w:ind w:left="2880" w:hanging="360"/>
      </w:pPr>
      <w:rPr>
        <w:rFonts w:ascii="Symbol" w:hAnsi="Symbol" w:hint="default"/>
      </w:rPr>
    </w:lvl>
    <w:lvl w:ilvl="4" w:tplc="84543032" w:tentative="1">
      <w:start w:val="1"/>
      <w:numFmt w:val="bullet"/>
      <w:lvlText w:val="o"/>
      <w:lvlJc w:val="left"/>
      <w:pPr>
        <w:ind w:left="3600" w:hanging="360"/>
      </w:pPr>
      <w:rPr>
        <w:rFonts w:ascii="Courier New" w:hAnsi="Courier New" w:cs="Courier New" w:hint="default"/>
      </w:rPr>
    </w:lvl>
    <w:lvl w:ilvl="5" w:tplc="61B60AF4" w:tentative="1">
      <w:start w:val="1"/>
      <w:numFmt w:val="bullet"/>
      <w:lvlText w:val=""/>
      <w:lvlJc w:val="left"/>
      <w:pPr>
        <w:ind w:left="4320" w:hanging="360"/>
      </w:pPr>
      <w:rPr>
        <w:rFonts w:ascii="Wingdings" w:hAnsi="Wingdings" w:hint="default"/>
      </w:rPr>
    </w:lvl>
    <w:lvl w:ilvl="6" w:tplc="B150C2B2" w:tentative="1">
      <w:start w:val="1"/>
      <w:numFmt w:val="bullet"/>
      <w:lvlText w:val=""/>
      <w:lvlJc w:val="left"/>
      <w:pPr>
        <w:ind w:left="5040" w:hanging="360"/>
      </w:pPr>
      <w:rPr>
        <w:rFonts w:ascii="Symbol" w:hAnsi="Symbol" w:hint="default"/>
      </w:rPr>
    </w:lvl>
    <w:lvl w:ilvl="7" w:tplc="BA68A53E" w:tentative="1">
      <w:start w:val="1"/>
      <w:numFmt w:val="bullet"/>
      <w:lvlText w:val="o"/>
      <w:lvlJc w:val="left"/>
      <w:pPr>
        <w:ind w:left="5760" w:hanging="360"/>
      </w:pPr>
      <w:rPr>
        <w:rFonts w:ascii="Courier New" w:hAnsi="Courier New" w:cs="Courier New" w:hint="default"/>
      </w:rPr>
    </w:lvl>
    <w:lvl w:ilvl="8" w:tplc="B308EE9A" w:tentative="1">
      <w:start w:val="1"/>
      <w:numFmt w:val="bullet"/>
      <w:lvlText w:val=""/>
      <w:lvlJc w:val="left"/>
      <w:pPr>
        <w:ind w:left="6480" w:hanging="360"/>
      </w:pPr>
      <w:rPr>
        <w:rFonts w:ascii="Wingdings" w:hAnsi="Wingdings" w:hint="default"/>
      </w:rPr>
    </w:lvl>
  </w:abstractNum>
  <w:abstractNum w:abstractNumId="1" w15:restartNumberingAfterBreak="0">
    <w:nsid w:val="0E4469A3"/>
    <w:multiLevelType w:val="multilevel"/>
    <w:tmpl w:val="F4AC0FD8"/>
    <w:styleLink w:val="ListHeading"/>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04A2C93"/>
    <w:multiLevelType w:val="multilevel"/>
    <w:tmpl w:val="5B565F12"/>
    <w:lvl w:ilvl="0">
      <w:start w:val="1"/>
      <w:numFmt w:val="decimal"/>
      <w:lvlText w:val="%1."/>
      <w:lvlJc w:val="left"/>
      <w:pPr>
        <w:ind w:left="400" w:hanging="4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172C27BF"/>
    <w:multiLevelType w:val="multilevel"/>
    <w:tmpl w:val="E598856E"/>
    <w:lvl w:ilvl="0">
      <w:start w:val="2"/>
      <w:numFmt w:val="decimal"/>
      <w:lvlText w:val="Section %1."/>
      <w:lvlJc w:val="left"/>
      <w:pPr>
        <w:ind w:left="1800" w:hanging="180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360" w:hanging="360"/>
      </w:p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CCB5BA5"/>
    <w:multiLevelType w:val="multilevel"/>
    <w:tmpl w:val="36327A94"/>
    <w:lvl w:ilvl="0">
      <w:start w:val="2"/>
      <w:numFmt w:val="decimal"/>
      <w:lvlText w:val="%1."/>
      <w:lvlJc w:val="left"/>
      <w:pPr>
        <w:ind w:left="400" w:hanging="40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5" w15:restartNumberingAfterBreak="0">
    <w:nsid w:val="1E4C757B"/>
    <w:multiLevelType w:val="multilevel"/>
    <w:tmpl w:val="6DDE42CE"/>
    <w:lvl w:ilvl="0">
      <w:start w:val="3"/>
      <w:numFmt w:val="decimal"/>
      <w:lvlText w:val="%1"/>
      <w:lvlJc w:val="left"/>
      <w:pPr>
        <w:ind w:left="360" w:hanging="360"/>
      </w:pPr>
      <w:rPr>
        <w:rFonts w:hint="default"/>
      </w:rPr>
    </w:lvl>
    <w:lvl w:ilvl="1">
      <w:start w:val="3"/>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6" w15:restartNumberingAfterBreak="0">
    <w:nsid w:val="20E5252C"/>
    <w:multiLevelType w:val="hybridMultilevel"/>
    <w:tmpl w:val="6DC0E852"/>
    <w:lvl w:ilvl="0" w:tplc="907C545E">
      <w:start w:val="1"/>
      <w:numFmt w:val="decimal"/>
      <w:lvlText w:val="%1."/>
      <w:lvlJc w:val="left"/>
      <w:pPr>
        <w:ind w:left="720" w:hanging="360"/>
      </w:pPr>
      <w:rPr>
        <w:rFonts w:hint="default"/>
        <w:sz w:val="22"/>
        <w:szCs w:val="22"/>
      </w:rPr>
    </w:lvl>
    <w:lvl w:ilvl="1" w:tplc="01B60DCE" w:tentative="1">
      <w:start w:val="1"/>
      <w:numFmt w:val="lowerLetter"/>
      <w:lvlText w:val="%2."/>
      <w:lvlJc w:val="left"/>
      <w:pPr>
        <w:ind w:left="1440" w:hanging="360"/>
      </w:pPr>
    </w:lvl>
    <w:lvl w:ilvl="2" w:tplc="0012306A" w:tentative="1">
      <w:start w:val="1"/>
      <w:numFmt w:val="lowerRoman"/>
      <w:lvlText w:val="%3."/>
      <w:lvlJc w:val="right"/>
      <w:pPr>
        <w:ind w:left="2160" w:hanging="180"/>
      </w:pPr>
    </w:lvl>
    <w:lvl w:ilvl="3" w:tplc="B532C7FC" w:tentative="1">
      <w:start w:val="1"/>
      <w:numFmt w:val="decimal"/>
      <w:lvlText w:val="%4."/>
      <w:lvlJc w:val="left"/>
      <w:pPr>
        <w:ind w:left="2880" w:hanging="360"/>
      </w:pPr>
    </w:lvl>
    <w:lvl w:ilvl="4" w:tplc="C05ADE0A" w:tentative="1">
      <w:start w:val="1"/>
      <w:numFmt w:val="lowerLetter"/>
      <w:lvlText w:val="%5."/>
      <w:lvlJc w:val="left"/>
      <w:pPr>
        <w:ind w:left="3600" w:hanging="360"/>
      </w:pPr>
    </w:lvl>
    <w:lvl w:ilvl="5" w:tplc="A1F60704" w:tentative="1">
      <w:start w:val="1"/>
      <w:numFmt w:val="lowerRoman"/>
      <w:lvlText w:val="%6."/>
      <w:lvlJc w:val="right"/>
      <w:pPr>
        <w:ind w:left="4320" w:hanging="180"/>
      </w:pPr>
    </w:lvl>
    <w:lvl w:ilvl="6" w:tplc="9BB27662" w:tentative="1">
      <w:start w:val="1"/>
      <w:numFmt w:val="decimal"/>
      <w:lvlText w:val="%7."/>
      <w:lvlJc w:val="left"/>
      <w:pPr>
        <w:ind w:left="5040" w:hanging="360"/>
      </w:pPr>
    </w:lvl>
    <w:lvl w:ilvl="7" w:tplc="2AE86C48" w:tentative="1">
      <w:start w:val="1"/>
      <w:numFmt w:val="lowerLetter"/>
      <w:lvlText w:val="%8."/>
      <w:lvlJc w:val="left"/>
      <w:pPr>
        <w:ind w:left="5760" w:hanging="360"/>
      </w:pPr>
    </w:lvl>
    <w:lvl w:ilvl="8" w:tplc="638C8050" w:tentative="1">
      <w:start w:val="1"/>
      <w:numFmt w:val="lowerRoman"/>
      <w:lvlText w:val="%9."/>
      <w:lvlJc w:val="right"/>
      <w:pPr>
        <w:ind w:left="6480" w:hanging="180"/>
      </w:pPr>
    </w:lvl>
  </w:abstractNum>
  <w:abstractNum w:abstractNumId="7" w15:restartNumberingAfterBreak="0">
    <w:nsid w:val="21417034"/>
    <w:multiLevelType w:val="hybridMultilevel"/>
    <w:tmpl w:val="AE5233CE"/>
    <w:lvl w:ilvl="0" w:tplc="C838AF50">
      <w:start w:val="1"/>
      <w:numFmt w:val="decimal"/>
      <w:lvlText w:val="%1."/>
      <w:lvlJc w:val="left"/>
      <w:pPr>
        <w:ind w:left="720" w:hanging="360"/>
      </w:pPr>
    </w:lvl>
    <w:lvl w:ilvl="1" w:tplc="4628F812" w:tentative="1">
      <w:start w:val="1"/>
      <w:numFmt w:val="lowerLetter"/>
      <w:lvlText w:val="%2."/>
      <w:lvlJc w:val="left"/>
      <w:pPr>
        <w:ind w:left="1440" w:hanging="360"/>
      </w:pPr>
    </w:lvl>
    <w:lvl w:ilvl="2" w:tplc="96F80DDC" w:tentative="1">
      <w:start w:val="1"/>
      <w:numFmt w:val="lowerRoman"/>
      <w:lvlText w:val="%3."/>
      <w:lvlJc w:val="right"/>
      <w:pPr>
        <w:ind w:left="2160" w:hanging="180"/>
      </w:pPr>
    </w:lvl>
    <w:lvl w:ilvl="3" w:tplc="2F10BDDC" w:tentative="1">
      <w:start w:val="1"/>
      <w:numFmt w:val="decimal"/>
      <w:lvlText w:val="%4."/>
      <w:lvlJc w:val="left"/>
      <w:pPr>
        <w:ind w:left="2880" w:hanging="360"/>
      </w:pPr>
    </w:lvl>
    <w:lvl w:ilvl="4" w:tplc="23A6E530" w:tentative="1">
      <w:start w:val="1"/>
      <w:numFmt w:val="lowerLetter"/>
      <w:lvlText w:val="%5."/>
      <w:lvlJc w:val="left"/>
      <w:pPr>
        <w:ind w:left="3600" w:hanging="360"/>
      </w:pPr>
    </w:lvl>
    <w:lvl w:ilvl="5" w:tplc="033C609A" w:tentative="1">
      <w:start w:val="1"/>
      <w:numFmt w:val="lowerRoman"/>
      <w:lvlText w:val="%6."/>
      <w:lvlJc w:val="right"/>
      <w:pPr>
        <w:ind w:left="4320" w:hanging="180"/>
      </w:pPr>
    </w:lvl>
    <w:lvl w:ilvl="6" w:tplc="69E27B50" w:tentative="1">
      <w:start w:val="1"/>
      <w:numFmt w:val="decimal"/>
      <w:lvlText w:val="%7."/>
      <w:lvlJc w:val="left"/>
      <w:pPr>
        <w:ind w:left="5040" w:hanging="360"/>
      </w:pPr>
    </w:lvl>
    <w:lvl w:ilvl="7" w:tplc="3D4AAFC0" w:tentative="1">
      <w:start w:val="1"/>
      <w:numFmt w:val="lowerLetter"/>
      <w:lvlText w:val="%8."/>
      <w:lvlJc w:val="left"/>
      <w:pPr>
        <w:ind w:left="5760" w:hanging="360"/>
      </w:pPr>
    </w:lvl>
    <w:lvl w:ilvl="8" w:tplc="EE12EB84" w:tentative="1">
      <w:start w:val="1"/>
      <w:numFmt w:val="lowerRoman"/>
      <w:lvlText w:val="%9."/>
      <w:lvlJc w:val="right"/>
      <w:pPr>
        <w:ind w:left="6480" w:hanging="180"/>
      </w:pPr>
    </w:lvl>
  </w:abstractNum>
  <w:abstractNum w:abstractNumId="8" w15:restartNumberingAfterBreak="0">
    <w:nsid w:val="244F20A8"/>
    <w:multiLevelType w:val="multilevel"/>
    <w:tmpl w:val="120C9CA8"/>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6F24435"/>
    <w:multiLevelType w:val="multilevel"/>
    <w:tmpl w:val="BF48C5B0"/>
    <w:numStyleLink w:val="ListNumbers"/>
  </w:abstractNum>
  <w:abstractNum w:abstractNumId="10" w15:restartNumberingAfterBreak="0">
    <w:nsid w:val="27701FCC"/>
    <w:multiLevelType w:val="multilevel"/>
    <w:tmpl w:val="70D4F4BE"/>
    <w:numStyleLink w:val="AlphaList"/>
  </w:abstractNum>
  <w:abstractNum w:abstractNumId="11" w15:restartNumberingAfterBreak="0">
    <w:nsid w:val="297E0D0F"/>
    <w:multiLevelType w:val="multilevel"/>
    <w:tmpl w:val="31922BC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7207CA"/>
    <w:multiLevelType w:val="multilevel"/>
    <w:tmpl w:val="E5B4E14C"/>
    <w:lvl w:ilvl="0">
      <w:start w:val="2"/>
      <w:numFmt w:val="decimal"/>
      <w:lvlText w:val="Section %1."/>
      <w:lvlJc w:val="left"/>
      <w:pPr>
        <w:ind w:left="1800" w:hanging="180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BE52EC9"/>
    <w:multiLevelType w:val="multilevel"/>
    <w:tmpl w:val="776250E0"/>
    <w:lvl w:ilvl="0">
      <w:start w:val="1"/>
      <w:numFmt w:val="decimal"/>
      <w:lvlText w:val="Section %1."/>
      <w:lvlJc w:val="left"/>
      <w:pPr>
        <w:ind w:left="454" w:hanging="454"/>
      </w:pPr>
      <w:rPr>
        <w:rFonts w:hint="default"/>
      </w:rPr>
    </w:lvl>
    <w:lvl w:ilvl="1">
      <w:start w:val="1"/>
      <w:numFmt w:val="decimal"/>
      <w:lvlText w:val="%1.%2"/>
      <w:lvlJc w:val="left"/>
      <w:pPr>
        <w:ind w:left="624" w:hanging="624"/>
      </w:pPr>
      <w:rPr>
        <w:rFonts w:hint="default"/>
      </w:rPr>
    </w:lvl>
    <w:lvl w:ilvl="2">
      <w:start w:val="1"/>
      <w:numFmt w:val="upperLetter"/>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D845522"/>
    <w:multiLevelType w:val="hybridMultilevel"/>
    <w:tmpl w:val="3A60F8D2"/>
    <w:lvl w:ilvl="0" w:tplc="B024FD06">
      <w:start w:val="1"/>
      <w:numFmt w:val="bullet"/>
      <w:lvlText w:val=""/>
      <w:lvlJc w:val="left"/>
      <w:pPr>
        <w:ind w:left="1080" w:hanging="360"/>
      </w:pPr>
      <w:rPr>
        <w:rFonts w:ascii="Symbol" w:hAnsi="Symbol" w:hint="default"/>
      </w:rPr>
    </w:lvl>
    <w:lvl w:ilvl="1" w:tplc="637288C4" w:tentative="1">
      <w:start w:val="1"/>
      <w:numFmt w:val="bullet"/>
      <w:lvlText w:val="o"/>
      <w:lvlJc w:val="left"/>
      <w:pPr>
        <w:ind w:left="1800" w:hanging="360"/>
      </w:pPr>
      <w:rPr>
        <w:rFonts w:ascii="Courier New" w:hAnsi="Courier New" w:cs="Courier New" w:hint="default"/>
      </w:rPr>
    </w:lvl>
    <w:lvl w:ilvl="2" w:tplc="65BA2F4E" w:tentative="1">
      <w:start w:val="1"/>
      <w:numFmt w:val="bullet"/>
      <w:lvlText w:val=""/>
      <w:lvlJc w:val="left"/>
      <w:pPr>
        <w:ind w:left="2520" w:hanging="360"/>
      </w:pPr>
      <w:rPr>
        <w:rFonts w:ascii="Wingdings" w:hAnsi="Wingdings" w:hint="default"/>
      </w:rPr>
    </w:lvl>
    <w:lvl w:ilvl="3" w:tplc="1E5041AC" w:tentative="1">
      <w:start w:val="1"/>
      <w:numFmt w:val="bullet"/>
      <w:lvlText w:val=""/>
      <w:lvlJc w:val="left"/>
      <w:pPr>
        <w:ind w:left="3240" w:hanging="360"/>
      </w:pPr>
      <w:rPr>
        <w:rFonts w:ascii="Symbol" w:hAnsi="Symbol" w:hint="default"/>
      </w:rPr>
    </w:lvl>
    <w:lvl w:ilvl="4" w:tplc="C9D0B2C8" w:tentative="1">
      <w:start w:val="1"/>
      <w:numFmt w:val="bullet"/>
      <w:lvlText w:val="o"/>
      <w:lvlJc w:val="left"/>
      <w:pPr>
        <w:ind w:left="3960" w:hanging="360"/>
      </w:pPr>
      <w:rPr>
        <w:rFonts w:ascii="Courier New" w:hAnsi="Courier New" w:cs="Courier New" w:hint="default"/>
      </w:rPr>
    </w:lvl>
    <w:lvl w:ilvl="5" w:tplc="0EF404BC" w:tentative="1">
      <w:start w:val="1"/>
      <w:numFmt w:val="bullet"/>
      <w:lvlText w:val=""/>
      <w:lvlJc w:val="left"/>
      <w:pPr>
        <w:ind w:left="4680" w:hanging="360"/>
      </w:pPr>
      <w:rPr>
        <w:rFonts w:ascii="Wingdings" w:hAnsi="Wingdings" w:hint="default"/>
      </w:rPr>
    </w:lvl>
    <w:lvl w:ilvl="6" w:tplc="0518C1C0" w:tentative="1">
      <w:start w:val="1"/>
      <w:numFmt w:val="bullet"/>
      <w:lvlText w:val=""/>
      <w:lvlJc w:val="left"/>
      <w:pPr>
        <w:ind w:left="5400" w:hanging="360"/>
      </w:pPr>
      <w:rPr>
        <w:rFonts w:ascii="Symbol" w:hAnsi="Symbol" w:hint="default"/>
      </w:rPr>
    </w:lvl>
    <w:lvl w:ilvl="7" w:tplc="8820C5EC" w:tentative="1">
      <w:start w:val="1"/>
      <w:numFmt w:val="bullet"/>
      <w:lvlText w:val="o"/>
      <w:lvlJc w:val="left"/>
      <w:pPr>
        <w:ind w:left="6120" w:hanging="360"/>
      </w:pPr>
      <w:rPr>
        <w:rFonts w:ascii="Courier New" w:hAnsi="Courier New" w:cs="Courier New" w:hint="default"/>
      </w:rPr>
    </w:lvl>
    <w:lvl w:ilvl="8" w:tplc="85544B60" w:tentative="1">
      <w:start w:val="1"/>
      <w:numFmt w:val="bullet"/>
      <w:lvlText w:val=""/>
      <w:lvlJc w:val="left"/>
      <w:pPr>
        <w:ind w:left="6840" w:hanging="360"/>
      </w:pPr>
      <w:rPr>
        <w:rFonts w:ascii="Wingdings" w:hAnsi="Wingdings" w:hint="default"/>
      </w:rPr>
    </w:lvl>
  </w:abstractNum>
  <w:abstractNum w:abstractNumId="15" w15:restartNumberingAfterBreak="0">
    <w:nsid w:val="2E21729F"/>
    <w:multiLevelType w:val="hybridMultilevel"/>
    <w:tmpl w:val="3692FF3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1960"/>
    <w:multiLevelType w:val="singleLevel"/>
    <w:tmpl w:val="16508242"/>
    <w:numStyleLink w:val="ListBullets"/>
  </w:abstractNum>
  <w:abstractNum w:abstractNumId="17" w15:restartNumberingAfterBreak="0">
    <w:nsid w:val="36CA2D5C"/>
    <w:multiLevelType w:val="hybridMultilevel"/>
    <w:tmpl w:val="0B0AF4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E1FD7"/>
    <w:multiLevelType w:val="hybridMultilevel"/>
    <w:tmpl w:val="537E5AC2"/>
    <w:lvl w:ilvl="0" w:tplc="FDA40BC0">
      <w:start w:val="1"/>
      <w:numFmt w:val="decimal"/>
      <w:lvlText w:val="%1."/>
      <w:lvlJc w:val="left"/>
      <w:pPr>
        <w:ind w:left="720" w:hanging="360"/>
      </w:pPr>
    </w:lvl>
    <w:lvl w:ilvl="1" w:tplc="1F02D740" w:tentative="1">
      <w:start w:val="1"/>
      <w:numFmt w:val="lowerLetter"/>
      <w:lvlText w:val="%2."/>
      <w:lvlJc w:val="left"/>
      <w:pPr>
        <w:ind w:left="1440" w:hanging="360"/>
      </w:pPr>
    </w:lvl>
    <w:lvl w:ilvl="2" w:tplc="4D32F9F4" w:tentative="1">
      <w:start w:val="1"/>
      <w:numFmt w:val="lowerRoman"/>
      <w:lvlText w:val="%3."/>
      <w:lvlJc w:val="right"/>
      <w:pPr>
        <w:ind w:left="2160" w:hanging="180"/>
      </w:pPr>
    </w:lvl>
    <w:lvl w:ilvl="3" w:tplc="AE14B200" w:tentative="1">
      <w:start w:val="1"/>
      <w:numFmt w:val="decimal"/>
      <w:lvlText w:val="%4."/>
      <w:lvlJc w:val="left"/>
      <w:pPr>
        <w:ind w:left="2880" w:hanging="360"/>
      </w:pPr>
    </w:lvl>
    <w:lvl w:ilvl="4" w:tplc="298E74DA" w:tentative="1">
      <w:start w:val="1"/>
      <w:numFmt w:val="lowerLetter"/>
      <w:lvlText w:val="%5."/>
      <w:lvlJc w:val="left"/>
      <w:pPr>
        <w:ind w:left="3600" w:hanging="360"/>
      </w:pPr>
    </w:lvl>
    <w:lvl w:ilvl="5" w:tplc="53A4236A" w:tentative="1">
      <w:start w:val="1"/>
      <w:numFmt w:val="lowerRoman"/>
      <w:lvlText w:val="%6."/>
      <w:lvlJc w:val="right"/>
      <w:pPr>
        <w:ind w:left="4320" w:hanging="180"/>
      </w:pPr>
    </w:lvl>
    <w:lvl w:ilvl="6" w:tplc="FAFC4086" w:tentative="1">
      <w:start w:val="1"/>
      <w:numFmt w:val="decimal"/>
      <w:lvlText w:val="%7."/>
      <w:lvlJc w:val="left"/>
      <w:pPr>
        <w:ind w:left="5040" w:hanging="360"/>
      </w:pPr>
    </w:lvl>
    <w:lvl w:ilvl="7" w:tplc="A822BB2A" w:tentative="1">
      <w:start w:val="1"/>
      <w:numFmt w:val="lowerLetter"/>
      <w:lvlText w:val="%8."/>
      <w:lvlJc w:val="left"/>
      <w:pPr>
        <w:ind w:left="5760" w:hanging="360"/>
      </w:pPr>
    </w:lvl>
    <w:lvl w:ilvl="8" w:tplc="E5F220EE" w:tentative="1">
      <w:start w:val="1"/>
      <w:numFmt w:val="lowerRoman"/>
      <w:lvlText w:val="%9."/>
      <w:lvlJc w:val="right"/>
      <w:pPr>
        <w:ind w:left="6480" w:hanging="180"/>
      </w:pPr>
    </w:lvl>
  </w:abstractNum>
  <w:abstractNum w:abstractNumId="19" w15:restartNumberingAfterBreak="0">
    <w:nsid w:val="3E075942"/>
    <w:multiLevelType w:val="hybridMultilevel"/>
    <w:tmpl w:val="1DA242BA"/>
    <w:lvl w:ilvl="0" w:tplc="C2E8C1DE">
      <w:start w:val="1"/>
      <w:numFmt w:val="decimal"/>
      <w:lvlText w:val="%1."/>
      <w:lvlJc w:val="left"/>
      <w:pPr>
        <w:ind w:left="720" w:hanging="360"/>
      </w:pPr>
      <w:rPr>
        <w:rFonts w:hint="default"/>
        <w:sz w:val="22"/>
        <w:szCs w:val="22"/>
      </w:rPr>
    </w:lvl>
    <w:lvl w:ilvl="1" w:tplc="FDE844AC" w:tentative="1">
      <w:start w:val="1"/>
      <w:numFmt w:val="lowerLetter"/>
      <w:lvlText w:val="%2."/>
      <w:lvlJc w:val="left"/>
      <w:pPr>
        <w:ind w:left="1440" w:hanging="360"/>
      </w:pPr>
    </w:lvl>
    <w:lvl w:ilvl="2" w:tplc="EEAE3410" w:tentative="1">
      <w:start w:val="1"/>
      <w:numFmt w:val="lowerRoman"/>
      <w:lvlText w:val="%3."/>
      <w:lvlJc w:val="right"/>
      <w:pPr>
        <w:ind w:left="2160" w:hanging="180"/>
      </w:pPr>
    </w:lvl>
    <w:lvl w:ilvl="3" w:tplc="BB6A8456" w:tentative="1">
      <w:start w:val="1"/>
      <w:numFmt w:val="decimal"/>
      <w:lvlText w:val="%4."/>
      <w:lvlJc w:val="left"/>
      <w:pPr>
        <w:ind w:left="2880" w:hanging="360"/>
      </w:pPr>
    </w:lvl>
    <w:lvl w:ilvl="4" w:tplc="63C63B18" w:tentative="1">
      <w:start w:val="1"/>
      <w:numFmt w:val="lowerLetter"/>
      <w:lvlText w:val="%5."/>
      <w:lvlJc w:val="left"/>
      <w:pPr>
        <w:ind w:left="3600" w:hanging="360"/>
      </w:pPr>
    </w:lvl>
    <w:lvl w:ilvl="5" w:tplc="8848BE24" w:tentative="1">
      <w:start w:val="1"/>
      <w:numFmt w:val="lowerRoman"/>
      <w:lvlText w:val="%6."/>
      <w:lvlJc w:val="right"/>
      <w:pPr>
        <w:ind w:left="4320" w:hanging="180"/>
      </w:pPr>
    </w:lvl>
    <w:lvl w:ilvl="6" w:tplc="FEBABCDC" w:tentative="1">
      <w:start w:val="1"/>
      <w:numFmt w:val="decimal"/>
      <w:lvlText w:val="%7."/>
      <w:lvlJc w:val="left"/>
      <w:pPr>
        <w:ind w:left="5040" w:hanging="360"/>
      </w:pPr>
    </w:lvl>
    <w:lvl w:ilvl="7" w:tplc="CF1050CC" w:tentative="1">
      <w:start w:val="1"/>
      <w:numFmt w:val="lowerLetter"/>
      <w:lvlText w:val="%8."/>
      <w:lvlJc w:val="left"/>
      <w:pPr>
        <w:ind w:left="5760" w:hanging="360"/>
      </w:pPr>
    </w:lvl>
    <w:lvl w:ilvl="8" w:tplc="105E59CE" w:tentative="1">
      <w:start w:val="1"/>
      <w:numFmt w:val="lowerRoman"/>
      <w:lvlText w:val="%9."/>
      <w:lvlJc w:val="right"/>
      <w:pPr>
        <w:ind w:left="6480" w:hanging="180"/>
      </w:pPr>
    </w:lvl>
  </w:abstractNum>
  <w:abstractNum w:abstractNumId="20" w15:restartNumberingAfterBreak="0">
    <w:nsid w:val="414A7866"/>
    <w:multiLevelType w:val="hybridMultilevel"/>
    <w:tmpl w:val="FA7C23EE"/>
    <w:lvl w:ilvl="0" w:tplc="E8687892">
      <w:start w:val="1"/>
      <w:numFmt w:val="bullet"/>
      <w:lvlText w:val=""/>
      <w:lvlJc w:val="left"/>
      <w:pPr>
        <w:ind w:left="720" w:hanging="360"/>
      </w:pPr>
      <w:rPr>
        <w:rFonts w:ascii="Symbol" w:hAnsi="Symbol" w:hint="default"/>
      </w:rPr>
    </w:lvl>
    <w:lvl w:ilvl="1" w:tplc="F0F6A3BA" w:tentative="1">
      <w:start w:val="1"/>
      <w:numFmt w:val="bullet"/>
      <w:lvlText w:val="o"/>
      <w:lvlJc w:val="left"/>
      <w:pPr>
        <w:ind w:left="1440" w:hanging="360"/>
      </w:pPr>
      <w:rPr>
        <w:rFonts w:ascii="Courier New" w:hAnsi="Courier New" w:cs="Courier New" w:hint="default"/>
      </w:rPr>
    </w:lvl>
    <w:lvl w:ilvl="2" w:tplc="A7B8E348" w:tentative="1">
      <w:start w:val="1"/>
      <w:numFmt w:val="bullet"/>
      <w:lvlText w:val=""/>
      <w:lvlJc w:val="left"/>
      <w:pPr>
        <w:ind w:left="2160" w:hanging="360"/>
      </w:pPr>
      <w:rPr>
        <w:rFonts w:ascii="Wingdings" w:hAnsi="Wingdings" w:hint="default"/>
      </w:rPr>
    </w:lvl>
    <w:lvl w:ilvl="3" w:tplc="DF7E9FE0" w:tentative="1">
      <w:start w:val="1"/>
      <w:numFmt w:val="bullet"/>
      <w:lvlText w:val=""/>
      <w:lvlJc w:val="left"/>
      <w:pPr>
        <w:ind w:left="2880" w:hanging="360"/>
      </w:pPr>
      <w:rPr>
        <w:rFonts w:ascii="Symbol" w:hAnsi="Symbol" w:hint="default"/>
      </w:rPr>
    </w:lvl>
    <w:lvl w:ilvl="4" w:tplc="E20EDFFE" w:tentative="1">
      <w:start w:val="1"/>
      <w:numFmt w:val="bullet"/>
      <w:lvlText w:val="o"/>
      <w:lvlJc w:val="left"/>
      <w:pPr>
        <w:ind w:left="3600" w:hanging="360"/>
      </w:pPr>
      <w:rPr>
        <w:rFonts w:ascii="Courier New" w:hAnsi="Courier New" w:cs="Courier New" w:hint="default"/>
      </w:rPr>
    </w:lvl>
    <w:lvl w:ilvl="5" w:tplc="ABC678FA" w:tentative="1">
      <w:start w:val="1"/>
      <w:numFmt w:val="bullet"/>
      <w:lvlText w:val=""/>
      <w:lvlJc w:val="left"/>
      <w:pPr>
        <w:ind w:left="4320" w:hanging="360"/>
      </w:pPr>
      <w:rPr>
        <w:rFonts w:ascii="Wingdings" w:hAnsi="Wingdings" w:hint="default"/>
      </w:rPr>
    </w:lvl>
    <w:lvl w:ilvl="6" w:tplc="6B946C12" w:tentative="1">
      <w:start w:val="1"/>
      <w:numFmt w:val="bullet"/>
      <w:lvlText w:val=""/>
      <w:lvlJc w:val="left"/>
      <w:pPr>
        <w:ind w:left="5040" w:hanging="360"/>
      </w:pPr>
      <w:rPr>
        <w:rFonts w:ascii="Symbol" w:hAnsi="Symbol" w:hint="default"/>
      </w:rPr>
    </w:lvl>
    <w:lvl w:ilvl="7" w:tplc="77F67BAA" w:tentative="1">
      <w:start w:val="1"/>
      <w:numFmt w:val="bullet"/>
      <w:lvlText w:val="o"/>
      <w:lvlJc w:val="left"/>
      <w:pPr>
        <w:ind w:left="5760" w:hanging="360"/>
      </w:pPr>
      <w:rPr>
        <w:rFonts w:ascii="Courier New" w:hAnsi="Courier New" w:cs="Courier New" w:hint="default"/>
      </w:rPr>
    </w:lvl>
    <w:lvl w:ilvl="8" w:tplc="BD4C9784" w:tentative="1">
      <w:start w:val="1"/>
      <w:numFmt w:val="bullet"/>
      <w:lvlText w:val=""/>
      <w:lvlJc w:val="left"/>
      <w:pPr>
        <w:ind w:left="6480" w:hanging="360"/>
      </w:pPr>
      <w:rPr>
        <w:rFonts w:ascii="Wingdings" w:hAnsi="Wingdings" w:hint="default"/>
      </w:rPr>
    </w:lvl>
  </w:abstractNum>
  <w:abstractNum w:abstractNumId="21" w15:restartNumberingAfterBreak="0">
    <w:nsid w:val="4BA8395E"/>
    <w:multiLevelType w:val="multilevel"/>
    <w:tmpl w:val="4BB83C34"/>
    <w:lvl w:ilvl="0">
      <w:start w:val="1"/>
      <w:numFmt w:val="upperLetter"/>
      <w:lvlText w:val="%1."/>
      <w:lvlJc w:val="left"/>
      <w:pPr>
        <w:ind w:left="400" w:hanging="40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22" w15:restartNumberingAfterBreak="0">
    <w:nsid w:val="4DF57664"/>
    <w:multiLevelType w:val="singleLevel"/>
    <w:tmpl w:val="16508242"/>
    <w:styleLink w:val="ListBullets"/>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E26A47"/>
    <w:multiLevelType w:val="multilevel"/>
    <w:tmpl w:val="B13E4A1A"/>
    <w:lvl w:ilvl="0">
      <w:start w:val="1"/>
      <w:numFmt w:val="decimal"/>
      <w:lvlText w:val="%1"/>
      <w:lvlJc w:val="left"/>
      <w:pPr>
        <w:ind w:left="360" w:hanging="360"/>
      </w:pPr>
      <w:rPr>
        <w:rFonts w:ascii="Arial" w:eastAsia="Arial" w:hAnsi="Arial" w:cs="Arial" w:hint="default"/>
        <w:b/>
      </w:rPr>
    </w:lvl>
    <w:lvl w:ilvl="1">
      <w:start w:val="2"/>
      <w:numFmt w:val="decimal"/>
      <w:lvlText w:val="%1.%2"/>
      <w:lvlJc w:val="left"/>
      <w:pPr>
        <w:ind w:left="360" w:hanging="360"/>
      </w:pPr>
      <w:rPr>
        <w:rFonts w:ascii="Arial" w:eastAsia="Arial" w:hAnsi="Arial" w:cs="Arial" w:hint="default"/>
        <w:b w:val="0"/>
        <w:bCs/>
      </w:rPr>
    </w:lvl>
    <w:lvl w:ilvl="2">
      <w:start w:val="1"/>
      <w:numFmt w:val="decimal"/>
      <w:lvlText w:val="%1.%2.%3"/>
      <w:lvlJc w:val="left"/>
      <w:pPr>
        <w:ind w:left="720" w:hanging="720"/>
      </w:pPr>
      <w:rPr>
        <w:rFonts w:ascii="Arial" w:eastAsia="Arial" w:hAnsi="Arial" w:cs="Arial" w:hint="default"/>
        <w:b/>
      </w:rPr>
    </w:lvl>
    <w:lvl w:ilvl="3">
      <w:start w:val="1"/>
      <w:numFmt w:val="decimal"/>
      <w:lvlText w:val="%1.%2.%3.%4"/>
      <w:lvlJc w:val="left"/>
      <w:pPr>
        <w:ind w:left="1080" w:hanging="108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440" w:hanging="144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800" w:hanging="180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abstractNum w:abstractNumId="24" w15:restartNumberingAfterBreak="0">
    <w:nsid w:val="520C6D83"/>
    <w:multiLevelType w:val="hybridMultilevel"/>
    <w:tmpl w:val="FF18CDBA"/>
    <w:lvl w:ilvl="0" w:tplc="526688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B4F53"/>
    <w:multiLevelType w:val="hybridMultilevel"/>
    <w:tmpl w:val="B8427464"/>
    <w:lvl w:ilvl="0" w:tplc="69124F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997EAD"/>
    <w:multiLevelType w:val="multilevel"/>
    <w:tmpl w:val="93140A86"/>
    <w:lvl w:ilvl="0">
      <w:start w:val="1"/>
      <w:numFmt w:val="decimal"/>
      <w:lvlText w:val="Section %1."/>
      <w:lvlJc w:val="left"/>
      <w:pPr>
        <w:ind w:left="1800" w:hanging="180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EB3566B"/>
    <w:multiLevelType w:val="multilevel"/>
    <w:tmpl w:val="6FD473B8"/>
    <w:lvl w:ilvl="0">
      <w:start w:val="1"/>
      <w:numFmt w:val="decimal"/>
      <w:lvlText w:val="Section %1."/>
      <w:lvlJc w:val="left"/>
      <w:pPr>
        <w:ind w:left="1800" w:hanging="1800"/>
      </w:pPr>
      <w:rPr>
        <w:rFonts w:hint="default"/>
      </w:rPr>
    </w:lvl>
    <w:lvl w:ilvl="1">
      <w:start w:val="1"/>
      <w:numFmt w:val="decimal"/>
      <w:lvlText w:val="%1.%2"/>
      <w:lvlJc w:val="left"/>
      <w:pPr>
        <w:ind w:left="624" w:hanging="624"/>
      </w:pPr>
      <w:rPr>
        <w:rFonts w:hint="default"/>
      </w:rPr>
    </w:lvl>
    <w:lvl w:ilvl="2">
      <w:start w:val="1"/>
      <w:numFmt w:val="upperLetter"/>
      <w:lvlText w:val="%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4D620AC"/>
    <w:multiLevelType w:val="multilevel"/>
    <w:tmpl w:val="5008A1F4"/>
    <w:lvl w:ilvl="0">
      <w:start w:val="3"/>
      <w:numFmt w:val="decimal"/>
      <w:lvlText w:val="%1."/>
      <w:lvlJc w:val="left"/>
      <w:pPr>
        <w:ind w:left="400" w:hanging="400"/>
      </w:pPr>
      <w:rPr>
        <w:rFonts w:hint="default"/>
        <w:color w:val="auto"/>
      </w:rPr>
    </w:lvl>
    <w:lvl w:ilvl="1">
      <w:start w:val="1"/>
      <w:numFmt w:val="decimal"/>
      <w:lvlText w:val="%1.%2."/>
      <w:lvlJc w:val="left"/>
      <w:pPr>
        <w:ind w:left="1620" w:hanging="72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780" w:hanging="108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940" w:hanging="144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9360" w:hanging="2160"/>
      </w:pPr>
      <w:rPr>
        <w:rFonts w:hint="default"/>
        <w:color w:val="auto"/>
      </w:rPr>
    </w:lvl>
  </w:abstractNum>
  <w:abstractNum w:abstractNumId="29" w15:restartNumberingAfterBreak="0">
    <w:nsid w:val="64EF601B"/>
    <w:multiLevelType w:val="multilevel"/>
    <w:tmpl w:val="BF48C5B0"/>
    <w:styleLink w:val="ListNumbers"/>
    <w:lvl w:ilvl="0">
      <w:start w:val="1"/>
      <w:numFmt w:val="decimal"/>
      <w:lvlRestart w:val="0"/>
      <w:pStyle w:val="ListNumber"/>
      <w:lvlText w:val="%1."/>
      <w:lvlJc w:val="left"/>
      <w:pPr>
        <w:tabs>
          <w:tab w:val="num" w:pos="397"/>
        </w:tabs>
        <w:ind w:left="397" w:hanging="397"/>
      </w:pPr>
      <w:rPr>
        <w:rFonts w:hint="default"/>
      </w:rPr>
    </w:lvl>
    <w:lvl w:ilvl="1">
      <w:start w:val="1"/>
      <w:numFmt w:val="decimal"/>
      <w:lvlText w:val="%1.%2"/>
      <w:lvlJc w:val="left"/>
      <w:pPr>
        <w:tabs>
          <w:tab w:val="num" w:pos="1077"/>
        </w:tabs>
        <w:ind w:left="1077" w:hanging="623"/>
      </w:pPr>
      <w:rPr>
        <w:rFonts w:hint="default"/>
      </w:rPr>
    </w:lvl>
    <w:lvl w:ilvl="2">
      <w:start w:val="1"/>
      <w:numFmt w:val="decimal"/>
      <w:lvlText w:val="%1.%2.%3"/>
      <w:lvlJc w:val="left"/>
      <w:pPr>
        <w:tabs>
          <w:tab w:val="num" w:pos="1814"/>
        </w:tabs>
        <w:ind w:left="1871" w:hanging="794"/>
      </w:pPr>
      <w:rPr>
        <w:rFonts w:hint="default"/>
      </w:rPr>
    </w:lvl>
    <w:lvl w:ilvl="3">
      <w:start w:val="1"/>
      <w:numFmt w:val="decimal"/>
      <w:lvlText w:val="%1.%2.%3.%4"/>
      <w:lvlJc w:val="left"/>
      <w:pPr>
        <w:tabs>
          <w:tab w:val="num" w:pos="2835"/>
        </w:tabs>
        <w:ind w:left="2835" w:hanging="96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531617A"/>
    <w:multiLevelType w:val="hybridMultilevel"/>
    <w:tmpl w:val="7FB8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C6219"/>
    <w:multiLevelType w:val="multilevel"/>
    <w:tmpl w:val="70D4F4BE"/>
    <w:styleLink w:val="AlphaList"/>
    <w:lvl w:ilvl="0">
      <w:start w:val="1"/>
      <w:numFmt w:val="lowerLetter"/>
      <w:pStyle w:val="ListAlpha"/>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C281C17"/>
    <w:multiLevelType w:val="multilevel"/>
    <w:tmpl w:val="E5B4E14C"/>
    <w:lvl w:ilvl="0">
      <w:start w:val="2"/>
      <w:numFmt w:val="decimal"/>
      <w:lvlText w:val="Section %1."/>
      <w:lvlJc w:val="left"/>
      <w:pPr>
        <w:ind w:left="1800" w:hanging="180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0996050"/>
    <w:multiLevelType w:val="hybridMultilevel"/>
    <w:tmpl w:val="9FA4D81A"/>
    <w:lvl w:ilvl="0" w:tplc="BE122C60">
      <w:start w:val="1"/>
      <w:numFmt w:val="decimal"/>
      <w:lvlText w:val="%1."/>
      <w:lvlJc w:val="left"/>
      <w:pPr>
        <w:ind w:left="720" w:hanging="360"/>
      </w:pPr>
      <w:rPr>
        <w:rFonts w:hint="default"/>
      </w:rPr>
    </w:lvl>
    <w:lvl w:ilvl="1" w:tplc="DED89B50" w:tentative="1">
      <w:start w:val="1"/>
      <w:numFmt w:val="lowerLetter"/>
      <w:lvlText w:val="%2."/>
      <w:lvlJc w:val="left"/>
      <w:pPr>
        <w:ind w:left="1440" w:hanging="360"/>
      </w:pPr>
    </w:lvl>
    <w:lvl w:ilvl="2" w:tplc="EDA09B58" w:tentative="1">
      <w:start w:val="1"/>
      <w:numFmt w:val="lowerRoman"/>
      <w:lvlText w:val="%3."/>
      <w:lvlJc w:val="right"/>
      <w:pPr>
        <w:ind w:left="2160" w:hanging="180"/>
      </w:pPr>
    </w:lvl>
    <w:lvl w:ilvl="3" w:tplc="EAC4EB34" w:tentative="1">
      <w:start w:val="1"/>
      <w:numFmt w:val="decimal"/>
      <w:lvlText w:val="%4."/>
      <w:lvlJc w:val="left"/>
      <w:pPr>
        <w:ind w:left="2880" w:hanging="360"/>
      </w:pPr>
    </w:lvl>
    <w:lvl w:ilvl="4" w:tplc="CFF6CD2A" w:tentative="1">
      <w:start w:val="1"/>
      <w:numFmt w:val="lowerLetter"/>
      <w:lvlText w:val="%5."/>
      <w:lvlJc w:val="left"/>
      <w:pPr>
        <w:ind w:left="3600" w:hanging="360"/>
      </w:pPr>
    </w:lvl>
    <w:lvl w:ilvl="5" w:tplc="767E63F8" w:tentative="1">
      <w:start w:val="1"/>
      <w:numFmt w:val="lowerRoman"/>
      <w:lvlText w:val="%6."/>
      <w:lvlJc w:val="right"/>
      <w:pPr>
        <w:ind w:left="4320" w:hanging="180"/>
      </w:pPr>
    </w:lvl>
    <w:lvl w:ilvl="6" w:tplc="9DE4E090" w:tentative="1">
      <w:start w:val="1"/>
      <w:numFmt w:val="decimal"/>
      <w:lvlText w:val="%7."/>
      <w:lvlJc w:val="left"/>
      <w:pPr>
        <w:ind w:left="5040" w:hanging="360"/>
      </w:pPr>
    </w:lvl>
    <w:lvl w:ilvl="7" w:tplc="8D2EAC32" w:tentative="1">
      <w:start w:val="1"/>
      <w:numFmt w:val="lowerLetter"/>
      <w:lvlText w:val="%8."/>
      <w:lvlJc w:val="left"/>
      <w:pPr>
        <w:ind w:left="5760" w:hanging="360"/>
      </w:pPr>
    </w:lvl>
    <w:lvl w:ilvl="8" w:tplc="8DA8DB90" w:tentative="1">
      <w:start w:val="1"/>
      <w:numFmt w:val="lowerRoman"/>
      <w:lvlText w:val="%9."/>
      <w:lvlJc w:val="right"/>
      <w:pPr>
        <w:ind w:left="6480" w:hanging="180"/>
      </w:pPr>
    </w:lvl>
  </w:abstractNum>
  <w:abstractNum w:abstractNumId="34" w15:restartNumberingAfterBreak="0">
    <w:nsid w:val="73F544A2"/>
    <w:multiLevelType w:val="hybridMultilevel"/>
    <w:tmpl w:val="458EE87A"/>
    <w:lvl w:ilvl="0" w:tplc="76D2BD0C">
      <w:start w:val="1"/>
      <w:numFmt w:val="decimal"/>
      <w:lvlText w:val="%1."/>
      <w:lvlJc w:val="left"/>
      <w:pPr>
        <w:ind w:left="720" w:hanging="360"/>
      </w:pPr>
      <w:rPr>
        <w:rFonts w:hint="default"/>
        <w:sz w:val="22"/>
        <w:szCs w:val="22"/>
      </w:rPr>
    </w:lvl>
    <w:lvl w:ilvl="1" w:tplc="F57C31B4" w:tentative="1">
      <w:start w:val="1"/>
      <w:numFmt w:val="lowerLetter"/>
      <w:lvlText w:val="%2."/>
      <w:lvlJc w:val="left"/>
      <w:pPr>
        <w:ind w:left="1440" w:hanging="360"/>
      </w:pPr>
    </w:lvl>
    <w:lvl w:ilvl="2" w:tplc="24961AC6" w:tentative="1">
      <w:start w:val="1"/>
      <w:numFmt w:val="lowerRoman"/>
      <w:lvlText w:val="%3."/>
      <w:lvlJc w:val="right"/>
      <w:pPr>
        <w:ind w:left="2160" w:hanging="180"/>
      </w:pPr>
    </w:lvl>
    <w:lvl w:ilvl="3" w:tplc="7020E3B4" w:tentative="1">
      <w:start w:val="1"/>
      <w:numFmt w:val="decimal"/>
      <w:lvlText w:val="%4."/>
      <w:lvlJc w:val="left"/>
      <w:pPr>
        <w:ind w:left="2880" w:hanging="360"/>
      </w:pPr>
    </w:lvl>
    <w:lvl w:ilvl="4" w:tplc="F7C2742A" w:tentative="1">
      <w:start w:val="1"/>
      <w:numFmt w:val="lowerLetter"/>
      <w:lvlText w:val="%5."/>
      <w:lvlJc w:val="left"/>
      <w:pPr>
        <w:ind w:left="3600" w:hanging="360"/>
      </w:pPr>
    </w:lvl>
    <w:lvl w:ilvl="5" w:tplc="0756D1A6" w:tentative="1">
      <w:start w:val="1"/>
      <w:numFmt w:val="lowerRoman"/>
      <w:lvlText w:val="%6."/>
      <w:lvlJc w:val="right"/>
      <w:pPr>
        <w:ind w:left="4320" w:hanging="180"/>
      </w:pPr>
    </w:lvl>
    <w:lvl w:ilvl="6" w:tplc="4768C99C" w:tentative="1">
      <w:start w:val="1"/>
      <w:numFmt w:val="decimal"/>
      <w:lvlText w:val="%7."/>
      <w:lvlJc w:val="left"/>
      <w:pPr>
        <w:ind w:left="5040" w:hanging="360"/>
      </w:pPr>
    </w:lvl>
    <w:lvl w:ilvl="7" w:tplc="F4A4C226" w:tentative="1">
      <w:start w:val="1"/>
      <w:numFmt w:val="lowerLetter"/>
      <w:lvlText w:val="%8."/>
      <w:lvlJc w:val="left"/>
      <w:pPr>
        <w:ind w:left="5760" w:hanging="360"/>
      </w:pPr>
    </w:lvl>
    <w:lvl w:ilvl="8" w:tplc="AFD64FC0" w:tentative="1">
      <w:start w:val="1"/>
      <w:numFmt w:val="lowerRoman"/>
      <w:lvlText w:val="%9."/>
      <w:lvlJc w:val="right"/>
      <w:pPr>
        <w:ind w:left="6480" w:hanging="180"/>
      </w:pPr>
    </w:lvl>
  </w:abstractNum>
  <w:abstractNum w:abstractNumId="35" w15:restartNumberingAfterBreak="0">
    <w:nsid w:val="77C2316D"/>
    <w:multiLevelType w:val="hybridMultilevel"/>
    <w:tmpl w:val="2E7C91AA"/>
    <w:lvl w:ilvl="0" w:tplc="659EC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50347"/>
    <w:multiLevelType w:val="multilevel"/>
    <w:tmpl w:val="2B70F6A2"/>
    <w:lvl w:ilvl="0">
      <w:start w:val="1"/>
      <w:numFmt w:val="upperLetter"/>
      <w:lvlText w:val="%1."/>
      <w:lvlJc w:val="left"/>
      <w:pPr>
        <w:ind w:left="400" w:hanging="400"/>
      </w:pPr>
      <w:rPr>
        <w:rFonts w:ascii="Arial" w:eastAsia="Times New Roman" w:hAnsi="Arial" w:cs="Arial"/>
      </w:rPr>
    </w:lvl>
    <w:lvl w:ilvl="1">
      <w:start w:val="1"/>
      <w:numFmt w:val="upp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283459160">
    <w:abstractNumId w:val="22"/>
  </w:num>
  <w:num w:numId="2" w16cid:durableId="1069614581">
    <w:abstractNumId w:val="29"/>
  </w:num>
  <w:num w:numId="3" w16cid:durableId="1146439364">
    <w:abstractNumId w:val="9"/>
  </w:num>
  <w:num w:numId="4" w16cid:durableId="381363932">
    <w:abstractNumId w:val="16"/>
  </w:num>
  <w:num w:numId="5" w16cid:durableId="197816545">
    <w:abstractNumId w:val="1"/>
  </w:num>
  <w:num w:numId="6" w16cid:durableId="1136416942">
    <w:abstractNumId w:val="13"/>
  </w:num>
  <w:num w:numId="7" w16cid:durableId="1182889434">
    <w:abstractNumId w:val="31"/>
  </w:num>
  <w:num w:numId="8" w16cid:durableId="42411277">
    <w:abstractNumId w:val="10"/>
  </w:num>
  <w:num w:numId="9" w16cid:durableId="681278140">
    <w:abstractNumId w:val="27"/>
  </w:num>
  <w:num w:numId="10" w16cid:durableId="1276136373">
    <w:abstractNumId w:val="30"/>
  </w:num>
  <w:num w:numId="11" w16cid:durableId="802387160">
    <w:abstractNumId w:val="36"/>
  </w:num>
  <w:num w:numId="12" w16cid:durableId="1552304581">
    <w:abstractNumId w:val="4"/>
  </w:num>
  <w:num w:numId="13" w16cid:durableId="1492138279">
    <w:abstractNumId w:val="2"/>
  </w:num>
  <w:num w:numId="14" w16cid:durableId="996956104">
    <w:abstractNumId w:val="28"/>
  </w:num>
  <w:num w:numId="15" w16cid:durableId="1506163663">
    <w:abstractNumId w:val="11"/>
  </w:num>
  <w:num w:numId="16" w16cid:durableId="711151384">
    <w:abstractNumId w:val="12"/>
  </w:num>
  <w:num w:numId="17" w16cid:durableId="371538101">
    <w:abstractNumId w:val="26"/>
  </w:num>
  <w:num w:numId="18" w16cid:durableId="931400569">
    <w:abstractNumId w:val="26"/>
    <w:lvlOverride w:ilvl="0">
      <w:lvl w:ilvl="0">
        <w:start w:val="1"/>
        <w:numFmt w:val="decimal"/>
        <w:lvlText w:val="Section %1."/>
        <w:lvlJc w:val="left"/>
        <w:pPr>
          <w:ind w:left="1800" w:hanging="1800"/>
        </w:pPr>
        <w:rPr>
          <w:rFonts w:hint="default"/>
        </w:rPr>
      </w:lvl>
    </w:lvlOverride>
    <w:lvlOverride w:ilvl="1">
      <w:lvl w:ilvl="1">
        <w:start w:val="1"/>
        <w:numFmt w:val="decimal"/>
        <w:lvlRestart w:val="0"/>
        <w:lvlText w:val="%1.%2"/>
        <w:lvlJc w:val="left"/>
        <w:pPr>
          <w:ind w:left="360" w:hanging="360"/>
        </w:pPr>
        <w:rPr>
          <w:rFonts w:hint="default"/>
        </w:rPr>
      </w:lvl>
    </w:lvlOverride>
    <w:lvlOverride w:ilvl="2">
      <w:lvl w:ilvl="2">
        <w:start w:val="1"/>
        <w:numFmt w:val="upperLetter"/>
        <w:lvlText w:val="%3."/>
        <w:lvlJc w:val="left"/>
        <w:pPr>
          <w:ind w:left="851" w:hanging="851"/>
        </w:pPr>
        <w:rPr>
          <w:rFonts w:hint="default"/>
        </w:rPr>
      </w:lvl>
    </w:lvlOverride>
    <w:lvlOverride w:ilvl="3">
      <w:lvl w:ilvl="3">
        <w:start w:val="1"/>
        <w:numFmt w:val="decimal"/>
        <w:lvlText w:val="%1.%2.%3.%4"/>
        <w:lvlJc w:val="left"/>
        <w:pPr>
          <w:ind w:left="964" w:hanging="964"/>
        </w:pPr>
        <w:rPr>
          <w:rFonts w:hint="default"/>
        </w:rPr>
      </w:lvl>
    </w:lvlOverride>
    <w:lvlOverride w:ilvl="4">
      <w:lvl w:ilvl="4">
        <w:start w:val="1"/>
        <w:numFmt w:val="decimal"/>
        <w:lvlText w:val="%1.%2.%3.%4.%5"/>
        <w:lvlJc w:val="left"/>
        <w:pPr>
          <w:ind w:left="1191" w:hanging="1191"/>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9" w16cid:durableId="1353069951">
    <w:abstractNumId w:val="23"/>
  </w:num>
  <w:num w:numId="20" w16cid:durableId="294482990">
    <w:abstractNumId w:val="5"/>
  </w:num>
  <w:num w:numId="21" w16cid:durableId="1573931519">
    <w:abstractNumId w:val="3"/>
  </w:num>
  <w:num w:numId="22" w16cid:durableId="11736143">
    <w:abstractNumId w:val="8"/>
  </w:num>
  <w:num w:numId="23" w16cid:durableId="2111394098">
    <w:abstractNumId w:val="15"/>
  </w:num>
  <w:num w:numId="24" w16cid:durableId="1152139150">
    <w:abstractNumId w:val="21"/>
  </w:num>
  <w:num w:numId="25" w16cid:durableId="9841199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72274">
    <w:abstractNumId w:val="25"/>
  </w:num>
  <w:num w:numId="27" w16cid:durableId="1095982973">
    <w:abstractNumId w:val="32"/>
  </w:num>
  <w:num w:numId="28" w16cid:durableId="2074428606">
    <w:abstractNumId w:val="35"/>
  </w:num>
  <w:num w:numId="29" w16cid:durableId="1542549988">
    <w:abstractNumId w:val="17"/>
  </w:num>
  <w:num w:numId="30" w16cid:durableId="978650616">
    <w:abstractNumId w:val="18"/>
  </w:num>
  <w:num w:numId="31" w16cid:durableId="1363748912">
    <w:abstractNumId w:val="7"/>
  </w:num>
  <w:num w:numId="32" w16cid:durableId="1095516687">
    <w:abstractNumId w:val="34"/>
  </w:num>
  <w:num w:numId="33" w16cid:durableId="1460613785">
    <w:abstractNumId w:val="19"/>
  </w:num>
  <w:num w:numId="34" w16cid:durableId="561212120">
    <w:abstractNumId w:val="6"/>
  </w:num>
  <w:num w:numId="35" w16cid:durableId="722872476">
    <w:abstractNumId w:val="33"/>
  </w:num>
  <w:num w:numId="36" w16cid:durableId="614599272">
    <w:abstractNumId w:val="14"/>
  </w:num>
  <w:num w:numId="37" w16cid:durableId="1896047430">
    <w:abstractNumId w:val="20"/>
  </w:num>
  <w:num w:numId="38" w16cid:durableId="792332434">
    <w:abstractNumId w:val="24"/>
  </w:num>
  <w:num w:numId="39" w16cid:durableId="7104840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tzAwMLAwMjIxMjdQ0lEKTi0uzszPAykwsqwFAOM22KctAAAA"/>
  </w:docVars>
  <w:rsids>
    <w:rsidRoot w:val="0062237F"/>
    <w:rsid w:val="00000812"/>
    <w:rsid w:val="00001103"/>
    <w:rsid w:val="00001A5E"/>
    <w:rsid w:val="00001F63"/>
    <w:rsid w:val="00001F81"/>
    <w:rsid w:val="000024E8"/>
    <w:rsid w:val="0000251F"/>
    <w:rsid w:val="00002EA6"/>
    <w:rsid w:val="000038E6"/>
    <w:rsid w:val="00003C4B"/>
    <w:rsid w:val="00004B05"/>
    <w:rsid w:val="00005214"/>
    <w:rsid w:val="000060FD"/>
    <w:rsid w:val="0000628F"/>
    <w:rsid w:val="000068EE"/>
    <w:rsid w:val="00006BDC"/>
    <w:rsid w:val="00006F31"/>
    <w:rsid w:val="00007521"/>
    <w:rsid w:val="00010135"/>
    <w:rsid w:val="00010938"/>
    <w:rsid w:val="00010E41"/>
    <w:rsid w:val="00011330"/>
    <w:rsid w:val="0001181E"/>
    <w:rsid w:val="00011D58"/>
    <w:rsid w:val="00012484"/>
    <w:rsid w:val="00012DDA"/>
    <w:rsid w:val="00013819"/>
    <w:rsid w:val="00013ACE"/>
    <w:rsid w:val="0001536B"/>
    <w:rsid w:val="00015C0E"/>
    <w:rsid w:val="00016B26"/>
    <w:rsid w:val="00017D25"/>
    <w:rsid w:val="00021080"/>
    <w:rsid w:val="00021E3F"/>
    <w:rsid w:val="00023590"/>
    <w:rsid w:val="00023CB7"/>
    <w:rsid w:val="00023EF3"/>
    <w:rsid w:val="00024A66"/>
    <w:rsid w:val="00024FB3"/>
    <w:rsid w:val="00025233"/>
    <w:rsid w:val="00025DCB"/>
    <w:rsid w:val="00026F4B"/>
    <w:rsid w:val="00027776"/>
    <w:rsid w:val="00027C2B"/>
    <w:rsid w:val="0003084D"/>
    <w:rsid w:val="000308D3"/>
    <w:rsid w:val="00030C1B"/>
    <w:rsid w:val="00031624"/>
    <w:rsid w:val="00031B39"/>
    <w:rsid w:val="00031E2B"/>
    <w:rsid w:val="0003251F"/>
    <w:rsid w:val="00032DCB"/>
    <w:rsid w:val="00032FAF"/>
    <w:rsid w:val="00033186"/>
    <w:rsid w:val="00033587"/>
    <w:rsid w:val="00033E37"/>
    <w:rsid w:val="00033F06"/>
    <w:rsid w:val="00035624"/>
    <w:rsid w:val="00035876"/>
    <w:rsid w:val="00035BC9"/>
    <w:rsid w:val="000361E5"/>
    <w:rsid w:val="000375C2"/>
    <w:rsid w:val="00037CDC"/>
    <w:rsid w:val="0004000E"/>
    <w:rsid w:val="0004025C"/>
    <w:rsid w:val="0004095C"/>
    <w:rsid w:val="00040AD1"/>
    <w:rsid w:val="00040B36"/>
    <w:rsid w:val="00040DD0"/>
    <w:rsid w:val="00040E25"/>
    <w:rsid w:val="0004216D"/>
    <w:rsid w:val="00043BDA"/>
    <w:rsid w:val="00043EB0"/>
    <w:rsid w:val="000444C1"/>
    <w:rsid w:val="000445D2"/>
    <w:rsid w:val="00044AF4"/>
    <w:rsid w:val="00044E00"/>
    <w:rsid w:val="00045667"/>
    <w:rsid w:val="000457FA"/>
    <w:rsid w:val="00045AA7"/>
    <w:rsid w:val="00045B05"/>
    <w:rsid w:val="00046514"/>
    <w:rsid w:val="000467B3"/>
    <w:rsid w:val="00046A74"/>
    <w:rsid w:val="000475FF"/>
    <w:rsid w:val="0005048F"/>
    <w:rsid w:val="00051D07"/>
    <w:rsid w:val="000537F8"/>
    <w:rsid w:val="00054AD1"/>
    <w:rsid w:val="00054DF7"/>
    <w:rsid w:val="00054E4D"/>
    <w:rsid w:val="00055EA0"/>
    <w:rsid w:val="00055FAE"/>
    <w:rsid w:val="00056399"/>
    <w:rsid w:val="000563C0"/>
    <w:rsid w:val="00056613"/>
    <w:rsid w:val="000573D9"/>
    <w:rsid w:val="00057F76"/>
    <w:rsid w:val="00060050"/>
    <w:rsid w:val="00061030"/>
    <w:rsid w:val="000613F1"/>
    <w:rsid w:val="00061511"/>
    <w:rsid w:val="000618B3"/>
    <w:rsid w:val="00061D2F"/>
    <w:rsid w:val="000622A2"/>
    <w:rsid w:val="0006380D"/>
    <w:rsid w:val="0006467D"/>
    <w:rsid w:val="0006511F"/>
    <w:rsid w:val="000653EC"/>
    <w:rsid w:val="000654CD"/>
    <w:rsid w:val="00065FDF"/>
    <w:rsid w:val="00067490"/>
    <w:rsid w:val="00067A4D"/>
    <w:rsid w:val="00067B71"/>
    <w:rsid w:val="00067D12"/>
    <w:rsid w:val="00067E66"/>
    <w:rsid w:val="000709EA"/>
    <w:rsid w:val="00070AD3"/>
    <w:rsid w:val="00071B34"/>
    <w:rsid w:val="00073707"/>
    <w:rsid w:val="00073870"/>
    <w:rsid w:val="00074FDD"/>
    <w:rsid w:val="0007541D"/>
    <w:rsid w:val="00075BC2"/>
    <w:rsid w:val="00075E37"/>
    <w:rsid w:val="000763F9"/>
    <w:rsid w:val="0007643D"/>
    <w:rsid w:val="00076B0B"/>
    <w:rsid w:val="0007721B"/>
    <w:rsid w:val="00077414"/>
    <w:rsid w:val="0008016D"/>
    <w:rsid w:val="00080D33"/>
    <w:rsid w:val="00080E30"/>
    <w:rsid w:val="00080ED6"/>
    <w:rsid w:val="000810B6"/>
    <w:rsid w:val="00082AC8"/>
    <w:rsid w:val="000833F1"/>
    <w:rsid w:val="00083CE3"/>
    <w:rsid w:val="00083D0B"/>
    <w:rsid w:val="00083F64"/>
    <w:rsid w:val="00085828"/>
    <w:rsid w:val="00086C5D"/>
    <w:rsid w:val="00087B5D"/>
    <w:rsid w:val="00090236"/>
    <w:rsid w:val="0009092A"/>
    <w:rsid w:val="000909D7"/>
    <w:rsid w:val="00090CA3"/>
    <w:rsid w:val="00091BFF"/>
    <w:rsid w:val="00091E5C"/>
    <w:rsid w:val="0009352F"/>
    <w:rsid w:val="00093860"/>
    <w:rsid w:val="000941EB"/>
    <w:rsid w:val="00095E6C"/>
    <w:rsid w:val="000961F0"/>
    <w:rsid w:val="00096FBA"/>
    <w:rsid w:val="000975A3"/>
    <w:rsid w:val="000A0826"/>
    <w:rsid w:val="000A0B9B"/>
    <w:rsid w:val="000A1509"/>
    <w:rsid w:val="000A17C4"/>
    <w:rsid w:val="000A19B2"/>
    <w:rsid w:val="000A1A32"/>
    <w:rsid w:val="000A1FC7"/>
    <w:rsid w:val="000A261D"/>
    <w:rsid w:val="000A26F3"/>
    <w:rsid w:val="000A2BE9"/>
    <w:rsid w:val="000A302A"/>
    <w:rsid w:val="000A39AC"/>
    <w:rsid w:val="000A3E47"/>
    <w:rsid w:val="000A47A7"/>
    <w:rsid w:val="000A53D8"/>
    <w:rsid w:val="000A59F3"/>
    <w:rsid w:val="000A67F5"/>
    <w:rsid w:val="000A71BC"/>
    <w:rsid w:val="000A7E46"/>
    <w:rsid w:val="000B0008"/>
    <w:rsid w:val="000B0238"/>
    <w:rsid w:val="000B02BE"/>
    <w:rsid w:val="000B0425"/>
    <w:rsid w:val="000B07E9"/>
    <w:rsid w:val="000B1BBF"/>
    <w:rsid w:val="000B23A3"/>
    <w:rsid w:val="000B3BD6"/>
    <w:rsid w:val="000B54B8"/>
    <w:rsid w:val="000B5B24"/>
    <w:rsid w:val="000B5DF2"/>
    <w:rsid w:val="000B63AE"/>
    <w:rsid w:val="000B6BB9"/>
    <w:rsid w:val="000B73B2"/>
    <w:rsid w:val="000C07CE"/>
    <w:rsid w:val="000C1695"/>
    <w:rsid w:val="000C1BD3"/>
    <w:rsid w:val="000C23FE"/>
    <w:rsid w:val="000C26C4"/>
    <w:rsid w:val="000C339D"/>
    <w:rsid w:val="000C3447"/>
    <w:rsid w:val="000C3812"/>
    <w:rsid w:val="000C441F"/>
    <w:rsid w:val="000C4CBB"/>
    <w:rsid w:val="000C6079"/>
    <w:rsid w:val="000C6A3D"/>
    <w:rsid w:val="000C6F65"/>
    <w:rsid w:val="000C74C5"/>
    <w:rsid w:val="000D018E"/>
    <w:rsid w:val="000D08CC"/>
    <w:rsid w:val="000D1DEE"/>
    <w:rsid w:val="000D20C0"/>
    <w:rsid w:val="000D390C"/>
    <w:rsid w:val="000D3BE9"/>
    <w:rsid w:val="000D3CD2"/>
    <w:rsid w:val="000D45CE"/>
    <w:rsid w:val="000D4630"/>
    <w:rsid w:val="000D4CA9"/>
    <w:rsid w:val="000D54D3"/>
    <w:rsid w:val="000D5A5A"/>
    <w:rsid w:val="000D6D61"/>
    <w:rsid w:val="000D7038"/>
    <w:rsid w:val="000D733A"/>
    <w:rsid w:val="000E1C61"/>
    <w:rsid w:val="000E27A9"/>
    <w:rsid w:val="000E2AC3"/>
    <w:rsid w:val="000E31EE"/>
    <w:rsid w:val="000E45FE"/>
    <w:rsid w:val="000E4941"/>
    <w:rsid w:val="000E5010"/>
    <w:rsid w:val="000E5D95"/>
    <w:rsid w:val="000E5E96"/>
    <w:rsid w:val="000E60D0"/>
    <w:rsid w:val="000E642C"/>
    <w:rsid w:val="000E6662"/>
    <w:rsid w:val="000E71A8"/>
    <w:rsid w:val="000E72E9"/>
    <w:rsid w:val="000E7315"/>
    <w:rsid w:val="000E7326"/>
    <w:rsid w:val="000F1938"/>
    <w:rsid w:val="000F1A74"/>
    <w:rsid w:val="000F1B97"/>
    <w:rsid w:val="000F21FD"/>
    <w:rsid w:val="000F3494"/>
    <w:rsid w:val="000F3A72"/>
    <w:rsid w:val="000F3BE1"/>
    <w:rsid w:val="000F3F4D"/>
    <w:rsid w:val="000F44EE"/>
    <w:rsid w:val="000F4668"/>
    <w:rsid w:val="000F492D"/>
    <w:rsid w:val="000F4C61"/>
    <w:rsid w:val="000F4CED"/>
    <w:rsid w:val="000F5212"/>
    <w:rsid w:val="000F5565"/>
    <w:rsid w:val="000F657E"/>
    <w:rsid w:val="0010002A"/>
    <w:rsid w:val="0010078C"/>
    <w:rsid w:val="0010089F"/>
    <w:rsid w:val="00102B22"/>
    <w:rsid w:val="00104BD3"/>
    <w:rsid w:val="00105559"/>
    <w:rsid w:val="001055AC"/>
    <w:rsid w:val="00105D21"/>
    <w:rsid w:val="00107CFB"/>
    <w:rsid w:val="0011086C"/>
    <w:rsid w:val="00110B7F"/>
    <w:rsid w:val="00110F0A"/>
    <w:rsid w:val="00111537"/>
    <w:rsid w:val="0011182A"/>
    <w:rsid w:val="00111FDA"/>
    <w:rsid w:val="00112BF7"/>
    <w:rsid w:val="00112DE1"/>
    <w:rsid w:val="001135A2"/>
    <w:rsid w:val="00113A67"/>
    <w:rsid w:val="0011479A"/>
    <w:rsid w:val="001148A0"/>
    <w:rsid w:val="00114B3F"/>
    <w:rsid w:val="00117143"/>
    <w:rsid w:val="0011762F"/>
    <w:rsid w:val="001178F6"/>
    <w:rsid w:val="001214E7"/>
    <w:rsid w:val="001215DF"/>
    <w:rsid w:val="00122411"/>
    <w:rsid w:val="00122703"/>
    <w:rsid w:val="001232F4"/>
    <w:rsid w:val="00123FB3"/>
    <w:rsid w:val="001249ED"/>
    <w:rsid w:val="00124B68"/>
    <w:rsid w:val="00124D6E"/>
    <w:rsid w:val="001256F3"/>
    <w:rsid w:val="001260A5"/>
    <w:rsid w:val="00126159"/>
    <w:rsid w:val="001263EE"/>
    <w:rsid w:val="001269AB"/>
    <w:rsid w:val="001274DE"/>
    <w:rsid w:val="00127C84"/>
    <w:rsid w:val="00127F08"/>
    <w:rsid w:val="0013055B"/>
    <w:rsid w:val="001309F8"/>
    <w:rsid w:val="00130C33"/>
    <w:rsid w:val="00131451"/>
    <w:rsid w:val="0013191C"/>
    <w:rsid w:val="001321A2"/>
    <w:rsid w:val="00132889"/>
    <w:rsid w:val="001346F6"/>
    <w:rsid w:val="00134788"/>
    <w:rsid w:val="00134DF2"/>
    <w:rsid w:val="001353E2"/>
    <w:rsid w:val="001354A8"/>
    <w:rsid w:val="00135B5D"/>
    <w:rsid w:val="00135BA4"/>
    <w:rsid w:val="001368FC"/>
    <w:rsid w:val="00137209"/>
    <w:rsid w:val="0014117E"/>
    <w:rsid w:val="001417E7"/>
    <w:rsid w:val="00141FA2"/>
    <w:rsid w:val="0014217E"/>
    <w:rsid w:val="00142430"/>
    <w:rsid w:val="00142FA4"/>
    <w:rsid w:val="00145111"/>
    <w:rsid w:val="0014658F"/>
    <w:rsid w:val="001465A4"/>
    <w:rsid w:val="00147046"/>
    <w:rsid w:val="001474D1"/>
    <w:rsid w:val="001474E5"/>
    <w:rsid w:val="00147B58"/>
    <w:rsid w:val="00150A64"/>
    <w:rsid w:val="00150CD2"/>
    <w:rsid w:val="00150E24"/>
    <w:rsid w:val="0015180A"/>
    <w:rsid w:val="00151BD2"/>
    <w:rsid w:val="00151F98"/>
    <w:rsid w:val="00152086"/>
    <w:rsid w:val="00152834"/>
    <w:rsid w:val="00152B42"/>
    <w:rsid w:val="001547E0"/>
    <w:rsid w:val="00154FA6"/>
    <w:rsid w:val="00155536"/>
    <w:rsid w:val="00155994"/>
    <w:rsid w:val="00156028"/>
    <w:rsid w:val="00156140"/>
    <w:rsid w:val="001566BA"/>
    <w:rsid w:val="00156C6C"/>
    <w:rsid w:val="001577E6"/>
    <w:rsid w:val="0016147F"/>
    <w:rsid w:val="00161516"/>
    <w:rsid w:val="00162233"/>
    <w:rsid w:val="001628DD"/>
    <w:rsid w:val="00163726"/>
    <w:rsid w:val="00164B83"/>
    <w:rsid w:val="001665F3"/>
    <w:rsid w:val="0016733D"/>
    <w:rsid w:val="0016782C"/>
    <w:rsid w:val="00170B2E"/>
    <w:rsid w:val="001711DE"/>
    <w:rsid w:val="00171299"/>
    <w:rsid w:val="001714F2"/>
    <w:rsid w:val="00171EE8"/>
    <w:rsid w:val="001729AA"/>
    <w:rsid w:val="00172D49"/>
    <w:rsid w:val="00173384"/>
    <w:rsid w:val="001735A6"/>
    <w:rsid w:val="00173D3A"/>
    <w:rsid w:val="0017471D"/>
    <w:rsid w:val="00174C3E"/>
    <w:rsid w:val="00175304"/>
    <w:rsid w:val="001753FE"/>
    <w:rsid w:val="0017562A"/>
    <w:rsid w:val="00175BE1"/>
    <w:rsid w:val="00175E65"/>
    <w:rsid w:val="001773AC"/>
    <w:rsid w:val="0018182D"/>
    <w:rsid w:val="001821A6"/>
    <w:rsid w:val="00182CF4"/>
    <w:rsid w:val="00183176"/>
    <w:rsid w:val="001841C4"/>
    <w:rsid w:val="00184236"/>
    <w:rsid w:val="00184526"/>
    <w:rsid w:val="001845DA"/>
    <w:rsid w:val="0018609C"/>
    <w:rsid w:val="0018669A"/>
    <w:rsid w:val="00187546"/>
    <w:rsid w:val="00187984"/>
    <w:rsid w:val="00191539"/>
    <w:rsid w:val="00191AFE"/>
    <w:rsid w:val="001926BE"/>
    <w:rsid w:val="00192C4F"/>
    <w:rsid w:val="00193F0D"/>
    <w:rsid w:val="00194116"/>
    <w:rsid w:val="001945A5"/>
    <w:rsid w:val="001956D8"/>
    <w:rsid w:val="00195879"/>
    <w:rsid w:val="00195F98"/>
    <w:rsid w:val="00196B05"/>
    <w:rsid w:val="00196F13"/>
    <w:rsid w:val="00196F14"/>
    <w:rsid w:val="0019703A"/>
    <w:rsid w:val="00197446"/>
    <w:rsid w:val="00197B52"/>
    <w:rsid w:val="001A0989"/>
    <w:rsid w:val="001A0EE2"/>
    <w:rsid w:val="001A0F04"/>
    <w:rsid w:val="001A1101"/>
    <w:rsid w:val="001A1AEE"/>
    <w:rsid w:val="001A206A"/>
    <w:rsid w:val="001A2092"/>
    <w:rsid w:val="001A2FC2"/>
    <w:rsid w:val="001A349F"/>
    <w:rsid w:val="001A3AA1"/>
    <w:rsid w:val="001A3E99"/>
    <w:rsid w:val="001A639D"/>
    <w:rsid w:val="001A63C0"/>
    <w:rsid w:val="001A6527"/>
    <w:rsid w:val="001A75D0"/>
    <w:rsid w:val="001A79D6"/>
    <w:rsid w:val="001B0A88"/>
    <w:rsid w:val="001B108A"/>
    <w:rsid w:val="001B1619"/>
    <w:rsid w:val="001B16F8"/>
    <w:rsid w:val="001B1914"/>
    <w:rsid w:val="001B2372"/>
    <w:rsid w:val="001B2B48"/>
    <w:rsid w:val="001B2E91"/>
    <w:rsid w:val="001B3298"/>
    <w:rsid w:val="001B3B06"/>
    <w:rsid w:val="001B4001"/>
    <w:rsid w:val="001B46CD"/>
    <w:rsid w:val="001B4B46"/>
    <w:rsid w:val="001B4E06"/>
    <w:rsid w:val="001B5C07"/>
    <w:rsid w:val="001B6362"/>
    <w:rsid w:val="001B7581"/>
    <w:rsid w:val="001B7B40"/>
    <w:rsid w:val="001B7E47"/>
    <w:rsid w:val="001C082B"/>
    <w:rsid w:val="001C0999"/>
    <w:rsid w:val="001C14E3"/>
    <w:rsid w:val="001C1934"/>
    <w:rsid w:val="001C215B"/>
    <w:rsid w:val="001C2285"/>
    <w:rsid w:val="001C229B"/>
    <w:rsid w:val="001C23F6"/>
    <w:rsid w:val="001C284D"/>
    <w:rsid w:val="001C2978"/>
    <w:rsid w:val="001C297D"/>
    <w:rsid w:val="001C369D"/>
    <w:rsid w:val="001C3A44"/>
    <w:rsid w:val="001C45C0"/>
    <w:rsid w:val="001C4BBE"/>
    <w:rsid w:val="001C508A"/>
    <w:rsid w:val="001C539B"/>
    <w:rsid w:val="001C58E0"/>
    <w:rsid w:val="001C5A8A"/>
    <w:rsid w:val="001C6280"/>
    <w:rsid w:val="001C6283"/>
    <w:rsid w:val="001C6922"/>
    <w:rsid w:val="001C76AA"/>
    <w:rsid w:val="001C7C2F"/>
    <w:rsid w:val="001D0D51"/>
    <w:rsid w:val="001D104E"/>
    <w:rsid w:val="001D12BD"/>
    <w:rsid w:val="001D2844"/>
    <w:rsid w:val="001D2B59"/>
    <w:rsid w:val="001D392F"/>
    <w:rsid w:val="001D4A66"/>
    <w:rsid w:val="001D66EF"/>
    <w:rsid w:val="001D6D0A"/>
    <w:rsid w:val="001D71A5"/>
    <w:rsid w:val="001D75B5"/>
    <w:rsid w:val="001D7EB1"/>
    <w:rsid w:val="001D7FBF"/>
    <w:rsid w:val="001E044C"/>
    <w:rsid w:val="001E08BE"/>
    <w:rsid w:val="001E242F"/>
    <w:rsid w:val="001E2A5B"/>
    <w:rsid w:val="001E2FFA"/>
    <w:rsid w:val="001E34C7"/>
    <w:rsid w:val="001E4644"/>
    <w:rsid w:val="001E488E"/>
    <w:rsid w:val="001E591C"/>
    <w:rsid w:val="001E5E95"/>
    <w:rsid w:val="001E60C4"/>
    <w:rsid w:val="001E708D"/>
    <w:rsid w:val="001F02C6"/>
    <w:rsid w:val="001F0825"/>
    <w:rsid w:val="001F0962"/>
    <w:rsid w:val="001F135E"/>
    <w:rsid w:val="001F1BB2"/>
    <w:rsid w:val="001F1E0B"/>
    <w:rsid w:val="001F1F7F"/>
    <w:rsid w:val="001F2BF9"/>
    <w:rsid w:val="001F2CAB"/>
    <w:rsid w:val="001F2E84"/>
    <w:rsid w:val="001F3125"/>
    <w:rsid w:val="001F3ACE"/>
    <w:rsid w:val="001F4B8D"/>
    <w:rsid w:val="001F4E54"/>
    <w:rsid w:val="001F5BA7"/>
    <w:rsid w:val="001F6C7F"/>
    <w:rsid w:val="001F6EFD"/>
    <w:rsid w:val="001F750C"/>
    <w:rsid w:val="001F7FFA"/>
    <w:rsid w:val="002003B2"/>
    <w:rsid w:val="00200EA0"/>
    <w:rsid w:val="002010FA"/>
    <w:rsid w:val="00201E52"/>
    <w:rsid w:val="00202DBF"/>
    <w:rsid w:val="00202DF7"/>
    <w:rsid w:val="002031F6"/>
    <w:rsid w:val="002037C2"/>
    <w:rsid w:val="00203C27"/>
    <w:rsid w:val="00203F55"/>
    <w:rsid w:val="00203FD7"/>
    <w:rsid w:val="0020415E"/>
    <w:rsid w:val="00204CB2"/>
    <w:rsid w:val="002057ED"/>
    <w:rsid w:val="00205A0B"/>
    <w:rsid w:val="0020630C"/>
    <w:rsid w:val="00207675"/>
    <w:rsid w:val="00207A1A"/>
    <w:rsid w:val="00210240"/>
    <w:rsid w:val="0021087D"/>
    <w:rsid w:val="00210C0D"/>
    <w:rsid w:val="00211A7B"/>
    <w:rsid w:val="00211B92"/>
    <w:rsid w:val="002138FE"/>
    <w:rsid w:val="00213E4C"/>
    <w:rsid w:val="0021553D"/>
    <w:rsid w:val="0021587E"/>
    <w:rsid w:val="00215D1E"/>
    <w:rsid w:val="0021617C"/>
    <w:rsid w:val="002170A9"/>
    <w:rsid w:val="0022015D"/>
    <w:rsid w:val="002211B1"/>
    <w:rsid w:val="00221476"/>
    <w:rsid w:val="002225FF"/>
    <w:rsid w:val="002234D6"/>
    <w:rsid w:val="00223BD5"/>
    <w:rsid w:val="00223E87"/>
    <w:rsid w:val="002245B8"/>
    <w:rsid w:val="00224784"/>
    <w:rsid w:val="002248A4"/>
    <w:rsid w:val="002249A2"/>
    <w:rsid w:val="00224A47"/>
    <w:rsid w:val="00224EA0"/>
    <w:rsid w:val="00225079"/>
    <w:rsid w:val="00225146"/>
    <w:rsid w:val="00225369"/>
    <w:rsid w:val="00225422"/>
    <w:rsid w:val="00225523"/>
    <w:rsid w:val="00225CD7"/>
    <w:rsid w:val="00226AF9"/>
    <w:rsid w:val="00226EED"/>
    <w:rsid w:val="00227687"/>
    <w:rsid w:val="00230951"/>
    <w:rsid w:val="00230D4F"/>
    <w:rsid w:val="002318B1"/>
    <w:rsid w:val="002328CF"/>
    <w:rsid w:val="00232E32"/>
    <w:rsid w:val="002332D6"/>
    <w:rsid w:val="00233B54"/>
    <w:rsid w:val="00233BE6"/>
    <w:rsid w:val="0023413C"/>
    <w:rsid w:val="002345BF"/>
    <w:rsid w:val="00234746"/>
    <w:rsid w:val="002351C4"/>
    <w:rsid w:val="00236467"/>
    <w:rsid w:val="00236962"/>
    <w:rsid w:val="00236A23"/>
    <w:rsid w:val="0023775F"/>
    <w:rsid w:val="0023782A"/>
    <w:rsid w:val="00237AD5"/>
    <w:rsid w:val="0024041B"/>
    <w:rsid w:val="0024114E"/>
    <w:rsid w:val="0024217B"/>
    <w:rsid w:val="00242248"/>
    <w:rsid w:val="00242408"/>
    <w:rsid w:val="002433CB"/>
    <w:rsid w:val="00243A05"/>
    <w:rsid w:val="0024466C"/>
    <w:rsid w:val="002449C0"/>
    <w:rsid w:val="00245433"/>
    <w:rsid w:val="002466EF"/>
    <w:rsid w:val="00247026"/>
    <w:rsid w:val="0024744B"/>
    <w:rsid w:val="002476E2"/>
    <w:rsid w:val="0025042D"/>
    <w:rsid w:val="00250714"/>
    <w:rsid w:val="00250DAB"/>
    <w:rsid w:val="00251201"/>
    <w:rsid w:val="002518F6"/>
    <w:rsid w:val="00251DEA"/>
    <w:rsid w:val="002522ED"/>
    <w:rsid w:val="00253095"/>
    <w:rsid w:val="00253239"/>
    <w:rsid w:val="00253C6E"/>
    <w:rsid w:val="0025469D"/>
    <w:rsid w:val="0025653A"/>
    <w:rsid w:val="0025658B"/>
    <w:rsid w:val="00256754"/>
    <w:rsid w:val="002569C0"/>
    <w:rsid w:val="00256CB1"/>
    <w:rsid w:val="002571E0"/>
    <w:rsid w:val="002573DE"/>
    <w:rsid w:val="002576EF"/>
    <w:rsid w:val="002576F8"/>
    <w:rsid w:val="0025787F"/>
    <w:rsid w:val="00257A59"/>
    <w:rsid w:val="00257F44"/>
    <w:rsid w:val="0026018E"/>
    <w:rsid w:val="00260374"/>
    <w:rsid w:val="0026062D"/>
    <w:rsid w:val="002607EB"/>
    <w:rsid w:val="0026123C"/>
    <w:rsid w:val="0026133E"/>
    <w:rsid w:val="002620A6"/>
    <w:rsid w:val="00262142"/>
    <w:rsid w:val="0026285C"/>
    <w:rsid w:val="0026369E"/>
    <w:rsid w:val="00264046"/>
    <w:rsid w:val="0026432D"/>
    <w:rsid w:val="00264456"/>
    <w:rsid w:val="002647DC"/>
    <w:rsid w:val="002648E2"/>
    <w:rsid w:val="00264925"/>
    <w:rsid w:val="00264B1A"/>
    <w:rsid w:val="00264FEA"/>
    <w:rsid w:val="00266371"/>
    <w:rsid w:val="00266813"/>
    <w:rsid w:val="00266D15"/>
    <w:rsid w:val="00266D3C"/>
    <w:rsid w:val="00267B3F"/>
    <w:rsid w:val="00267C28"/>
    <w:rsid w:val="00267DB0"/>
    <w:rsid w:val="00267EE6"/>
    <w:rsid w:val="00270965"/>
    <w:rsid w:val="002710C4"/>
    <w:rsid w:val="0027149F"/>
    <w:rsid w:val="00271B8B"/>
    <w:rsid w:val="00272108"/>
    <w:rsid w:val="00272518"/>
    <w:rsid w:val="0027255C"/>
    <w:rsid w:val="00272930"/>
    <w:rsid w:val="0027354E"/>
    <w:rsid w:val="00274744"/>
    <w:rsid w:val="00274DD8"/>
    <w:rsid w:val="002755E6"/>
    <w:rsid w:val="00275A0F"/>
    <w:rsid w:val="002761E3"/>
    <w:rsid w:val="002768DC"/>
    <w:rsid w:val="00276F83"/>
    <w:rsid w:val="0027714F"/>
    <w:rsid w:val="002771FF"/>
    <w:rsid w:val="00277309"/>
    <w:rsid w:val="00277AF9"/>
    <w:rsid w:val="002810C2"/>
    <w:rsid w:val="002813AB"/>
    <w:rsid w:val="0028191A"/>
    <w:rsid w:val="002820CC"/>
    <w:rsid w:val="00282B4C"/>
    <w:rsid w:val="0028345D"/>
    <w:rsid w:val="0028391F"/>
    <w:rsid w:val="00283BFC"/>
    <w:rsid w:val="00283DD8"/>
    <w:rsid w:val="00284B1A"/>
    <w:rsid w:val="00285053"/>
    <w:rsid w:val="002853DE"/>
    <w:rsid w:val="002854AF"/>
    <w:rsid w:val="00286AC0"/>
    <w:rsid w:val="00286C57"/>
    <w:rsid w:val="00286EE2"/>
    <w:rsid w:val="00287414"/>
    <w:rsid w:val="00287C17"/>
    <w:rsid w:val="002901CC"/>
    <w:rsid w:val="002901F9"/>
    <w:rsid w:val="0029040A"/>
    <w:rsid w:val="002907E4"/>
    <w:rsid w:val="0029169D"/>
    <w:rsid w:val="00292510"/>
    <w:rsid w:val="0029440E"/>
    <w:rsid w:val="00295483"/>
    <w:rsid w:val="0029582D"/>
    <w:rsid w:val="00296383"/>
    <w:rsid w:val="0029653C"/>
    <w:rsid w:val="0029686E"/>
    <w:rsid w:val="002971DA"/>
    <w:rsid w:val="00297301"/>
    <w:rsid w:val="002A00FC"/>
    <w:rsid w:val="002A0710"/>
    <w:rsid w:val="002A14F2"/>
    <w:rsid w:val="002A1AC1"/>
    <w:rsid w:val="002A1CD7"/>
    <w:rsid w:val="002A2263"/>
    <w:rsid w:val="002A2268"/>
    <w:rsid w:val="002A264F"/>
    <w:rsid w:val="002A26FF"/>
    <w:rsid w:val="002A2749"/>
    <w:rsid w:val="002A3DE5"/>
    <w:rsid w:val="002A406E"/>
    <w:rsid w:val="002A4548"/>
    <w:rsid w:val="002A5848"/>
    <w:rsid w:val="002A5D41"/>
    <w:rsid w:val="002A6040"/>
    <w:rsid w:val="002A6367"/>
    <w:rsid w:val="002A6B51"/>
    <w:rsid w:val="002A6C5B"/>
    <w:rsid w:val="002A6D5D"/>
    <w:rsid w:val="002A7079"/>
    <w:rsid w:val="002A76FD"/>
    <w:rsid w:val="002A77D8"/>
    <w:rsid w:val="002A7880"/>
    <w:rsid w:val="002B097D"/>
    <w:rsid w:val="002B1CC6"/>
    <w:rsid w:val="002B22BA"/>
    <w:rsid w:val="002B22D8"/>
    <w:rsid w:val="002B2C09"/>
    <w:rsid w:val="002B3AB5"/>
    <w:rsid w:val="002B3C89"/>
    <w:rsid w:val="002B3FFD"/>
    <w:rsid w:val="002B49DE"/>
    <w:rsid w:val="002B61DC"/>
    <w:rsid w:val="002B67A0"/>
    <w:rsid w:val="002B7235"/>
    <w:rsid w:val="002B732E"/>
    <w:rsid w:val="002B7735"/>
    <w:rsid w:val="002B79A8"/>
    <w:rsid w:val="002B7C1F"/>
    <w:rsid w:val="002C07AF"/>
    <w:rsid w:val="002C0857"/>
    <w:rsid w:val="002C0BDD"/>
    <w:rsid w:val="002C15DB"/>
    <w:rsid w:val="002C282D"/>
    <w:rsid w:val="002C2C6D"/>
    <w:rsid w:val="002C4C43"/>
    <w:rsid w:val="002C4CA0"/>
    <w:rsid w:val="002C4CAA"/>
    <w:rsid w:val="002C4F5C"/>
    <w:rsid w:val="002C4FD5"/>
    <w:rsid w:val="002C55AB"/>
    <w:rsid w:val="002C55B5"/>
    <w:rsid w:val="002C5893"/>
    <w:rsid w:val="002C62E1"/>
    <w:rsid w:val="002C6453"/>
    <w:rsid w:val="002C6882"/>
    <w:rsid w:val="002C6A09"/>
    <w:rsid w:val="002C6F1F"/>
    <w:rsid w:val="002C7282"/>
    <w:rsid w:val="002C7702"/>
    <w:rsid w:val="002C7908"/>
    <w:rsid w:val="002C7FA2"/>
    <w:rsid w:val="002D03A1"/>
    <w:rsid w:val="002D054B"/>
    <w:rsid w:val="002D065A"/>
    <w:rsid w:val="002D066A"/>
    <w:rsid w:val="002D08E0"/>
    <w:rsid w:val="002D11EE"/>
    <w:rsid w:val="002D12DA"/>
    <w:rsid w:val="002D1613"/>
    <w:rsid w:val="002D1ED5"/>
    <w:rsid w:val="002D3C6F"/>
    <w:rsid w:val="002D4B2D"/>
    <w:rsid w:val="002D4CBB"/>
    <w:rsid w:val="002D6366"/>
    <w:rsid w:val="002D662C"/>
    <w:rsid w:val="002D679E"/>
    <w:rsid w:val="002D6916"/>
    <w:rsid w:val="002D7318"/>
    <w:rsid w:val="002D7724"/>
    <w:rsid w:val="002D7DBE"/>
    <w:rsid w:val="002E1CD6"/>
    <w:rsid w:val="002E28A5"/>
    <w:rsid w:val="002E2966"/>
    <w:rsid w:val="002E2AC0"/>
    <w:rsid w:val="002E2B00"/>
    <w:rsid w:val="002E2CA3"/>
    <w:rsid w:val="002E3CBF"/>
    <w:rsid w:val="002E3D84"/>
    <w:rsid w:val="002E4046"/>
    <w:rsid w:val="002E4E80"/>
    <w:rsid w:val="002E5BCF"/>
    <w:rsid w:val="002E632B"/>
    <w:rsid w:val="002E7619"/>
    <w:rsid w:val="002E7791"/>
    <w:rsid w:val="002E7AAA"/>
    <w:rsid w:val="002E7E11"/>
    <w:rsid w:val="002F0D8D"/>
    <w:rsid w:val="002F225D"/>
    <w:rsid w:val="002F261D"/>
    <w:rsid w:val="002F3533"/>
    <w:rsid w:val="002F35A7"/>
    <w:rsid w:val="002F3F6D"/>
    <w:rsid w:val="002F414A"/>
    <w:rsid w:val="002F48A8"/>
    <w:rsid w:val="002F4F68"/>
    <w:rsid w:val="002F539B"/>
    <w:rsid w:val="002F5792"/>
    <w:rsid w:val="002F5848"/>
    <w:rsid w:val="002F6E08"/>
    <w:rsid w:val="0030033F"/>
    <w:rsid w:val="00303128"/>
    <w:rsid w:val="003033E4"/>
    <w:rsid w:val="003037D4"/>
    <w:rsid w:val="00303C43"/>
    <w:rsid w:val="00303FBA"/>
    <w:rsid w:val="00304465"/>
    <w:rsid w:val="00305427"/>
    <w:rsid w:val="00307C14"/>
    <w:rsid w:val="0031089C"/>
    <w:rsid w:val="00310D12"/>
    <w:rsid w:val="0031113A"/>
    <w:rsid w:val="00311C46"/>
    <w:rsid w:val="00311CBA"/>
    <w:rsid w:val="00311F36"/>
    <w:rsid w:val="00312275"/>
    <w:rsid w:val="0031246D"/>
    <w:rsid w:val="00312ACB"/>
    <w:rsid w:val="00312B74"/>
    <w:rsid w:val="00312B95"/>
    <w:rsid w:val="003130C7"/>
    <w:rsid w:val="003137A6"/>
    <w:rsid w:val="0031426B"/>
    <w:rsid w:val="0031457C"/>
    <w:rsid w:val="00314A52"/>
    <w:rsid w:val="00314FBB"/>
    <w:rsid w:val="00315502"/>
    <w:rsid w:val="0031563A"/>
    <w:rsid w:val="00315CA0"/>
    <w:rsid w:val="00316F0D"/>
    <w:rsid w:val="00317C07"/>
    <w:rsid w:val="00320371"/>
    <w:rsid w:val="003204BD"/>
    <w:rsid w:val="00320D36"/>
    <w:rsid w:val="00322862"/>
    <w:rsid w:val="00323500"/>
    <w:rsid w:val="003237BE"/>
    <w:rsid w:val="003237DF"/>
    <w:rsid w:val="00323AB1"/>
    <w:rsid w:val="00324326"/>
    <w:rsid w:val="00324614"/>
    <w:rsid w:val="0032474B"/>
    <w:rsid w:val="00324B3C"/>
    <w:rsid w:val="00324CFB"/>
    <w:rsid w:val="0032523F"/>
    <w:rsid w:val="0032546F"/>
    <w:rsid w:val="00325835"/>
    <w:rsid w:val="003270A7"/>
    <w:rsid w:val="00327973"/>
    <w:rsid w:val="00327A10"/>
    <w:rsid w:val="00330001"/>
    <w:rsid w:val="0033009E"/>
    <w:rsid w:val="003301DC"/>
    <w:rsid w:val="0033249B"/>
    <w:rsid w:val="0033251B"/>
    <w:rsid w:val="003325F3"/>
    <w:rsid w:val="00332A8A"/>
    <w:rsid w:val="0033326A"/>
    <w:rsid w:val="00333E93"/>
    <w:rsid w:val="0033688D"/>
    <w:rsid w:val="00337ACF"/>
    <w:rsid w:val="00337FF8"/>
    <w:rsid w:val="00340740"/>
    <w:rsid w:val="00340F7F"/>
    <w:rsid w:val="00341578"/>
    <w:rsid w:val="00341E36"/>
    <w:rsid w:val="003421D9"/>
    <w:rsid w:val="0034228C"/>
    <w:rsid w:val="0034238F"/>
    <w:rsid w:val="003427D8"/>
    <w:rsid w:val="0034291D"/>
    <w:rsid w:val="00343093"/>
    <w:rsid w:val="00343873"/>
    <w:rsid w:val="00343A9E"/>
    <w:rsid w:val="00343B47"/>
    <w:rsid w:val="003443AB"/>
    <w:rsid w:val="00344CBB"/>
    <w:rsid w:val="003455A0"/>
    <w:rsid w:val="003458F0"/>
    <w:rsid w:val="00345A35"/>
    <w:rsid w:val="00345BD2"/>
    <w:rsid w:val="00345EF8"/>
    <w:rsid w:val="00346868"/>
    <w:rsid w:val="0034764E"/>
    <w:rsid w:val="00347B0D"/>
    <w:rsid w:val="00347DBA"/>
    <w:rsid w:val="00350BFF"/>
    <w:rsid w:val="00350ECD"/>
    <w:rsid w:val="003518F2"/>
    <w:rsid w:val="00351B16"/>
    <w:rsid w:val="00351B3E"/>
    <w:rsid w:val="00351FED"/>
    <w:rsid w:val="00352094"/>
    <w:rsid w:val="00352BE2"/>
    <w:rsid w:val="00352D35"/>
    <w:rsid w:val="003531B6"/>
    <w:rsid w:val="00353B69"/>
    <w:rsid w:val="00353C47"/>
    <w:rsid w:val="00355579"/>
    <w:rsid w:val="003555BC"/>
    <w:rsid w:val="003560B7"/>
    <w:rsid w:val="003564B6"/>
    <w:rsid w:val="00356D93"/>
    <w:rsid w:val="0035712E"/>
    <w:rsid w:val="0035723F"/>
    <w:rsid w:val="0036106C"/>
    <w:rsid w:val="003612A9"/>
    <w:rsid w:val="00361C66"/>
    <w:rsid w:val="00362242"/>
    <w:rsid w:val="003627EE"/>
    <w:rsid w:val="00362800"/>
    <w:rsid w:val="00363427"/>
    <w:rsid w:val="0036357C"/>
    <w:rsid w:val="00363FD3"/>
    <w:rsid w:val="0036478D"/>
    <w:rsid w:val="003650D6"/>
    <w:rsid w:val="00365746"/>
    <w:rsid w:val="003657EC"/>
    <w:rsid w:val="0036581A"/>
    <w:rsid w:val="00365859"/>
    <w:rsid w:val="0036594E"/>
    <w:rsid w:val="0036646A"/>
    <w:rsid w:val="0036663D"/>
    <w:rsid w:val="003667D5"/>
    <w:rsid w:val="00367409"/>
    <w:rsid w:val="00367DA1"/>
    <w:rsid w:val="00370499"/>
    <w:rsid w:val="0037063F"/>
    <w:rsid w:val="00371FBB"/>
    <w:rsid w:val="003721C0"/>
    <w:rsid w:val="00372981"/>
    <w:rsid w:val="00372F06"/>
    <w:rsid w:val="0037331A"/>
    <w:rsid w:val="0037354F"/>
    <w:rsid w:val="00373B40"/>
    <w:rsid w:val="003749A4"/>
    <w:rsid w:val="00374ED7"/>
    <w:rsid w:val="00375036"/>
    <w:rsid w:val="0037575F"/>
    <w:rsid w:val="003757EB"/>
    <w:rsid w:val="0037696B"/>
    <w:rsid w:val="003801BE"/>
    <w:rsid w:val="00380854"/>
    <w:rsid w:val="00380FD5"/>
    <w:rsid w:val="003812F1"/>
    <w:rsid w:val="00381B04"/>
    <w:rsid w:val="00382373"/>
    <w:rsid w:val="0038376C"/>
    <w:rsid w:val="00383BE4"/>
    <w:rsid w:val="00383F74"/>
    <w:rsid w:val="00384A5C"/>
    <w:rsid w:val="00384E6D"/>
    <w:rsid w:val="003851E8"/>
    <w:rsid w:val="00385506"/>
    <w:rsid w:val="0038559F"/>
    <w:rsid w:val="00385D4D"/>
    <w:rsid w:val="00385F66"/>
    <w:rsid w:val="00385FDE"/>
    <w:rsid w:val="00386978"/>
    <w:rsid w:val="00390107"/>
    <w:rsid w:val="00391EDB"/>
    <w:rsid w:val="00391F24"/>
    <w:rsid w:val="003922B6"/>
    <w:rsid w:val="0039272B"/>
    <w:rsid w:val="00392865"/>
    <w:rsid w:val="00393F70"/>
    <w:rsid w:val="00394CCF"/>
    <w:rsid w:val="00394CF3"/>
    <w:rsid w:val="00394EC6"/>
    <w:rsid w:val="003950EC"/>
    <w:rsid w:val="00395269"/>
    <w:rsid w:val="00395596"/>
    <w:rsid w:val="0039586F"/>
    <w:rsid w:val="003958B0"/>
    <w:rsid w:val="00396829"/>
    <w:rsid w:val="00396B67"/>
    <w:rsid w:val="00396D72"/>
    <w:rsid w:val="003974BF"/>
    <w:rsid w:val="003975EC"/>
    <w:rsid w:val="003978A0"/>
    <w:rsid w:val="00397D50"/>
    <w:rsid w:val="003A023C"/>
    <w:rsid w:val="003A075C"/>
    <w:rsid w:val="003A202A"/>
    <w:rsid w:val="003A225D"/>
    <w:rsid w:val="003A278C"/>
    <w:rsid w:val="003A2A6A"/>
    <w:rsid w:val="003A35C9"/>
    <w:rsid w:val="003A38CB"/>
    <w:rsid w:val="003A3ABD"/>
    <w:rsid w:val="003A3B39"/>
    <w:rsid w:val="003A4544"/>
    <w:rsid w:val="003A4E5B"/>
    <w:rsid w:val="003A590B"/>
    <w:rsid w:val="003A5D77"/>
    <w:rsid w:val="003A6B96"/>
    <w:rsid w:val="003A6EBF"/>
    <w:rsid w:val="003A71E7"/>
    <w:rsid w:val="003A7326"/>
    <w:rsid w:val="003A74D6"/>
    <w:rsid w:val="003A7B67"/>
    <w:rsid w:val="003A7B70"/>
    <w:rsid w:val="003A7CD4"/>
    <w:rsid w:val="003B0486"/>
    <w:rsid w:val="003B0881"/>
    <w:rsid w:val="003B0BB7"/>
    <w:rsid w:val="003B0C43"/>
    <w:rsid w:val="003B1303"/>
    <w:rsid w:val="003B1774"/>
    <w:rsid w:val="003B1A68"/>
    <w:rsid w:val="003B2A4D"/>
    <w:rsid w:val="003B3091"/>
    <w:rsid w:val="003B36F1"/>
    <w:rsid w:val="003B44FA"/>
    <w:rsid w:val="003B5112"/>
    <w:rsid w:val="003B541F"/>
    <w:rsid w:val="003B5658"/>
    <w:rsid w:val="003B5B8B"/>
    <w:rsid w:val="003B6495"/>
    <w:rsid w:val="003B68A3"/>
    <w:rsid w:val="003B75BB"/>
    <w:rsid w:val="003C0140"/>
    <w:rsid w:val="003C01E1"/>
    <w:rsid w:val="003C0598"/>
    <w:rsid w:val="003C06CC"/>
    <w:rsid w:val="003C1727"/>
    <w:rsid w:val="003C1822"/>
    <w:rsid w:val="003C1E3D"/>
    <w:rsid w:val="003C2013"/>
    <w:rsid w:val="003C213D"/>
    <w:rsid w:val="003C305E"/>
    <w:rsid w:val="003C3230"/>
    <w:rsid w:val="003C38B7"/>
    <w:rsid w:val="003C3B5F"/>
    <w:rsid w:val="003C482F"/>
    <w:rsid w:val="003C5F73"/>
    <w:rsid w:val="003C60C1"/>
    <w:rsid w:val="003C60E7"/>
    <w:rsid w:val="003C7378"/>
    <w:rsid w:val="003C73A5"/>
    <w:rsid w:val="003C796C"/>
    <w:rsid w:val="003D1599"/>
    <w:rsid w:val="003D167F"/>
    <w:rsid w:val="003D24C9"/>
    <w:rsid w:val="003D273A"/>
    <w:rsid w:val="003D2CB2"/>
    <w:rsid w:val="003D3649"/>
    <w:rsid w:val="003D3AD4"/>
    <w:rsid w:val="003D4933"/>
    <w:rsid w:val="003D4D0D"/>
    <w:rsid w:val="003D5767"/>
    <w:rsid w:val="003D676A"/>
    <w:rsid w:val="003D69E5"/>
    <w:rsid w:val="003D77F7"/>
    <w:rsid w:val="003E013F"/>
    <w:rsid w:val="003E0A24"/>
    <w:rsid w:val="003E1A6B"/>
    <w:rsid w:val="003E1B5C"/>
    <w:rsid w:val="003E1B75"/>
    <w:rsid w:val="003E2352"/>
    <w:rsid w:val="003E26C1"/>
    <w:rsid w:val="003E2EF5"/>
    <w:rsid w:val="003E3976"/>
    <w:rsid w:val="003E3F34"/>
    <w:rsid w:val="003E41E4"/>
    <w:rsid w:val="003E5B34"/>
    <w:rsid w:val="003E6560"/>
    <w:rsid w:val="003E69CC"/>
    <w:rsid w:val="003E6B91"/>
    <w:rsid w:val="003E6D92"/>
    <w:rsid w:val="003E739A"/>
    <w:rsid w:val="003E74A2"/>
    <w:rsid w:val="003E757B"/>
    <w:rsid w:val="003E7CA8"/>
    <w:rsid w:val="003E7D4A"/>
    <w:rsid w:val="003F020C"/>
    <w:rsid w:val="003F02B0"/>
    <w:rsid w:val="003F063F"/>
    <w:rsid w:val="003F0788"/>
    <w:rsid w:val="003F12F5"/>
    <w:rsid w:val="003F2734"/>
    <w:rsid w:val="003F2799"/>
    <w:rsid w:val="003F2CFE"/>
    <w:rsid w:val="003F2D5E"/>
    <w:rsid w:val="003F3320"/>
    <w:rsid w:val="003F37FA"/>
    <w:rsid w:val="003F3A38"/>
    <w:rsid w:val="003F3A9A"/>
    <w:rsid w:val="003F4657"/>
    <w:rsid w:val="003F4841"/>
    <w:rsid w:val="003F5421"/>
    <w:rsid w:val="003F5517"/>
    <w:rsid w:val="003F5A0B"/>
    <w:rsid w:val="003F5B37"/>
    <w:rsid w:val="003F7066"/>
    <w:rsid w:val="003F7988"/>
    <w:rsid w:val="004002F7"/>
    <w:rsid w:val="00400B49"/>
    <w:rsid w:val="0040135A"/>
    <w:rsid w:val="004024E5"/>
    <w:rsid w:val="00403708"/>
    <w:rsid w:val="00403FBD"/>
    <w:rsid w:val="0040414A"/>
    <w:rsid w:val="00404986"/>
    <w:rsid w:val="00404CD1"/>
    <w:rsid w:val="00404EA2"/>
    <w:rsid w:val="00405926"/>
    <w:rsid w:val="00406B43"/>
    <w:rsid w:val="0040740B"/>
    <w:rsid w:val="0041025A"/>
    <w:rsid w:val="00411985"/>
    <w:rsid w:val="00411FE1"/>
    <w:rsid w:val="0041252E"/>
    <w:rsid w:val="00414348"/>
    <w:rsid w:val="004150EB"/>
    <w:rsid w:val="00415584"/>
    <w:rsid w:val="00415846"/>
    <w:rsid w:val="00416136"/>
    <w:rsid w:val="00416292"/>
    <w:rsid w:val="00416A18"/>
    <w:rsid w:val="00417207"/>
    <w:rsid w:val="00417B05"/>
    <w:rsid w:val="004201BD"/>
    <w:rsid w:val="004203FE"/>
    <w:rsid w:val="00421BC6"/>
    <w:rsid w:val="00421FF8"/>
    <w:rsid w:val="00422831"/>
    <w:rsid w:val="00422F6C"/>
    <w:rsid w:val="0042345E"/>
    <w:rsid w:val="0042453A"/>
    <w:rsid w:val="00424AEF"/>
    <w:rsid w:val="004262B7"/>
    <w:rsid w:val="0042651B"/>
    <w:rsid w:val="004270BE"/>
    <w:rsid w:val="00427D32"/>
    <w:rsid w:val="00430149"/>
    <w:rsid w:val="004303C0"/>
    <w:rsid w:val="00431095"/>
    <w:rsid w:val="00431532"/>
    <w:rsid w:val="00433A8A"/>
    <w:rsid w:val="00433B6E"/>
    <w:rsid w:val="00433D36"/>
    <w:rsid w:val="004346AB"/>
    <w:rsid w:val="00434C68"/>
    <w:rsid w:val="00435700"/>
    <w:rsid w:val="004358ED"/>
    <w:rsid w:val="00435F64"/>
    <w:rsid w:val="004360A0"/>
    <w:rsid w:val="00437EA2"/>
    <w:rsid w:val="0044101C"/>
    <w:rsid w:val="00441F44"/>
    <w:rsid w:val="004425A6"/>
    <w:rsid w:val="00442E99"/>
    <w:rsid w:val="00445323"/>
    <w:rsid w:val="0044576D"/>
    <w:rsid w:val="004457B3"/>
    <w:rsid w:val="00445D2F"/>
    <w:rsid w:val="004464B0"/>
    <w:rsid w:val="004469E2"/>
    <w:rsid w:val="00446A65"/>
    <w:rsid w:val="0044776D"/>
    <w:rsid w:val="00447A8D"/>
    <w:rsid w:val="00450269"/>
    <w:rsid w:val="00450533"/>
    <w:rsid w:val="00451969"/>
    <w:rsid w:val="004526E3"/>
    <w:rsid w:val="00452A60"/>
    <w:rsid w:val="0045334F"/>
    <w:rsid w:val="0045391A"/>
    <w:rsid w:val="00453DCC"/>
    <w:rsid w:val="00454028"/>
    <w:rsid w:val="00454C34"/>
    <w:rsid w:val="00454C77"/>
    <w:rsid w:val="00454DF2"/>
    <w:rsid w:val="0045578D"/>
    <w:rsid w:val="00456A9C"/>
    <w:rsid w:val="00457303"/>
    <w:rsid w:val="00457562"/>
    <w:rsid w:val="004601D4"/>
    <w:rsid w:val="00460883"/>
    <w:rsid w:val="00461021"/>
    <w:rsid w:val="004623AE"/>
    <w:rsid w:val="00462B25"/>
    <w:rsid w:val="004640B3"/>
    <w:rsid w:val="0046512B"/>
    <w:rsid w:val="00465ED4"/>
    <w:rsid w:val="0046602A"/>
    <w:rsid w:val="004660EE"/>
    <w:rsid w:val="00466BDE"/>
    <w:rsid w:val="0046716B"/>
    <w:rsid w:val="004675BB"/>
    <w:rsid w:val="00470FC4"/>
    <w:rsid w:val="004710E1"/>
    <w:rsid w:val="00471B2E"/>
    <w:rsid w:val="00473897"/>
    <w:rsid w:val="00474766"/>
    <w:rsid w:val="0047508D"/>
    <w:rsid w:val="00475959"/>
    <w:rsid w:val="004766B6"/>
    <w:rsid w:val="00476BFE"/>
    <w:rsid w:val="00476D5F"/>
    <w:rsid w:val="00477D15"/>
    <w:rsid w:val="00477DEB"/>
    <w:rsid w:val="00481254"/>
    <w:rsid w:val="00481BA6"/>
    <w:rsid w:val="00481C7D"/>
    <w:rsid w:val="00482A54"/>
    <w:rsid w:val="00482BF7"/>
    <w:rsid w:val="00483845"/>
    <w:rsid w:val="00483DC6"/>
    <w:rsid w:val="00483E60"/>
    <w:rsid w:val="0048433C"/>
    <w:rsid w:val="004846DE"/>
    <w:rsid w:val="004851D8"/>
    <w:rsid w:val="0048554C"/>
    <w:rsid w:val="00485B05"/>
    <w:rsid w:val="004873B5"/>
    <w:rsid w:val="00490124"/>
    <w:rsid w:val="00490AA1"/>
    <w:rsid w:val="0049135E"/>
    <w:rsid w:val="00491E05"/>
    <w:rsid w:val="004928D9"/>
    <w:rsid w:val="00492ABE"/>
    <w:rsid w:val="00492F6E"/>
    <w:rsid w:val="0049321C"/>
    <w:rsid w:val="00494032"/>
    <w:rsid w:val="00494292"/>
    <w:rsid w:val="0049444C"/>
    <w:rsid w:val="004947B4"/>
    <w:rsid w:val="00494A3F"/>
    <w:rsid w:val="00494B1E"/>
    <w:rsid w:val="00494B42"/>
    <w:rsid w:val="004951EE"/>
    <w:rsid w:val="00495A0A"/>
    <w:rsid w:val="00496159"/>
    <w:rsid w:val="00496370"/>
    <w:rsid w:val="004965DA"/>
    <w:rsid w:val="00496C6A"/>
    <w:rsid w:val="004A05AA"/>
    <w:rsid w:val="004A0905"/>
    <w:rsid w:val="004A1729"/>
    <w:rsid w:val="004A1B94"/>
    <w:rsid w:val="004A1F03"/>
    <w:rsid w:val="004A1F53"/>
    <w:rsid w:val="004A2B0F"/>
    <w:rsid w:val="004A2BF2"/>
    <w:rsid w:val="004A38E8"/>
    <w:rsid w:val="004A3A9B"/>
    <w:rsid w:val="004A61F9"/>
    <w:rsid w:val="004A6363"/>
    <w:rsid w:val="004A6373"/>
    <w:rsid w:val="004A6855"/>
    <w:rsid w:val="004A699F"/>
    <w:rsid w:val="004A6B30"/>
    <w:rsid w:val="004A6FC6"/>
    <w:rsid w:val="004A7073"/>
    <w:rsid w:val="004A7290"/>
    <w:rsid w:val="004A7D24"/>
    <w:rsid w:val="004B06C0"/>
    <w:rsid w:val="004B1195"/>
    <w:rsid w:val="004B1AEC"/>
    <w:rsid w:val="004B1D75"/>
    <w:rsid w:val="004B28C3"/>
    <w:rsid w:val="004B2B82"/>
    <w:rsid w:val="004B3386"/>
    <w:rsid w:val="004B386A"/>
    <w:rsid w:val="004B3DA6"/>
    <w:rsid w:val="004B3FB7"/>
    <w:rsid w:val="004B4A7D"/>
    <w:rsid w:val="004B4EA8"/>
    <w:rsid w:val="004B5476"/>
    <w:rsid w:val="004B55E1"/>
    <w:rsid w:val="004B5A49"/>
    <w:rsid w:val="004B665A"/>
    <w:rsid w:val="004B66E5"/>
    <w:rsid w:val="004B7709"/>
    <w:rsid w:val="004B7EDD"/>
    <w:rsid w:val="004C0A5F"/>
    <w:rsid w:val="004C133E"/>
    <w:rsid w:val="004C2376"/>
    <w:rsid w:val="004C24F4"/>
    <w:rsid w:val="004C375C"/>
    <w:rsid w:val="004C38E8"/>
    <w:rsid w:val="004C6823"/>
    <w:rsid w:val="004C6AC1"/>
    <w:rsid w:val="004C6D6E"/>
    <w:rsid w:val="004C7455"/>
    <w:rsid w:val="004C78B4"/>
    <w:rsid w:val="004D0442"/>
    <w:rsid w:val="004D07D1"/>
    <w:rsid w:val="004D0CEF"/>
    <w:rsid w:val="004D2DD3"/>
    <w:rsid w:val="004D3423"/>
    <w:rsid w:val="004D3DFF"/>
    <w:rsid w:val="004D3F57"/>
    <w:rsid w:val="004D3FD0"/>
    <w:rsid w:val="004D4512"/>
    <w:rsid w:val="004D46A2"/>
    <w:rsid w:val="004D4DE1"/>
    <w:rsid w:val="004D564D"/>
    <w:rsid w:val="004D56C9"/>
    <w:rsid w:val="004D57A2"/>
    <w:rsid w:val="004D57CC"/>
    <w:rsid w:val="004D6306"/>
    <w:rsid w:val="004D6B36"/>
    <w:rsid w:val="004D703E"/>
    <w:rsid w:val="004D74BF"/>
    <w:rsid w:val="004D7D74"/>
    <w:rsid w:val="004E06C7"/>
    <w:rsid w:val="004E09BB"/>
    <w:rsid w:val="004E09C8"/>
    <w:rsid w:val="004E13A6"/>
    <w:rsid w:val="004E16CD"/>
    <w:rsid w:val="004E1751"/>
    <w:rsid w:val="004E389D"/>
    <w:rsid w:val="004E487E"/>
    <w:rsid w:val="004E51E9"/>
    <w:rsid w:val="004E59DB"/>
    <w:rsid w:val="004E6057"/>
    <w:rsid w:val="004E6949"/>
    <w:rsid w:val="004E7500"/>
    <w:rsid w:val="004F0165"/>
    <w:rsid w:val="004F0E9A"/>
    <w:rsid w:val="004F2060"/>
    <w:rsid w:val="004F26F3"/>
    <w:rsid w:val="004F29DE"/>
    <w:rsid w:val="004F2A07"/>
    <w:rsid w:val="004F2D8A"/>
    <w:rsid w:val="004F2FA2"/>
    <w:rsid w:val="004F358A"/>
    <w:rsid w:val="004F5237"/>
    <w:rsid w:val="004F54C2"/>
    <w:rsid w:val="004F5A13"/>
    <w:rsid w:val="004F5EA6"/>
    <w:rsid w:val="004F5FA2"/>
    <w:rsid w:val="004F69C6"/>
    <w:rsid w:val="004F6FB4"/>
    <w:rsid w:val="004F7E13"/>
    <w:rsid w:val="00500C0A"/>
    <w:rsid w:val="00500D68"/>
    <w:rsid w:val="0050174C"/>
    <w:rsid w:val="005019C4"/>
    <w:rsid w:val="00502036"/>
    <w:rsid w:val="0050227B"/>
    <w:rsid w:val="00502EA5"/>
    <w:rsid w:val="005048DE"/>
    <w:rsid w:val="00504C14"/>
    <w:rsid w:val="00504E65"/>
    <w:rsid w:val="005050B7"/>
    <w:rsid w:val="00505293"/>
    <w:rsid w:val="005053B7"/>
    <w:rsid w:val="00505E87"/>
    <w:rsid w:val="00506270"/>
    <w:rsid w:val="00506677"/>
    <w:rsid w:val="00510147"/>
    <w:rsid w:val="00510436"/>
    <w:rsid w:val="0051088B"/>
    <w:rsid w:val="00510ABF"/>
    <w:rsid w:val="00511BC3"/>
    <w:rsid w:val="00512225"/>
    <w:rsid w:val="0051227B"/>
    <w:rsid w:val="00512CF1"/>
    <w:rsid w:val="00512E6C"/>
    <w:rsid w:val="0051347C"/>
    <w:rsid w:val="0051363F"/>
    <w:rsid w:val="00513E12"/>
    <w:rsid w:val="00514C90"/>
    <w:rsid w:val="00516071"/>
    <w:rsid w:val="0051640C"/>
    <w:rsid w:val="005172F1"/>
    <w:rsid w:val="005173DF"/>
    <w:rsid w:val="00517600"/>
    <w:rsid w:val="0051781D"/>
    <w:rsid w:val="0052105D"/>
    <w:rsid w:val="00521E63"/>
    <w:rsid w:val="00522C87"/>
    <w:rsid w:val="00523B1E"/>
    <w:rsid w:val="00523C19"/>
    <w:rsid w:val="00523DFF"/>
    <w:rsid w:val="00523E04"/>
    <w:rsid w:val="00523FDE"/>
    <w:rsid w:val="00524004"/>
    <w:rsid w:val="005243FC"/>
    <w:rsid w:val="0052469F"/>
    <w:rsid w:val="005255E6"/>
    <w:rsid w:val="005258CF"/>
    <w:rsid w:val="005266C8"/>
    <w:rsid w:val="0052676C"/>
    <w:rsid w:val="0052694B"/>
    <w:rsid w:val="00526C93"/>
    <w:rsid w:val="00526EAD"/>
    <w:rsid w:val="00527023"/>
    <w:rsid w:val="0052768F"/>
    <w:rsid w:val="005303AB"/>
    <w:rsid w:val="0053134A"/>
    <w:rsid w:val="00531875"/>
    <w:rsid w:val="00531BD0"/>
    <w:rsid w:val="00532361"/>
    <w:rsid w:val="00532830"/>
    <w:rsid w:val="00533AE1"/>
    <w:rsid w:val="00533EC5"/>
    <w:rsid w:val="005346B4"/>
    <w:rsid w:val="00534CB9"/>
    <w:rsid w:val="00535937"/>
    <w:rsid w:val="00535F78"/>
    <w:rsid w:val="005365E9"/>
    <w:rsid w:val="005367A2"/>
    <w:rsid w:val="00536E7C"/>
    <w:rsid w:val="00537B69"/>
    <w:rsid w:val="00540801"/>
    <w:rsid w:val="00540E39"/>
    <w:rsid w:val="00540E8C"/>
    <w:rsid w:val="00542269"/>
    <w:rsid w:val="00542748"/>
    <w:rsid w:val="00542F3F"/>
    <w:rsid w:val="00542F74"/>
    <w:rsid w:val="0054358C"/>
    <w:rsid w:val="0054386F"/>
    <w:rsid w:val="00545D6C"/>
    <w:rsid w:val="0054606D"/>
    <w:rsid w:val="005468E1"/>
    <w:rsid w:val="00546F67"/>
    <w:rsid w:val="005475EF"/>
    <w:rsid w:val="0054768E"/>
    <w:rsid w:val="005508CA"/>
    <w:rsid w:val="00550F6B"/>
    <w:rsid w:val="0055125C"/>
    <w:rsid w:val="005517B5"/>
    <w:rsid w:val="00551802"/>
    <w:rsid w:val="005524E8"/>
    <w:rsid w:val="005525A8"/>
    <w:rsid w:val="005525AC"/>
    <w:rsid w:val="00553421"/>
    <w:rsid w:val="00553CC3"/>
    <w:rsid w:val="005567B5"/>
    <w:rsid w:val="0055684A"/>
    <w:rsid w:val="00560167"/>
    <w:rsid w:val="005603CA"/>
    <w:rsid w:val="0056045A"/>
    <w:rsid w:val="00561B0A"/>
    <w:rsid w:val="00562597"/>
    <w:rsid w:val="00564088"/>
    <w:rsid w:val="00564230"/>
    <w:rsid w:val="00565437"/>
    <w:rsid w:val="005654CF"/>
    <w:rsid w:val="005664F3"/>
    <w:rsid w:val="005668B2"/>
    <w:rsid w:val="005670C9"/>
    <w:rsid w:val="00572022"/>
    <w:rsid w:val="00572ADB"/>
    <w:rsid w:val="00574990"/>
    <w:rsid w:val="00574AAE"/>
    <w:rsid w:val="00574B37"/>
    <w:rsid w:val="00575EC0"/>
    <w:rsid w:val="00575FFF"/>
    <w:rsid w:val="00576BBA"/>
    <w:rsid w:val="00577FB8"/>
    <w:rsid w:val="00580C42"/>
    <w:rsid w:val="00581AAD"/>
    <w:rsid w:val="005822B8"/>
    <w:rsid w:val="00584373"/>
    <w:rsid w:val="00584379"/>
    <w:rsid w:val="005852B5"/>
    <w:rsid w:val="00585553"/>
    <w:rsid w:val="00586A04"/>
    <w:rsid w:val="0058743D"/>
    <w:rsid w:val="00587D83"/>
    <w:rsid w:val="00587F42"/>
    <w:rsid w:val="0059015C"/>
    <w:rsid w:val="00590393"/>
    <w:rsid w:val="005910D6"/>
    <w:rsid w:val="00591196"/>
    <w:rsid w:val="00591489"/>
    <w:rsid w:val="005917B4"/>
    <w:rsid w:val="0059199B"/>
    <w:rsid w:val="00592098"/>
    <w:rsid w:val="00592BCB"/>
    <w:rsid w:val="00592E84"/>
    <w:rsid w:val="0059312C"/>
    <w:rsid w:val="005939C5"/>
    <w:rsid w:val="00594238"/>
    <w:rsid w:val="00594737"/>
    <w:rsid w:val="00594CAF"/>
    <w:rsid w:val="005952C7"/>
    <w:rsid w:val="0059631B"/>
    <w:rsid w:val="00596B17"/>
    <w:rsid w:val="005A142A"/>
    <w:rsid w:val="005A1981"/>
    <w:rsid w:val="005A1F8D"/>
    <w:rsid w:val="005A2161"/>
    <w:rsid w:val="005A2D28"/>
    <w:rsid w:val="005A2FF7"/>
    <w:rsid w:val="005A3155"/>
    <w:rsid w:val="005A31B4"/>
    <w:rsid w:val="005A3861"/>
    <w:rsid w:val="005A3ED7"/>
    <w:rsid w:val="005A46C2"/>
    <w:rsid w:val="005A4787"/>
    <w:rsid w:val="005A49BA"/>
    <w:rsid w:val="005A5A1A"/>
    <w:rsid w:val="005A5FAE"/>
    <w:rsid w:val="005A6020"/>
    <w:rsid w:val="005A65EA"/>
    <w:rsid w:val="005A670E"/>
    <w:rsid w:val="005A7147"/>
    <w:rsid w:val="005A73C0"/>
    <w:rsid w:val="005A7F88"/>
    <w:rsid w:val="005B02B2"/>
    <w:rsid w:val="005B06E9"/>
    <w:rsid w:val="005B0769"/>
    <w:rsid w:val="005B0B9B"/>
    <w:rsid w:val="005B17D9"/>
    <w:rsid w:val="005B18BB"/>
    <w:rsid w:val="005B1A64"/>
    <w:rsid w:val="005B1BD5"/>
    <w:rsid w:val="005B2838"/>
    <w:rsid w:val="005B34F9"/>
    <w:rsid w:val="005B37B9"/>
    <w:rsid w:val="005B42CA"/>
    <w:rsid w:val="005B4608"/>
    <w:rsid w:val="005B4700"/>
    <w:rsid w:val="005B4D4B"/>
    <w:rsid w:val="005B5C7E"/>
    <w:rsid w:val="005B7009"/>
    <w:rsid w:val="005B7E1D"/>
    <w:rsid w:val="005C050F"/>
    <w:rsid w:val="005C1A77"/>
    <w:rsid w:val="005C1F43"/>
    <w:rsid w:val="005C4013"/>
    <w:rsid w:val="005C40A8"/>
    <w:rsid w:val="005C45BC"/>
    <w:rsid w:val="005C477D"/>
    <w:rsid w:val="005C5103"/>
    <w:rsid w:val="005C521B"/>
    <w:rsid w:val="005C5764"/>
    <w:rsid w:val="005C7990"/>
    <w:rsid w:val="005C7E08"/>
    <w:rsid w:val="005C7E80"/>
    <w:rsid w:val="005D03D1"/>
    <w:rsid w:val="005D11A0"/>
    <w:rsid w:val="005D15D0"/>
    <w:rsid w:val="005D189E"/>
    <w:rsid w:val="005D248F"/>
    <w:rsid w:val="005D283B"/>
    <w:rsid w:val="005D37A9"/>
    <w:rsid w:val="005D3B51"/>
    <w:rsid w:val="005D497C"/>
    <w:rsid w:val="005D49CA"/>
    <w:rsid w:val="005D55A5"/>
    <w:rsid w:val="005D565B"/>
    <w:rsid w:val="005D5C80"/>
    <w:rsid w:val="005D6C8D"/>
    <w:rsid w:val="005E02EE"/>
    <w:rsid w:val="005E1392"/>
    <w:rsid w:val="005E1445"/>
    <w:rsid w:val="005E1950"/>
    <w:rsid w:val="005E292E"/>
    <w:rsid w:val="005E3782"/>
    <w:rsid w:val="005E3F85"/>
    <w:rsid w:val="005E42F2"/>
    <w:rsid w:val="005E569E"/>
    <w:rsid w:val="005E56AA"/>
    <w:rsid w:val="005E5AF2"/>
    <w:rsid w:val="005E6030"/>
    <w:rsid w:val="005E790B"/>
    <w:rsid w:val="005E7D91"/>
    <w:rsid w:val="005E7EFE"/>
    <w:rsid w:val="005F0A67"/>
    <w:rsid w:val="005F0AC3"/>
    <w:rsid w:val="005F124B"/>
    <w:rsid w:val="005F1E5F"/>
    <w:rsid w:val="005F2352"/>
    <w:rsid w:val="005F2C45"/>
    <w:rsid w:val="005F2FF6"/>
    <w:rsid w:val="005F3D9C"/>
    <w:rsid w:val="005F4221"/>
    <w:rsid w:val="005F472D"/>
    <w:rsid w:val="005F4FCA"/>
    <w:rsid w:val="005F560D"/>
    <w:rsid w:val="005F6856"/>
    <w:rsid w:val="005F6CCD"/>
    <w:rsid w:val="005F6FC8"/>
    <w:rsid w:val="005F79E5"/>
    <w:rsid w:val="005F7BF7"/>
    <w:rsid w:val="00600674"/>
    <w:rsid w:val="00600872"/>
    <w:rsid w:val="00600AC8"/>
    <w:rsid w:val="00600C2B"/>
    <w:rsid w:val="00600CDD"/>
    <w:rsid w:val="006010C2"/>
    <w:rsid w:val="0060166B"/>
    <w:rsid w:val="00601CBE"/>
    <w:rsid w:val="0060240F"/>
    <w:rsid w:val="00602C76"/>
    <w:rsid w:val="00603351"/>
    <w:rsid w:val="00604347"/>
    <w:rsid w:val="00604BE1"/>
    <w:rsid w:val="00604F01"/>
    <w:rsid w:val="00605DD5"/>
    <w:rsid w:val="00606068"/>
    <w:rsid w:val="006068BA"/>
    <w:rsid w:val="00606914"/>
    <w:rsid w:val="00606977"/>
    <w:rsid w:val="00606F95"/>
    <w:rsid w:val="00607FEA"/>
    <w:rsid w:val="00610528"/>
    <w:rsid w:val="0061052F"/>
    <w:rsid w:val="006105FC"/>
    <w:rsid w:val="00611379"/>
    <w:rsid w:val="0061143C"/>
    <w:rsid w:val="00611DAF"/>
    <w:rsid w:val="00611FA0"/>
    <w:rsid w:val="00612C6B"/>
    <w:rsid w:val="00612FF9"/>
    <w:rsid w:val="006135CD"/>
    <w:rsid w:val="006144FA"/>
    <w:rsid w:val="006145FF"/>
    <w:rsid w:val="006153F0"/>
    <w:rsid w:val="00615C9A"/>
    <w:rsid w:val="00615E55"/>
    <w:rsid w:val="006163B2"/>
    <w:rsid w:val="00616495"/>
    <w:rsid w:val="00617206"/>
    <w:rsid w:val="006203B9"/>
    <w:rsid w:val="00621790"/>
    <w:rsid w:val="0062183E"/>
    <w:rsid w:val="006218A2"/>
    <w:rsid w:val="006221AF"/>
    <w:rsid w:val="0062237F"/>
    <w:rsid w:val="006228F9"/>
    <w:rsid w:val="00622E43"/>
    <w:rsid w:val="0062318D"/>
    <w:rsid w:val="0062371A"/>
    <w:rsid w:val="0062376A"/>
    <w:rsid w:val="00624393"/>
    <w:rsid w:val="00624B96"/>
    <w:rsid w:val="00625071"/>
    <w:rsid w:val="0062543B"/>
    <w:rsid w:val="00625644"/>
    <w:rsid w:val="00627217"/>
    <w:rsid w:val="00627DFF"/>
    <w:rsid w:val="00627F85"/>
    <w:rsid w:val="00630E5B"/>
    <w:rsid w:val="006332F4"/>
    <w:rsid w:val="006342DD"/>
    <w:rsid w:val="006346A8"/>
    <w:rsid w:val="00634E70"/>
    <w:rsid w:val="00635366"/>
    <w:rsid w:val="006353C1"/>
    <w:rsid w:val="00635A60"/>
    <w:rsid w:val="00635CB4"/>
    <w:rsid w:val="0063608F"/>
    <w:rsid w:val="006361AF"/>
    <w:rsid w:val="00636607"/>
    <w:rsid w:val="0063740C"/>
    <w:rsid w:val="00637DCB"/>
    <w:rsid w:val="00642160"/>
    <w:rsid w:val="00642BE3"/>
    <w:rsid w:val="0064445C"/>
    <w:rsid w:val="006444F2"/>
    <w:rsid w:val="0064467B"/>
    <w:rsid w:val="006446B1"/>
    <w:rsid w:val="00644AEB"/>
    <w:rsid w:val="0064533C"/>
    <w:rsid w:val="0064682E"/>
    <w:rsid w:val="006473E0"/>
    <w:rsid w:val="0064753F"/>
    <w:rsid w:val="006476EE"/>
    <w:rsid w:val="00647A1D"/>
    <w:rsid w:val="00647EF0"/>
    <w:rsid w:val="00647F70"/>
    <w:rsid w:val="0065014E"/>
    <w:rsid w:val="00650271"/>
    <w:rsid w:val="00650312"/>
    <w:rsid w:val="00650604"/>
    <w:rsid w:val="00650D7F"/>
    <w:rsid w:val="00650DD2"/>
    <w:rsid w:val="00650F6B"/>
    <w:rsid w:val="00651037"/>
    <w:rsid w:val="00651360"/>
    <w:rsid w:val="0065163A"/>
    <w:rsid w:val="00651998"/>
    <w:rsid w:val="00651BED"/>
    <w:rsid w:val="006522A9"/>
    <w:rsid w:val="006523B3"/>
    <w:rsid w:val="0065333D"/>
    <w:rsid w:val="006533AB"/>
    <w:rsid w:val="006536CC"/>
    <w:rsid w:val="00653B21"/>
    <w:rsid w:val="00653F13"/>
    <w:rsid w:val="00654519"/>
    <w:rsid w:val="00655C2D"/>
    <w:rsid w:val="00656326"/>
    <w:rsid w:val="00656333"/>
    <w:rsid w:val="00656348"/>
    <w:rsid w:val="006567E7"/>
    <w:rsid w:val="006573F6"/>
    <w:rsid w:val="00657579"/>
    <w:rsid w:val="006575C3"/>
    <w:rsid w:val="006576A5"/>
    <w:rsid w:val="00657A87"/>
    <w:rsid w:val="00660AD2"/>
    <w:rsid w:val="00660D73"/>
    <w:rsid w:val="00661711"/>
    <w:rsid w:val="006617DE"/>
    <w:rsid w:val="006624AF"/>
    <w:rsid w:val="00662A9C"/>
    <w:rsid w:val="00662CAD"/>
    <w:rsid w:val="00662D70"/>
    <w:rsid w:val="00662E6E"/>
    <w:rsid w:val="0066317D"/>
    <w:rsid w:val="0066358E"/>
    <w:rsid w:val="00663FF7"/>
    <w:rsid w:val="00664421"/>
    <w:rsid w:val="006647D4"/>
    <w:rsid w:val="00664ACD"/>
    <w:rsid w:val="00665460"/>
    <w:rsid w:val="0066579F"/>
    <w:rsid w:val="00665CE0"/>
    <w:rsid w:val="00665DE8"/>
    <w:rsid w:val="00665E89"/>
    <w:rsid w:val="0066603F"/>
    <w:rsid w:val="00666CAB"/>
    <w:rsid w:val="00666CAD"/>
    <w:rsid w:val="00666CEF"/>
    <w:rsid w:val="0066705B"/>
    <w:rsid w:val="006672C3"/>
    <w:rsid w:val="006677D9"/>
    <w:rsid w:val="00667DB7"/>
    <w:rsid w:val="00667FCA"/>
    <w:rsid w:val="00670C97"/>
    <w:rsid w:val="0067357B"/>
    <w:rsid w:val="0067485F"/>
    <w:rsid w:val="006750B5"/>
    <w:rsid w:val="00675AD0"/>
    <w:rsid w:val="00675E0F"/>
    <w:rsid w:val="006764CA"/>
    <w:rsid w:val="0067652E"/>
    <w:rsid w:val="00677368"/>
    <w:rsid w:val="00680B92"/>
    <w:rsid w:val="006815DF"/>
    <w:rsid w:val="00681C75"/>
    <w:rsid w:val="00681ECA"/>
    <w:rsid w:val="00682C6C"/>
    <w:rsid w:val="006833D4"/>
    <w:rsid w:val="00683D42"/>
    <w:rsid w:val="006848C7"/>
    <w:rsid w:val="00684E14"/>
    <w:rsid w:val="00685571"/>
    <w:rsid w:val="006868A7"/>
    <w:rsid w:val="00686BDA"/>
    <w:rsid w:val="006872E3"/>
    <w:rsid w:val="0068737A"/>
    <w:rsid w:val="00687AF5"/>
    <w:rsid w:val="00687B64"/>
    <w:rsid w:val="006904B6"/>
    <w:rsid w:val="006905BF"/>
    <w:rsid w:val="006920FF"/>
    <w:rsid w:val="0069275E"/>
    <w:rsid w:val="006940CB"/>
    <w:rsid w:val="006945F7"/>
    <w:rsid w:val="006947F7"/>
    <w:rsid w:val="0069501E"/>
    <w:rsid w:val="00695663"/>
    <w:rsid w:val="00695885"/>
    <w:rsid w:val="00695886"/>
    <w:rsid w:val="0069591B"/>
    <w:rsid w:val="00695AA1"/>
    <w:rsid w:val="00696245"/>
    <w:rsid w:val="00696789"/>
    <w:rsid w:val="00696E90"/>
    <w:rsid w:val="006974B1"/>
    <w:rsid w:val="00697D97"/>
    <w:rsid w:val="006A0139"/>
    <w:rsid w:val="006A095C"/>
    <w:rsid w:val="006A0EEA"/>
    <w:rsid w:val="006A386E"/>
    <w:rsid w:val="006A3FAD"/>
    <w:rsid w:val="006A425D"/>
    <w:rsid w:val="006A470D"/>
    <w:rsid w:val="006A4DE8"/>
    <w:rsid w:val="006A5DF4"/>
    <w:rsid w:val="006A5E34"/>
    <w:rsid w:val="006A61E4"/>
    <w:rsid w:val="006A69DA"/>
    <w:rsid w:val="006A7277"/>
    <w:rsid w:val="006A7383"/>
    <w:rsid w:val="006A7555"/>
    <w:rsid w:val="006B0878"/>
    <w:rsid w:val="006B202B"/>
    <w:rsid w:val="006B2B10"/>
    <w:rsid w:val="006B3538"/>
    <w:rsid w:val="006B3776"/>
    <w:rsid w:val="006B45AA"/>
    <w:rsid w:val="006B45EF"/>
    <w:rsid w:val="006B4B0A"/>
    <w:rsid w:val="006B4D4F"/>
    <w:rsid w:val="006B54F7"/>
    <w:rsid w:val="006B5772"/>
    <w:rsid w:val="006B7336"/>
    <w:rsid w:val="006B7ACD"/>
    <w:rsid w:val="006C16B0"/>
    <w:rsid w:val="006C1B60"/>
    <w:rsid w:val="006C1EC1"/>
    <w:rsid w:val="006C24C2"/>
    <w:rsid w:val="006C2B6E"/>
    <w:rsid w:val="006C38BC"/>
    <w:rsid w:val="006C3A85"/>
    <w:rsid w:val="006C3DBE"/>
    <w:rsid w:val="006C58B2"/>
    <w:rsid w:val="006C5CD5"/>
    <w:rsid w:val="006C5CF3"/>
    <w:rsid w:val="006C6D02"/>
    <w:rsid w:val="006D093D"/>
    <w:rsid w:val="006D2395"/>
    <w:rsid w:val="006D259C"/>
    <w:rsid w:val="006D27E9"/>
    <w:rsid w:val="006D28EC"/>
    <w:rsid w:val="006D2C7C"/>
    <w:rsid w:val="006D2F6A"/>
    <w:rsid w:val="006D350D"/>
    <w:rsid w:val="006D360E"/>
    <w:rsid w:val="006D39A7"/>
    <w:rsid w:val="006D3C9F"/>
    <w:rsid w:val="006D3CF6"/>
    <w:rsid w:val="006D3DA8"/>
    <w:rsid w:val="006D4A10"/>
    <w:rsid w:val="006D5032"/>
    <w:rsid w:val="006D5ACF"/>
    <w:rsid w:val="006D671B"/>
    <w:rsid w:val="006D7097"/>
    <w:rsid w:val="006E0257"/>
    <w:rsid w:val="006E05B6"/>
    <w:rsid w:val="006E09BB"/>
    <w:rsid w:val="006E1283"/>
    <w:rsid w:val="006E13B0"/>
    <w:rsid w:val="006E1426"/>
    <w:rsid w:val="006E1E19"/>
    <w:rsid w:val="006E246D"/>
    <w:rsid w:val="006E3138"/>
    <w:rsid w:val="006E3CB6"/>
    <w:rsid w:val="006E468B"/>
    <w:rsid w:val="006E4D73"/>
    <w:rsid w:val="006E4FCB"/>
    <w:rsid w:val="006E5862"/>
    <w:rsid w:val="006E5FFE"/>
    <w:rsid w:val="006E61E9"/>
    <w:rsid w:val="006E6646"/>
    <w:rsid w:val="006F016B"/>
    <w:rsid w:val="006F0B13"/>
    <w:rsid w:val="006F16F9"/>
    <w:rsid w:val="006F3244"/>
    <w:rsid w:val="006F3A3C"/>
    <w:rsid w:val="006F4B7C"/>
    <w:rsid w:val="006F4F09"/>
    <w:rsid w:val="006F50D3"/>
    <w:rsid w:val="006F51A7"/>
    <w:rsid w:val="006F5430"/>
    <w:rsid w:val="006F547F"/>
    <w:rsid w:val="006F65E1"/>
    <w:rsid w:val="006F677C"/>
    <w:rsid w:val="006F70A0"/>
    <w:rsid w:val="007003DC"/>
    <w:rsid w:val="00700B3A"/>
    <w:rsid w:val="00701617"/>
    <w:rsid w:val="00701666"/>
    <w:rsid w:val="0070181B"/>
    <w:rsid w:val="0070185F"/>
    <w:rsid w:val="00701DBA"/>
    <w:rsid w:val="007023D2"/>
    <w:rsid w:val="00702BD8"/>
    <w:rsid w:val="007032E7"/>
    <w:rsid w:val="0070357C"/>
    <w:rsid w:val="00703595"/>
    <w:rsid w:val="0070372F"/>
    <w:rsid w:val="00703CFA"/>
    <w:rsid w:val="00703F0B"/>
    <w:rsid w:val="00704081"/>
    <w:rsid w:val="007056A3"/>
    <w:rsid w:val="00705C52"/>
    <w:rsid w:val="007100A1"/>
    <w:rsid w:val="007108F2"/>
    <w:rsid w:val="00710A61"/>
    <w:rsid w:val="00710BFD"/>
    <w:rsid w:val="00710D7B"/>
    <w:rsid w:val="007115FD"/>
    <w:rsid w:val="0071162B"/>
    <w:rsid w:val="00712A4C"/>
    <w:rsid w:val="00712ED8"/>
    <w:rsid w:val="00713057"/>
    <w:rsid w:val="00713875"/>
    <w:rsid w:val="00713F8D"/>
    <w:rsid w:val="0071572E"/>
    <w:rsid w:val="007157DA"/>
    <w:rsid w:val="007166B3"/>
    <w:rsid w:val="00716AFF"/>
    <w:rsid w:val="0071735E"/>
    <w:rsid w:val="007203B4"/>
    <w:rsid w:val="00720A03"/>
    <w:rsid w:val="00721333"/>
    <w:rsid w:val="0072222A"/>
    <w:rsid w:val="007229AB"/>
    <w:rsid w:val="00723CF9"/>
    <w:rsid w:val="00724150"/>
    <w:rsid w:val="007248AA"/>
    <w:rsid w:val="00724AE5"/>
    <w:rsid w:val="00724B1A"/>
    <w:rsid w:val="00724D9A"/>
    <w:rsid w:val="00724FA5"/>
    <w:rsid w:val="0072567F"/>
    <w:rsid w:val="00725769"/>
    <w:rsid w:val="00725F07"/>
    <w:rsid w:val="00726109"/>
    <w:rsid w:val="007268A5"/>
    <w:rsid w:val="007270A8"/>
    <w:rsid w:val="007270DE"/>
    <w:rsid w:val="00730F40"/>
    <w:rsid w:val="0073165A"/>
    <w:rsid w:val="00731DC0"/>
    <w:rsid w:val="00732839"/>
    <w:rsid w:val="00733270"/>
    <w:rsid w:val="00733365"/>
    <w:rsid w:val="007334CB"/>
    <w:rsid w:val="00733519"/>
    <w:rsid w:val="007339D1"/>
    <w:rsid w:val="00733C4E"/>
    <w:rsid w:val="007353BA"/>
    <w:rsid w:val="007354FA"/>
    <w:rsid w:val="00735FAB"/>
    <w:rsid w:val="00736245"/>
    <w:rsid w:val="007363D2"/>
    <w:rsid w:val="007364D2"/>
    <w:rsid w:val="007365D2"/>
    <w:rsid w:val="007367C1"/>
    <w:rsid w:val="00736EF9"/>
    <w:rsid w:val="00737411"/>
    <w:rsid w:val="0073765E"/>
    <w:rsid w:val="0073790B"/>
    <w:rsid w:val="00740283"/>
    <w:rsid w:val="0074262A"/>
    <w:rsid w:val="00742940"/>
    <w:rsid w:val="007429C1"/>
    <w:rsid w:val="0074395A"/>
    <w:rsid w:val="007439F1"/>
    <w:rsid w:val="007446CE"/>
    <w:rsid w:val="00744CF5"/>
    <w:rsid w:val="00744DA5"/>
    <w:rsid w:val="00745322"/>
    <w:rsid w:val="00745390"/>
    <w:rsid w:val="00745655"/>
    <w:rsid w:val="00745A09"/>
    <w:rsid w:val="00746902"/>
    <w:rsid w:val="00746EFE"/>
    <w:rsid w:val="00747101"/>
    <w:rsid w:val="007472E8"/>
    <w:rsid w:val="0075061E"/>
    <w:rsid w:val="00750FDC"/>
    <w:rsid w:val="007510B0"/>
    <w:rsid w:val="007516F1"/>
    <w:rsid w:val="00751DB3"/>
    <w:rsid w:val="007521BF"/>
    <w:rsid w:val="0075290D"/>
    <w:rsid w:val="00753180"/>
    <w:rsid w:val="00754015"/>
    <w:rsid w:val="00754E04"/>
    <w:rsid w:val="00755B8A"/>
    <w:rsid w:val="00756576"/>
    <w:rsid w:val="0075683B"/>
    <w:rsid w:val="00756B82"/>
    <w:rsid w:val="00756D4D"/>
    <w:rsid w:val="00757133"/>
    <w:rsid w:val="00757251"/>
    <w:rsid w:val="00757382"/>
    <w:rsid w:val="007578A2"/>
    <w:rsid w:val="00757ACE"/>
    <w:rsid w:val="00757B48"/>
    <w:rsid w:val="00757C08"/>
    <w:rsid w:val="00760454"/>
    <w:rsid w:val="00760A8A"/>
    <w:rsid w:val="00760DFD"/>
    <w:rsid w:val="00761C9B"/>
    <w:rsid w:val="0076226E"/>
    <w:rsid w:val="007628BF"/>
    <w:rsid w:val="00762E50"/>
    <w:rsid w:val="00763078"/>
    <w:rsid w:val="00765142"/>
    <w:rsid w:val="00765312"/>
    <w:rsid w:val="00765819"/>
    <w:rsid w:val="00765911"/>
    <w:rsid w:val="0076592B"/>
    <w:rsid w:val="00765A12"/>
    <w:rsid w:val="00765A3F"/>
    <w:rsid w:val="00765E73"/>
    <w:rsid w:val="00766507"/>
    <w:rsid w:val="0076662D"/>
    <w:rsid w:val="00767AED"/>
    <w:rsid w:val="00770431"/>
    <w:rsid w:val="00770522"/>
    <w:rsid w:val="00770660"/>
    <w:rsid w:val="00771958"/>
    <w:rsid w:val="00771A61"/>
    <w:rsid w:val="00771B23"/>
    <w:rsid w:val="00771E21"/>
    <w:rsid w:val="00771FDB"/>
    <w:rsid w:val="00772EAD"/>
    <w:rsid w:val="00772F2D"/>
    <w:rsid w:val="007730F2"/>
    <w:rsid w:val="00773906"/>
    <w:rsid w:val="00773A8B"/>
    <w:rsid w:val="00773F6B"/>
    <w:rsid w:val="007744E2"/>
    <w:rsid w:val="00774799"/>
    <w:rsid w:val="00775794"/>
    <w:rsid w:val="00775A2A"/>
    <w:rsid w:val="007772FA"/>
    <w:rsid w:val="00777726"/>
    <w:rsid w:val="00777A2B"/>
    <w:rsid w:val="00777D04"/>
    <w:rsid w:val="00777EA7"/>
    <w:rsid w:val="0078055F"/>
    <w:rsid w:val="00780DDF"/>
    <w:rsid w:val="00781373"/>
    <w:rsid w:val="007819B4"/>
    <w:rsid w:val="00781BB7"/>
    <w:rsid w:val="00781EFD"/>
    <w:rsid w:val="00782382"/>
    <w:rsid w:val="007827D4"/>
    <w:rsid w:val="00782B0D"/>
    <w:rsid w:val="00782C56"/>
    <w:rsid w:val="00782D89"/>
    <w:rsid w:val="007833EC"/>
    <w:rsid w:val="007837FC"/>
    <w:rsid w:val="00783EB3"/>
    <w:rsid w:val="00784B31"/>
    <w:rsid w:val="007850EC"/>
    <w:rsid w:val="007867D7"/>
    <w:rsid w:val="0079001F"/>
    <w:rsid w:val="0079193C"/>
    <w:rsid w:val="00791EBE"/>
    <w:rsid w:val="007920C9"/>
    <w:rsid w:val="007922C2"/>
    <w:rsid w:val="00792454"/>
    <w:rsid w:val="00792FF4"/>
    <w:rsid w:val="0079360F"/>
    <w:rsid w:val="007937E0"/>
    <w:rsid w:val="00793BCE"/>
    <w:rsid w:val="00794162"/>
    <w:rsid w:val="00794689"/>
    <w:rsid w:val="007947E9"/>
    <w:rsid w:val="00796230"/>
    <w:rsid w:val="00796811"/>
    <w:rsid w:val="007968D5"/>
    <w:rsid w:val="00796BF3"/>
    <w:rsid w:val="00797E60"/>
    <w:rsid w:val="007A0022"/>
    <w:rsid w:val="007A0199"/>
    <w:rsid w:val="007A026C"/>
    <w:rsid w:val="007A1941"/>
    <w:rsid w:val="007A2335"/>
    <w:rsid w:val="007A29EB"/>
    <w:rsid w:val="007A2D57"/>
    <w:rsid w:val="007A2DF4"/>
    <w:rsid w:val="007A3254"/>
    <w:rsid w:val="007A4C53"/>
    <w:rsid w:val="007A4E14"/>
    <w:rsid w:val="007A5093"/>
    <w:rsid w:val="007A52F3"/>
    <w:rsid w:val="007A5BD3"/>
    <w:rsid w:val="007A5E58"/>
    <w:rsid w:val="007A6736"/>
    <w:rsid w:val="007A682E"/>
    <w:rsid w:val="007A6B34"/>
    <w:rsid w:val="007A6FDC"/>
    <w:rsid w:val="007A7861"/>
    <w:rsid w:val="007A7ACE"/>
    <w:rsid w:val="007A7B7F"/>
    <w:rsid w:val="007B006A"/>
    <w:rsid w:val="007B0219"/>
    <w:rsid w:val="007B0E78"/>
    <w:rsid w:val="007B124E"/>
    <w:rsid w:val="007B14DD"/>
    <w:rsid w:val="007B1784"/>
    <w:rsid w:val="007B1C74"/>
    <w:rsid w:val="007B27A6"/>
    <w:rsid w:val="007B2AD0"/>
    <w:rsid w:val="007B2FA3"/>
    <w:rsid w:val="007B3244"/>
    <w:rsid w:val="007B3860"/>
    <w:rsid w:val="007B41E8"/>
    <w:rsid w:val="007B62F6"/>
    <w:rsid w:val="007B650F"/>
    <w:rsid w:val="007B6B19"/>
    <w:rsid w:val="007B700A"/>
    <w:rsid w:val="007C0117"/>
    <w:rsid w:val="007C0734"/>
    <w:rsid w:val="007C0B8A"/>
    <w:rsid w:val="007C1679"/>
    <w:rsid w:val="007C1A90"/>
    <w:rsid w:val="007C2A2C"/>
    <w:rsid w:val="007C2AD4"/>
    <w:rsid w:val="007C2B67"/>
    <w:rsid w:val="007C2D55"/>
    <w:rsid w:val="007C3759"/>
    <w:rsid w:val="007C42A4"/>
    <w:rsid w:val="007C4D96"/>
    <w:rsid w:val="007C61C8"/>
    <w:rsid w:val="007C625B"/>
    <w:rsid w:val="007C72C7"/>
    <w:rsid w:val="007C75FA"/>
    <w:rsid w:val="007D14B9"/>
    <w:rsid w:val="007D17A5"/>
    <w:rsid w:val="007D295D"/>
    <w:rsid w:val="007D3F92"/>
    <w:rsid w:val="007D4001"/>
    <w:rsid w:val="007D5357"/>
    <w:rsid w:val="007D5449"/>
    <w:rsid w:val="007D56D9"/>
    <w:rsid w:val="007D602E"/>
    <w:rsid w:val="007D66FC"/>
    <w:rsid w:val="007D6952"/>
    <w:rsid w:val="007D6E01"/>
    <w:rsid w:val="007D7116"/>
    <w:rsid w:val="007D7220"/>
    <w:rsid w:val="007D782F"/>
    <w:rsid w:val="007E0ED6"/>
    <w:rsid w:val="007E131F"/>
    <w:rsid w:val="007E2278"/>
    <w:rsid w:val="007E2465"/>
    <w:rsid w:val="007E344F"/>
    <w:rsid w:val="007E3AB6"/>
    <w:rsid w:val="007E3D65"/>
    <w:rsid w:val="007E44B1"/>
    <w:rsid w:val="007E473F"/>
    <w:rsid w:val="007E5C66"/>
    <w:rsid w:val="007E6472"/>
    <w:rsid w:val="007E657E"/>
    <w:rsid w:val="007E6597"/>
    <w:rsid w:val="007E6952"/>
    <w:rsid w:val="007E6AB0"/>
    <w:rsid w:val="007E7F02"/>
    <w:rsid w:val="007F0552"/>
    <w:rsid w:val="007F13F9"/>
    <w:rsid w:val="007F17CB"/>
    <w:rsid w:val="007F1F9C"/>
    <w:rsid w:val="007F23F8"/>
    <w:rsid w:val="007F2AA6"/>
    <w:rsid w:val="007F2FE3"/>
    <w:rsid w:val="007F3180"/>
    <w:rsid w:val="007F3B67"/>
    <w:rsid w:val="007F3C7E"/>
    <w:rsid w:val="007F4081"/>
    <w:rsid w:val="007F4E83"/>
    <w:rsid w:val="007F5F62"/>
    <w:rsid w:val="007F60A0"/>
    <w:rsid w:val="007F612E"/>
    <w:rsid w:val="007F6167"/>
    <w:rsid w:val="007F656D"/>
    <w:rsid w:val="007F67FD"/>
    <w:rsid w:val="007F74F6"/>
    <w:rsid w:val="00801641"/>
    <w:rsid w:val="00802797"/>
    <w:rsid w:val="00802ED4"/>
    <w:rsid w:val="008032F8"/>
    <w:rsid w:val="0080388D"/>
    <w:rsid w:val="00803A01"/>
    <w:rsid w:val="00804032"/>
    <w:rsid w:val="00804B02"/>
    <w:rsid w:val="00804D35"/>
    <w:rsid w:val="0080506C"/>
    <w:rsid w:val="00805345"/>
    <w:rsid w:val="00805612"/>
    <w:rsid w:val="0080627F"/>
    <w:rsid w:val="00806711"/>
    <w:rsid w:val="00806FBB"/>
    <w:rsid w:val="00810FE5"/>
    <w:rsid w:val="008113D9"/>
    <w:rsid w:val="008114F7"/>
    <w:rsid w:val="00811689"/>
    <w:rsid w:val="00811A3B"/>
    <w:rsid w:val="00812654"/>
    <w:rsid w:val="00812967"/>
    <w:rsid w:val="00812DE0"/>
    <w:rsid w:val="00813588"/>
    <w:rsid w:val="0081454B"/>
    <w:rsid w:val="00814C59"/>
    <w:rsid w:val="00815A41"/>
    <w:rsid w:val="00815D6E"/>
    <w:rsid w:val="00816799"/>
    <w:rsid w:val="00816A5B"/>
    <w:rsid w:val="0081747F"/>
    <w:rsid w:val="00817551"/>
    <w:rsid w:val="00817A12"/>
    <w:rsid w:val="00817EDA"/>
    <w:rsid w:val="00820E2D"/>
    <w:rsid w:val="008215F0"/>
    <w:rsid w:val="00821999"/>
    <w:rsid w:val="008219A9"/>
    <w:rsid w:val="00821D67"/>
    <w:rsid w:val="0082275B"/>
    <w:rsid w:val="00822F5E"/>
    <w:rsid w:val="008238CE"/>
    <w:rsid w:val="0082391D"/>
    <w:rsid w:val="00823BAA"/>
    <w:rsid w:val="00823CE9"/>
    <w:rsid w:val="008241D4"/>
    <w:rsid w:val="0082432F"/>
    <w:rsid w:val="00824718"/>
    <w:rsid w:val="00825EFB"/>
    <w:rsid w:val="00825F08"/>
    <w:rsid w:val="00826C71"/>
    <w:rsid w:val="008275E6"/>
    <w:rsid w:val="00827B6A"/>
    <w:rsid w:val="00830775"/>
    <w:rsid w:val="00831628"/>
    <w:rsid w:val="008319F0"/>
    <w:rsid w:val="00831C46"/>
    <w:rsid w:val="00831CCF"/>
    <w:rsid w:val="00831DBE"/>
    <w:rsid w:val="008336FD"/>
    <w:rsid w:val="00833743"/>
    <w:rsid w:val="00833B0A"/>
    <w:rsid w:val="008347D9"/>
    <w:rsid w:val="008412C4"/>
    <w:rsid w:val="0084166C"/>
    <w:rsid w:val="00843466"/>
    <w:rsid w:val="00844123"/>
    <w:rsid w:val="008453D9"/>
    <w:rsid w:val="00845BB7"/>
    <w:rsid w:val="00845C9A"/>
    <w:rsid w:val="00845F51"/>
    <w:rsid w:val="008463DA"/>
    <w:rsid w:val="00846804"/>
    <w:rsid w:val="00847D9C"/>
    <w:rsid w:val="00847FC0"/>
    <w:rsid w:val="00850516"/>
    <w:rsid w:val="00850CA7"/>
    <w:rsid w:val="008513F0"/>
    <w:rsid w:val="00851B33"/>
    <w:rsid w:val="00851D9D"/>
    <w:rsid w:val="008521F5"/>
    <w:rsid w:val="0085282F"/>
    <w:rsid w:val="00852F59"/>
    <w:rsid w:val="00853BBB"/>
    <w:rsid w:val="00854BF5"/>
    <w:rsid w:val="0085554A"/>
    <w:rsid w:val="008556B0"/>
    <w:rsid w:val="008559FC"/>
    <w:rsid w:val="0085646B"/>
    <w:rsid w:val="008565B9"/>
    <w:rsid w:val="00856765"/>
    <w:rsid w:val="00856FF7"/>
    <w:rsid w:val="0085747D"/>
    <w:rsid w:val="00857616"/>
    <w:rsid w:val="00857954"/>
    <w:rsid w:val="008602F1"/>
    <w:rsid w:val="008606C3"/>
    <w:rsid w:val="00860967"/>
    <w:rsid w:val="008609D2"/>
    <w:rsid w:val="00861A9E"/>
    <w:rsid w:val="00861F29"/>
    <w:rsid w:val="00861F8F"/>
    <w:rsid w:val="0086264F"/>
    <w:rsid w:val="008626B7"/>
    <w:rsid w:val="00862A1D"/>
    <w:rsid w:val="00863874"/>
    <w:rsid w:val="00863A48"/>
    <w:rsid w:val="00863AFE"/>
    <w:rsid w:val="00864F7D"/>
    <w:rsid w:val="00864F9B"/>
    <w:rsid w:val="008653C4"/>
    <w:rsid w:val="0086679C"/>
    <w:rsid w:val="0086701D"/>
    <w:rsid w:val="00867923"/>
    <w:rsid w:val="00867DDB"/>
    <w:rsid w:val="00867E5D"/>
    <w:rsid w:val="00867EB7"/>
    <w:rsid w:val="00870883"/>
    <w:rsid w:val="0087188E"/>
    <w:rsid w:val="008725B6"/>
    <w:rsid w:val="008728F3"/>
    <w:rsid w:val="00872BD1"/>
    <w:rsid w:val="00873794"/>
    <w:rsid w:val="0087385E"/>
    <w:rsid w:val="008739EE"/>
    <w:rsid w:val="00873D7F"/>
    <w:rsid w:val="008748C8"/>
    <w:rsid w:val="00874D34"/>
    <w:rsid w:val="008759A3"/>
    <w:rsid w:val="00875B81"/>
    <w:rsid w:val="008762E8"/>
    <w:rsid w:val="008765A0"/>
    <w:rsid w:val="008774BF"/>
    <w:rsid w:val="00877590"/>
    <w:rsid w:val="008776F5"/>
    <w:rsid w:val="00877874"/>
    <w:rsid w:val="00877954"/>
    <w:rsid w:val="00877E5C"/>
    <w:rsid w:val="00881497"/>
    <w:rsid w:val="00881998"/>
    <w:rsid w:val="00881C03"/>
    <w:rsid w:val="00881C82"/>
    <w:rsid w:val="0088226B"/>
    <w:rsid w:val="00882537"/>
    <w:rsid w:val="00882859"/>
    <w:rsid w:val="00882C12"/>
    <w:rsid w:val="00883859"/>
    <w:rsid w:val="00883CBA"/>
    <w:rsid w:val="00883E4E"/>
    <w:rsid w:val="0088512B"/>
    <w:rsid w:val="00885942"/>
    <w:rsid w:val="00886E16"/>
    <w:rsid w:val="008875AE"/>
    <w:rsid w:val="0088795D"/>
    <w:rsid w:val="00890AAB"/>
    <w:rsid w:val="00890BF5"/>
    <w:rsid w:val="008910D1"/>
    <w:rsid w:val="00891E5D"/>
    <w:rsid w:val="00892178"/>
    <w:rsid w:val="0089244B"/>
    <w:rsid w:val="008926CE"/>
    <w:rsid w:val="00892C0D"/>
    <w:rsid w:val="00893E33"/>
    <w:rsid w:val="00896111"/>
    <w:rsid w:val="00896301"/>
    <w:rsid w:val="00896FD0"/>
    <w:rsid w:val="008977C0"/>
    <w:rsid w:val="00897F9D"/>
    <w:rsid w:val="008A2818"/>
    <w:rsid w:val="008A2B97"/>
    <w:rsid w:val="008A3368"/>
    <w:rsid w:val="008A35C4"/>
    <w:rsid w:val="008A3BEB"/>
    <w:rsid w:val="008A5109"/>
    <w:rsid w:val="008A525F"/>
    <w:rsid w:val="008A5429"/>
    <w:rsid w:val="008A55B9"/>
    <w:rsid w:val="008A59F4"/>
    <w:rsid w:val="008A6051"/>
    <w:rsid w:val="008A6634"/>
    <w:rsid w:val="008B02D1"/>
    <w:rsid w:val="008B2357"/>
    <w:rsid w:val="008B36A7"/>
    <w:rsid w:val="008B376D"/>
    <w:rsid w:val="008B39CA"/>
    <w:rsid w:val="008B3C94"/>
    <w:rsid w:val="008B4650"/>
    <w:rsid w:val="008B4B1E"/>
    <w:rsid w:val="008B4B3D"/>
    <w:rsid w:val="008B54EF"/>
    <w:rsid w:val="008B63EF"/>
    <w:rsid w:val="008B6B10"/>
    <w:rsid w:val="008C1306"/>
    <w:rsid w:val="008C13F6"/>
    <w:rsid w:val="008C2B5D"/>
    <w:rsid w:val="008C341C"/>
    <w:rsid w:val="008C3890"/>
    <w:rsid w:val="008C3CC9"/>
    <w:rsid w:val="008C4876"/>
    <w:rsid w:val="008C4985"/>
    <w:rsid w:val="008C6503"/>
    <w:rsid w:val="008C68F1"/>
    <w:rsid w:val="008C6AAE"/>
    <w:rsid w:val="008C6D5C"/>
    <w:rsid w:val="008C7064"/>
    <w:rsid w:val="008C7094"/>
    <w:rsid w:val="008C7221"/>
    <w:rsid w:val="008C77FD"/>
    <w:rsid w:val="008D1189"/>
    <w:rsid w:val="008D11F7"/>
    <w:rsid w:val="008D2E72"/>
    <w:rsid w:val="008D371A"/>
    <w:rsid w:val="008D3F61"/>
    <w:rsid w:val="008D40BB"/>
    <w:rsid w:val="008D4684"/>
    <w:rsid w:val="008D52E4"/>
    <w:rsid w:val="008D5752"/>
    <w:rsid w:val="008D65BD"/>
    <w:rsid w:val="008D6859"/>
    <w:rsid w:val="008D6B7A"/>
    <w:rsid w:val="008D7E70"/>
    <w:rsid w:val="008E1679"/>
    <w:rsid w:val="008E278F"/>
    <w:rsid w:val="008E2DE3"/>
    <w:rsid w:val="008E38A1"/>
    <w:rsid w:val="008E3C69"/>
    <w:rsid w:val="008E4EE0"/>
    <w:rsid w:val="008E53C1"/>
    <w:rsid w:val="008E5515"/>
    <w:rsid w:val="008E552B"/>
    <w:rsid w:val="008E63FF"/>
    <w:rsid w:val="008E64F4"/>
    <w:rsid w:val="008E66BC"/>
    <w:rsid w:val="008E7018"/>
    <w:rsid w:val="008E708C"/>
    <w:rsid w:val="008E771D"/>
    <w:rsid w:val="008E7C12"/>
    <w:rsid w:val="008E7D3C"/>
    <w:rsid w:val="008F0921"/>
    <w:rsid w:val="008F1D7B"/>
    <w:rsid w:val="008F2AFE"/>
    <w:rsid w:val="008F2CF6"/>
    <w:rsid w:val="008F2E91"/>
    <w:rsid w:val="008F2FC5"/>
    <w:rsid w:val="008F39DA"/>
    <w:rsid w:val="008F3CF6"/>
    <w:rsid w:val="008F3E47"/>
    <w:rsid w:val="008F413A"/>
    <w:rsid w:val="008F4A13"/>
    <w:rsid w:val="008F4AAE"/>
    <w:rsid w:val="008F5581"/>
    <w:rsid w:val="008F58A7"/>
    <w:rsid w:val="008F6107"/>
    <w:rsid w:val="008F66A6"/>
    <w:rsid w:val="008F6EAC"/>
    <w:rsid w:val="008F7AE8"/>
    <w:rsid w:val="009000B0"/>
    <w:rsid w:val="00900184"/>
    <w:rsid w:val="009004A5"/>
    <w:rsid w:val="0090066C"/>
    <w:rsid w:val="00901C58"/>
    <w:rsid w:val="00901DEA"/>
    <w:rsid w:val="009027E0"/>
    <w:rsid w:val="00902CA8"/>
    <w:rsid w:val="00902E59"/>
    <w:rsid w:val="0090343B"/>
    <w:rsid w:val="0090418D"/>
    <w:rsid w:val="0090480D"/>
    <w:rsid w:val="0090501A"/>
    <w:rsid w:val="0090572F"/>
    <w:rsid w:val="00905DC6"/>
    <w:rsid w:val="00905E46"/>
    <w:rsid w:val="00906B32"/>
    <w:rsid w:val="00906B63"/>
    <w:rsid w:val="009078AB"/>
    <w:rsid w:val="0091015C"/>
    <w:rsid w:val="00910358"/>
    <w:rsid w:val="00911601"/>
    <w:rsid w:val="00911FA6"/>
    <w:rsid w:val="00912224"/>
    <w:rsid w:val="00912FF6"/>
    <w:rsid w:val="0091324D"/>
    <w:rsid w:val="00913B4E"/>
    <w:rsid w:val="00914CAD"/>
    <w:rsid w:val="00915E06"/>
    <w:rsid w:val="009163CD"/>
    <w:rsid w:val="00917FCB"/>
    <w:rsid w:val="00920083"/>
    <w:rsid w:val="00920AB2"/>
    <w:rsid w:val="00920C2A"/>
    <w:rsid w:val="00921129"/>
    <w:rsid w:val="009213CE"/>
    <w:rsid w:val="0092226B"/>
    <w:rsid w:val="00924E74"/>
    <w:rsid w:val="00926B0A"/>
    <w:rsid w:val="00926D05"/>
    <w:rsid w:val="00926E62"/>
    <w:rsid w:val="009275AE"/>
    <w:rsid w:val="009308A5"/>
    <w:rsid w:val="00930D80"/>
    <w:rsid w:val="00932A59"/>
    <w:rsid w:val="00933205"/>
    <w:rsid w:val="00933505"/>
    <w:rsid w:val="009340F9"/>
    <w:rsid w:val="00935C15"/>
    <w:rsid w:val="00935F7D"/>
    <w:rsid w:val="009361CE"/>
    <w:rsid w:val="009363DC"/>
    <w:rsid w:val="009364A0"/>
    <w:rsid w:val="009368A2"/>
    <w:rsid w:val="009368F3"/>
    <w:rsid w:val="00937276"/>
    <w:rsid w:val="00937373"/>
    <w:rsid w:val="00937639"/>
    <w:rsid w:val="009376E4"/>
    <w:rsid w:val="00937835"/>
    <w:rsid w:val="009378D5"/>
    <w:rsid w:val="0094085D"/>
    <w:rsid w:val="0094096E"/>
    <w:rsid w:val="00940D83"/>
    <w:rsid w:val="00941922"/>
    <w:rsid w:val="00941A92"/>
    <w:rsid w:val="00941D7C"/>
    <w:rsid w:val="0094258A"/>
    <w:rsid w:val="00942869"/>
    <w:rsid w:val="0094307D"/>
    <w:rsid w:val="00943712"/>
    <w:rsid w:val="0094376A"/>
    <w:rsid w:val="0094414D"/>
    <w:rsid w:val="009446E1"/>
    <w:rsid w:val="00945810"/>
    <w:rsid w:val="00946953"/>
    <w:rsid w:val="00946B60"/>
    <w:rsid w:val="009471F8"/>
    <w:rsid w:val="00947227"/>
    <w:rsid w:val="009476F3"/>
    <w:rsid w:val="009500DD"/>
    <w:rsid w:val="0095027F"/>
    <w:rsid w:val="009505F2"/>
    <w:rsid w:val="00950CC5"/>
    <w:rsid w:val="0095117D"/>
    <w:rsid w:val="009513C9"/>
    <w:rsid w:val="0095154E"/>
    <w:rsid w:val="0095180F"/>
    <w:rsid w:val="00951E7F"/>
    <w:rsid w:val="00952052"/>
    <w:rsid w:val="009522D4"/>
    <w:rsid w:val="0095308A"/>
    <w:rsid w:val="0095390E"/>
    <w:rsid w:val="00953B99"/>
    <w:rsid w:val="00953F24"/>
    <w:rsid w:val="00954190"/>
    <w:rsid w:val="009546F3"/>
    <w:rsid w:val="0095491A"/>
    <w:rsid w:val="00954979"/>
    <w:rsid w:val="00954A06"/>
    <w:rsid w:val="00954AC5"/>
    <w:rsid w:val="009552EB"/>
    <w:rsid w:val="00955B41"/>
    <w:rsid w:val="00955D30"/>
    <w:rsid w:val="00956C83"/>
    <w:rsid w:val="00956E9F"/>
    <w:rsid w:val="00957F78"/>
    <w:rsid w:val="00960841"/>
    <w:rsid w:val="0096180F"/>
    <w:rsid w:val="00961E2F"/>
    <w:rsid w:val="0096208B"/>
    <w:rsid w:val="009625A1"/>
    <w:rsid w:val="00962C8D"/>
    <w:rsid w:val="00963624"/>
    <w:rsid w:val="00963D49"/>
    <w:rsid w:val="00964BDF"/>
    <w:rsid w:val="00964DBC"/>
    <w:rsid w:val="00964F9C"/>
    <w:rsid w:val="0096505F"/>
    <w:rsid w:val="00965475"/>
    <w:rsid w:val="009655CF"/>
    <w:rsid w:val="009662B4"/>
    <w:rsid w:val="00966405"/>
    <w:rsid w:val="009665E0"/>
    <w:rsid w:val="00967679"/>
    <w:rsid w:val="009677C6"/>
    <w:rsid w:val="00967891"/>
    <w:rsid w:val="00967930"/>
    <w:rsid w:val="00967B46"/>
    <w:rsid w:val="00967BFE"/>
    <w:rsid w:val="009704A9"/>
    <w:rsid w:val="00972599"/>
    <w:rsid w:val="009727CD"/>
    <w:rsid w:val="00972D03"/>
    <w:rsid w:val="009730DF"/>
    <w:rsid w:val="0097387E"/>
    <w:rsid w:val="009742D4"/>
    <w:rsid w:val="0097471B"/>
    <w:rsid w:val="0097474A"/>
    <w:rsid w:val="009748D6"/>
    <w:rsid w:val="00974980"/>
    <w:rsid w:val="00974B97"/>
    <w:rsid w:val="00974E43"/>
    <w:rsid w:val="009750D5"/>
    <w:rsid w:val="0097593E"/>
    <w:rsid w:val="009759B3"/>
    <w:rsid w:val="00975BB8"/>
    <w:rsid w:val="00975EA4"/>
    <w:rsid w:val="009766AB"/>
    <w:rsid w:val="00976EBB"/>
    <w:rsid w:val="009808A8"/>
    <w:rsid w:val="0098097C"/>
    <w:rsid w:val="009810EB"/>
    <w:rsid w:val="00981673"/>
    <w:rsid w:val="0098174B"/>
    <w:rsid w:val="009819CB"/>
    <w:rsid w:val="00981BE0"/>
    <w:rsid w:val="00983C1F"/>
    <w:rsid w:val="00984032"/>
    <w:rsid w:val="0098406C"/>
    <w:rsid w:val="00984E36"/>
    <w:rsid w:val="009850E7"/>
    <w:rsid w:val="00985A8C"/>
    <w:rsid w:val="00985BCE"/>
    <w:rsid w:val="009861ED"/>
    <w:rsid w:val="00986BD7"/>
    <w:rsid w:val="00987353"/>
    <w:rsid w:val="009913D2"/>
    <w:rsid w:val="00991F7F"/>
    <w:rsid w:val="0099267D"/>
    <w:rsid w:val="009926B6"/>
    <w:rsid w:val="00992EEA"/>
    <w:rsid w:val="009930D0"/>
    <w:rsid w:val="00993AF5"/>
    <w:rsid w:val="00994F83"/>
    <w:rsid w:val="009958D5"/>
    <w:rsid w:val="00995A71"/>
    <w:rsid w:val="00995A9A"/>
    <w:rsid w:val="009964C9"/>
    <w:rsid w:val="00997B18"/>
    <w:rsid w:val="00997F83"/>
    <w:rsid w:val="009A013E"/>
    <w:rsid w:val="009A015B"/>
    <w:rsid w:val="009A0E86"/>
    <w:rsid w:val="009A23B9"/>
    <w:rsid w:val="009A264F"/>
    <w:rsid w:val="009A2B52"/>
    <w:rsid w:val="009A3394"/>
    <w:rsid w:val="009A38AA"/>
    <w:rsid w:val="009A3A97"/>
    <w:rsid w:val="009A3EEE"/>
    <w:rsid w:val="009A4102"/>
    <w:rsid w:val="009A666B"/>
    <w:rsid w:val="009A6680"/>
    <w:rsid w:val="009A7219"/>
    <w:rsid w:val="009A76A1"/>
    <w:rsid w:val="009A7ABE"/>
    <w:rsid w:val="009A7B93"/>
    <w:rsid w:val="009B0A32"/>
    <w:rsid w:val="009B1F2C"/>
    <w:rsid w:val="009B260C"/>
    <w:rsid w:val="009B29B6"/>
    <w:rsid w:val="009B2E06"/>
    <w:rsid w:val="009B3A6C"/>
    <w:rsid w:val="009B3FA8"/>
    <w:rsid w:val="009B416D"/>
    <w:rsid w:val="009B534A"/>
    <w:rsid w:val="009B5C6F"/>
    <w:rsid w:val="009B63A5"/>
    <w:rsid w:val="009B64C8"/>
    <w:rsid w:val="009B78C1"/>
    <w:rsid w:val="009B7905"/>
    <w:rsid w:val="009B7999"/>
    <w:rsid w:val="009B7DE9"/>
    <w:rsid w:val="009C0EBB"/>
    <w:rsid w:val="009C11B6"/>
    <w:rsid w:val="009C143C"/>
    <w:rsid w:val="009C1D96"/>
    <w:rsid w:val="009C1E95"/>
    <w:rsid w:val="009C26EE"/>
    <w:rsid w:val="009C2707"/>
    <w:rsid w:val="009C27F2"/>
    <w:rsid w:val="009C2AD8"/>
    <w:rsid w:val="009C2EF8"/>
    <w:rsid w:val="009C3580"/>
    <w:rsid w:val="009C35EB"/>
    <w:rsid w:val="009C3ABD"/>
    <w:rsid w:val="009C417A"/>
    <w:rsid w:val="009C4F84"/>
    <w:rsid w:val="009C5AF6"/>
    <w:rsid w:val="009C5FC3"/>
    <w:rsid w:val="009C71AA"/>
    <w:rsid w:val="009C7650"/>
    <w:rsid w:val="009D00FB"/>
    <w:rsid w:val="009D031C"/>
    <w:rsid w:val="009D060F"/>
    <w:rsid w:val="009D343F"/>
    <w:rsid w:val="009D3D77"/>
    <w:rsid w:val="009D4390"/>
    <w:rsid w:val="009D444F"/>
    <w:rsid w:val="009D4D7F"/>
    <w:rsid w:val="009D522B"/>
    <w:rsid w:val="009D53BB"/>
    <w:rsid w:val="009D53C3"/>
    <w:rsid w:val="009D54AB"/>
    <w:rsid w:val="009D5A36"/>
    <w:rsid w:val="009D5B7A"/>
    <w:rsid w:val="009D6448"/>
    <w:rsid w:val="009E0A79"/>
    <w:rsid w:val="009E0B42"/>
    <w:rsid w:val="009E1610"/>
    <w:rsid w:val="009E3180"/>
    <w:rsid w:val="009E3930"/>
    <w:rsid w:val="009E3A80"/>
    <w:rsid w:val="009E476D"/>
    <w:rsid w:val="009E561B"/>
    <w:rsid w:val="009E5C82"/>
    <w:rsid w:val="009E5C9F"/>
    <w:rsid w:val="009E7133"/>
    <w:rsid w:val="009E72E7"/>
    <w:rsid w:val="009F0C4B"/>
    <w:rsid w:val="009F0ED7"/>
    <w:rsid w:val="009F21ED"/>
    <w:rsid w:val="009F2378"/>
    <w:rsid w:val="009F2A30"/>
    <w:rsid w:val="009F389D"/>
    <w:rsid w:val="009F3EC0"/>
    <w:rsid w:val="009F43CE"/>
    <w:rsid w:val="009F4E01"/>
    <w:rsid w:val="009F5848"/>
    <w:rsid w:val="009F5E3F"/>
    <w:rsid w:val="009F5FFE"/>
    <w:rsid w:val="009F6F17"/>
    <w:rsid w:val="00A00A0A"/>
    <w:rsid w:val="00A00B49"/>
    <w:rsid w:val="00A00B68"/>
    <w:rsid w:val="00A01727"/>
    <w:rsid w:val="00A0183A"/>
    <w:rsid w:val="00A01856"/>
    <w:rsid w:val="00A018E5"/>
    <w:rsid w:val="00A01D1B"/>
    <w:rsid w:val="00A024D7"/>
    <w:rsid w:val="00A02E72"/>
    <w:rsid w:val="00A032EF"/>
    <w:rsid w:val="00A0351A"/>
    <w:rsid w:val="00A0385D"/>
    <w:rsid w:val="00A038D6"/>
    <w:rsid w:val="00A05640"/>
    <w:rsid w:val="00A06EBE"/>
    <w:rsid w:val="00A07475"/>
    <w:rsid w:val="00A0763F"/>
    <w:rsid w:val="00A102B6"/>
    <w:rsid w:val="00A10659"/>
    <w:rsid w:val="00A10D3C"/>
    <w:rsid w:val="00A10F29"/>
    <w:rsid w:val="00A11A3C"/>
    <w:rsid w:val="00A1270B"/>
    <w:rsid w:val="00A13B53"/>
    <w:rsid w:val="00A13F38"/>
    <w:rsid w:val="00A14EF4"/>
    <w:rsid w:val="00A14F67"/>
    <w:rsid w:val="00A155F1"/>
    <w:rsid w:val="00A1585B"/>
    <w:rsid w:val="00A158E0"/>
    <w:rsid w:val="00A15D9E"/>
    <w:rsid w:val="00A15F67"/>
    <w:rsid w:val="00A15FCD"/>
    <w:rsid w:val="00A17A04"/>
    <w:rsid w:val="00A17BC9"/>
    <w:rsid w:val="00A17CB8"/>
    <w:rsid w:val="00A201B1"/>
    <w:rsid w:val="00A202D8"/>
    <w:rsid w:val="00A2063F"/>
    <w:rsid w:val="00A207DD"/>
    <w:rsid w:val="00A210E3"/>
    <w:rsid w:val="00A221D3"/>
    <w:rsid w:val="00A22542"/>
    <w:rsid w:val="00A231A9"/>
    <w:rsid w:val="00A23442"/>
    <w:rsid w:val="00A23590"/>
    <w:rsid w:val="00A239A0"/>
    <w:rsid w:val="00A245EE"/>
    <w:rsid w:val="00A2468A"/>
    <w:rsid w:val="00A24A51"/>
    <w:rsid w:val="00A26B3B"/>
    <w:rsid w:val="00A26FC9"/>
    <w:rsid w:val="00A27C0A"/>
    <w:rsid w:val="00A27E68"/>
    <w:rsid w:val="00A3047B"/>
    <w:rsid w:val="00A315FC"/>
    <w:rsid w:val="00A33078"/>
    <w:rsid w:val="00A3330E"/>
    <w:rsid w:val="00A34DFB"/>
    <w:rsid w:val="00A351AB"/>
    <w:rsid w:val="00A35735"/>
    <w:rsid w:val="00A363FD"/>
    <w:rsid w:val="00A36497"/>
    <w:rsid w:val="00A368AD"/>
    <w:rsid w:val="00A36B27"/>
    <w:rsid w:val="00A36CB6"/>
    <w:rsid w:val="00A3783A"/>
    <w:rsid w:val="00A37A42"/>
    <w:rsid w:val="00A37E9C"/>
    <w:rsid w:val="00A37F34"/>
    <w:rsid w:val="00A4019B"/>
    <w:rsid w:val="00A407B4"/>
    <w:rsid w:val="00A41C2E"/>
    <w:rsid w:val="00A42771"/>
    <w:rsid w:val="00A43404"/>
    <w:rsid w:val="00A4453A"/>
    <w:rsid w:val="00A44939"/>
    <w:rsid w:val="00A45196"/>
    <w:rsid w:val="00A45478"/>
    <w:rsid w:val="00A45D4E"/>
    <w:rsid w:val="00A467E1"/>
    <w:rsid w:val="00A46AFD"/>
    <w:rsid w:val="00A4703C"/>
    <w:rsid w:val="00A47BD6"/>
    <w:rsid w:val="00A506F5"/>
    <w:rsid w:val="00A51B68"/>
    <w:rsid w:val="00A52AB3"/>
    <w:rsid w:val="00A52BE5"/>
    <w:rsid w:val="00A52F4F"/>
    <w:rsid w:val="00A53350"/>
    <w:rsid w:val="00A533B9"/>
    <w:rsid w:val="00A537ED"/>
    <w:rsid w:val="00A53A29"/>
    <w:rsid w:val="00A53DD1"/>
    <w:rsid w:val="00A54E06"/>
    <w:rsid w:val="00A55154"/>
    <w:rsid w:val="00A55159"/>
    <w:rsid w:val="00A5581B"/>
    <w:rsid w:val="00A56343"/>
    <w:rsid w:val="00A5664B"/>
    <w:rsid w:val="00A571EB"/>
    <w:rsid w:val="00A600CB"/>
    <w:rsid w:val="00A602AA"/>
    <w:rsid w:val="00A611F4"/>
    <w:rsid w:val="00A61C64"/>
    <w:rsid w:val="00A61C8B"/>
    <w:rsid w:val="00A61F79"/>
    <w:rsid w:val="00A626EC"/>
    <w:rsid w:val="00A62D99"/>
    <w:rsid w:val="00A6356A"/>
    <w:rsid w:val="00A644CF"/>
    <w:rsid w:val="00A64A03"/>
    <w:rsid w:val="00A65439"/>
    <w:rsid w:val="00A659F8"/>
    <w:rsid w:val="00A65A14"/>
    <w:rsid w:val="00A65E11"/>
    <w:rsid w:val="00A66ABC"/>
    <w:rsid w:val="00A67234"/>
    <w:rsid w:val="00A679D7"/>
    <w:rsid w:val="00A67FF6"/>
    <w:rsid w:val="00A702EC"/>
    <w:rsid w:val="00A70342"/>
    <w:rsid w:val="00A7055E"/>
    <w:rsid w:val="00A71D76"/>
    <w:rsid w:val="00A7213B"/>
    <w:rsid w:val="00A7221D"/>
    <w:rsid w:val="00A72713"/>
    <w:rsid w:val="00A727EC"/>
    <w:rsid w:val="00A7337F"/>
    <w:rsid w:val="00A739CD"/>
    <w:rsid w:val="00A73C81"/>
    <w:rsid w:val="00A746CB"/>
    <w:rsid w:val="00A757A4"/>
    <w:rsid w:val="00A764E8"/>
    <w:rsid w:val="00A77399"/>
    <w:rsid w:val="00A77927"/>
    <w:rsid w:val="00A77B96"/>
    <w:rsid w:val="00A77D96"/>
    <w:rsid w:val="00A802AA"/>
    <w:rsid w:val="00A80B4E"/>
    <w:rsid w:val="00A80E42"/>
    <w:rsid w:val="00A81955"/>
    <w:rsid w:val="00A81A1C"/>
    <w:rsid w:val="00A81BEE"/>
    <w:rsid w:val="00A81FB7"/>
    <w:rsid w:val="00A83405"/>
    <w:rsid w:val="00A83701"/>
    <w:rsid w:val="00A84063"/>
    <w:rsid w:val="00A84A78"/>
    <w:rsid w:val="00A84D59"/>
    <w:rsid w:val="00A852B9"/>
    <w:rsid w:val="00A8596A"/>
    <w:rsid w:val="00A86253"/>
    <w:rsid w:val="00A87D12"/>
    <w:rsid w:val="00A901F5"/>
    <w:rsid w:val="00A90BE7"/>
    <w:rsid w:val="00A90D81"/>
    <w:rsid w:val="00A910D1"/>
    <w:rsid w:val="00A91BC9"/>
    <w:rsid w:val="00A9203D"/>
    <w:rsid w:val="00A9229A"/>
    <w:rsid w:val="00A92EFB"/>
    <w:rsid w:val="00A9332E"/>
    <w:rsid w:val="00A936BA"/>
    <w:rsid w:val="00A940D1"/>
    <w:rsid w:val="00A94989"/>
    <w:rsid w:val="00A94E6C"/>
    <w:rsid w:val="00A951C5"/>
    <w:rsid w:val="00A95931"/>
    <w:rsid w:val="00A96456"/>
    <w:rsid w:val="00A9692F"/>
    <w:rsid w:val="00A97117"/>
    <w:rsid w:val="00AA004D"/>
    <w:rsid w:val="00AA1261"/>
    <w:rsid w:val="00AA148A"/>
    <w:rsid w:val="00AA21A9"/>
    <w:rsid w:val="00AA306C"/>
    <w:rsid w:val="00AA3873"/>
    <w:rsid w:val="00AA3B6C"/>
    <w:rsid w:val="00AA3BB1"/>
    <w:rsid w:val="00AA4144"/>
    <w:rsid w:val="00AA43DB"/>
    <w:rsid w:val="00AA44B7"/>
    <w:rsid w:val="00AA4E2D"/>
    <w:rsid w:val="00AA4F79"/>
    <w:rsid w:val="00AA561B"/>
    <w:rsid w:val="00AA5EE3"/>
    <w:rsid w:val="00AA7390"/>
    <w:rsid w:val="00AB041E"/>
    <w:rsid w:val="00AB05A3"/>
    <w:rsid w:val="00AB07B9"/>
    <w:rsid w:val="00AB1187"/>
    <w:rsid w:val="00AB170D"/>
    <w:rsid w:val="00AB182F"/>
    <w:rsid w:val="00AB1B1A"/>
    <w:rsid w:val="00AB2647"/>
    <w:rsid w:val="00AB272C"/>
    <w:rsid w:val="00AB320B"/>
    <w:rsid w:val="00AB39B6"/>
    <w:rsid w:val="00AB4934"/>
    <w:rsid w:val="00AB496D"/>
    <w:rsid w:val="00AB4E15"/>
    <w:rsid w:val="00AB4E76"/>
    <w:rsid w:val="00AB50A7"/>
    <w:rsid w:val="00AB6000"/>
    <w:rsid w:val="00AB7E4C"/>
    <w:rsid w:val="00AC02EB"/>
    <w:rsid w:val="00AC0BAC"/>
    <w:rsid w:val="00AC0EBA"/>
    <w:rsid w:val="00AC0FBA"/>
    <w:rsid w:val="00AC161F"/>
    <w:rsid w:val="00AC21E4"/>
    <w:rsid w:val="00AC274A"/>
    <w:rsid w:val="00AC2B53"/>
    <w:rsid w:val="00AC3795"/>
    <w:rsid w:val="00AC3E25"/>
    <w:rsid w:val="00AC4088"/>
    <w:rsid w:val="00AC445C"/>
    <w:rsid w:val="00AC5CBD"/>
    <w:rsid w:val="00AC6489"/>
    <w:rsid w:val="00AC7199"/>
    <w:rsid w:val="00AC7301"/>
    <w:rsid w:val="00AC751A"/>
    <w:rsid w:val="00AC788A"/>
    <w:rsid w:val="00AC79DD"/>
    <w:rsid w:val="00AC7AD0"/>
    <w:rsid w:val="00AC7DA0"/>
    <w:rsid w:val="00AD1BA6"/>
    <w:rsid w:val="00AD1CE1"/>
    <w:rsid w:val="00AD258F"/>
    <w:rsid w:val="00AD53CE"/>
    <w:rsid w:val="00AD59E7"/>
    <w:rsid w:val="00AD5B71"/>
    <w:rsid w:val="00AD65AE"/>
    <w:rsid w:val="00AD6A9E"/>
    <w:rsid w:val="00AD7061"/>
    <w:rsid w:val="00AD71CC"/>
    <w:rsid w:val="00AE09A6"/>
    <w:rsid w:val="00AE2BF9"/>
    <w:rsid w:val="00AE33D7"/>
    <w:rsid w:val="00AE428C"/>
    <w:rsid w:val="00AE4312"/>
    <w:rsid w:val="00AE4865"/>
    <w:rsid w:val="00AE4A20"/>
    <w:rsid w:val="00AE56B8"/>
    <w:rsid w:val="00AE6088"/>
    <w:rsid w:val="00AE61B5"/>
    <w:rsid w:val="00AE61C8"/>
    <w:rsid w:val="00AE67E3"/>
    <w:rsid w:val="00AE6B95"/>
    <w:rsid w:val="00AE71C9"/>
    <w:rsid w:val="00AF07C3"/>
    <w:rsid w:val="00AF1859"/>
    <w:rsid w:val="00AF20FF"/>
    <w:rsid w:val="00AF2198"/>
    <w:rsid w:val="00AF2576"/>
    <w:rsid w:val="00AF27D4"/>
    <w:rsid w:val="00AF4671"/>
    <w:rsid w:val="00AF49F4"/>
    <w:rsid w:val="00AF54EE"/>
    <w:rsid w:val="00AF55FF"/>
    <w:rsid w:val="00AF5746"/>
    <w:rsid w:val="00AF6F9E"/>
    <w:rsid w:val="00AF7628"/>
    <w:rsid w:val="00AF7774"/>
    <w:rsid w:val="00AF7F6B"/>
    <w:rsid w:val="00B007D4"/>
    <w:rsid w:val="00B015FF"/>
    <w:rsid w:val="00B02122"/>
    <w:rsid w:val="00B02F4F"/>
    <w:rsid w:val="00B03360"/>
    <w:rsid w:val="00B03482"/>
    <w:rsid w:val="00B037D7"/>
    <w:rsid w:val="00B03D18"/>
    <w:rsid w:val="00B0462F"/>
    <w:rsid w:val="00B0524F"/>
    <w:rsid w:val="00B05AF0"/>
    <w:rsid w:val="00B06513"/>
    <w:rsid w:val="00B0680A"/>
    <w:rsid w:val="00B06C2F"/>
    <w:rsid w:val="00B07023"/>
    <w:rsid w:val="00B07123"/>
    <w:rsid w:val="00B10497"/>
    <w:rsid w:val="00B107D0"/>
    <w:rsid w:val="00B12BDA"/>
    <w:rsid w:val="00B12D2A"/>
    <w:rsid w:val="00B141FA"/>
    <w:rsid w:val="00B1473E"/>
    <w:rsid w:val="00B14A5F"/>
    <w:rsid w:val="00B14EAD"/>
    <w:rsid w:val="00B15EB6"/>
    <w:rsid w:val="00B169FF"/>
    <w:rsid w:val="00B16C71"/>
    <w:rsid w:val="00B16FFB"/>
    <w:rsid w:val="00B202E0"/>
    <w:rsid w:val="00B20B2D"/>
    <w:rsid w:val="00B20D94"/>
    <w:rsid w:val="00B20DE2"/>
    <w:rsid w:val="00B20EA9"/>
    <w:rsid w:val="00B213F9"/>
    <w:rsid w:val="00B2209E"/>
    <w:rsid w:val="00B24577"/>
    <w:rsid w:val="00B2467C"/>
    <w:rsid w:val="00B24907"/>
    <w:rsid w:val="00B24A87"/>
    <w:rsid w:val="00B250D2"/>
    <w:rsid w:val="00B254B3"/>
    <w:rsid w:val="00B2601B"/>
    <w:rsid w:val="00B27D83"/>
    <w:rsid w:val="00B3032A"/>
    <w:rsid w:val="00B30698"/>
    <w:rsid w:val="00B30B39"/>
    <w:rsid w:val="00B30BE1"/>
    <w:rsid w:val="00B31B82"/>
    <w:rsid w:val="00B32C0E"/>
    <w:rsid w:val="00B32D31"/>
    <w:rsid w:val="00B33015"/>
    <w:rsid w:val="00B33232"/>
    <w:rsid w:val="00B33D1C"/>
    <w:rsid w:val="00B341C6"/>
    <w:rsid w:val="00B34A14"/>
    <w:rsid w:val="00B34E21"/>
    <w:rsid w:val="00B35F91"/>
    <w:rsid w:val="00B36447"/>
    <w:rsid w:val="00B36740"/>
    <w:rsid w:val="00B376BB"/>
    <w:rsid w:val="00B3787E"/>
    <w:rsid w:val="00B37BD8"/>
    <w:rsid w:val="00B37D90"/>
    <w:rsid w:val="00B402AA"/>
    <w:rsid w:val="00B407E8"/>
    <w:rsid w:val="00B40DDC"/>
    <w:rsid w:val="00B41DD0"/>
    <w:rsid w:val="00B42DBB"/>
    <w:rsid w:val="00B442CE"/>
    <w:rsid w:val="00B446C4"/>
    <w:rsid w:val="00B45742"/>
    <w:rsid w:val="00B45B74"/>
    <w:rsid w:val="00B45C5B"/>
    <w:rsid w:val="00B4659C"/>
    <w:rsid w:val="00B465CF"/>
    <w:rsid w:val="00B466DF"/>
    <w:rsid w:val="00B46800"/>
    <w:rsid w:val="00B468FA"/>
    <w:rsid w:val="00B46F20"/>
    <w:rsid w:val="00B47C65"/>
    <w:rsid w:val="00B47DBF"/>
    <w:rsid w:val="00B47DD4"/>
    <w:rsid w:val="00B50701"/>
    <w:rsid w:val="00B5150B"/>
    <w:rsid w:val="00B51973"/>
    <w:rsid w:val="00B53796"/>
    <w:rsid w:val="00B53AA9"/>
    <w:rsid w:val="00B54843"/>
    <w:rsid w:val="00B55827"/>
    <w:rsid w:val="00B55F0F"/>
    <w:rsid w:val="00B56067"/>
    <w:rsid w:val="00B562A0"/>
    <w:rsid w:val="00B567A9"/>
    <w:rsid w:val="00B56945"/>
    <w:rsid w:val="00B56ADA"/>
    <w:rsid w:val="00B5734B"/>
    <w:rsid w:val="00B57500"/>
    <w:rsid w:val="00B577AE"/>
    <w:rsid w:val="00B57B62"/>
    <w:rsid w:val="00B57F12"/>
    <w:rsid w:val="00B6004D"/>
    <w:rsid w:val="00B60758"/>
    <w:rsid w:val="00B60C7B"/>
    <w:rsid w:val="00B60EEA"/>
    <w:rsid w:val="00B61465"/>
    <w:rsid w:val="00B61519"/>
    <w:rsid w:val="00B61D01"/>
    <w:rsid w:val="00B62418"/>
    <w:rsid w:val="00B63002"/>
    <w:rsid w:val="00B63202"/>
    <w:rsid w:val="00B64CB1"/>
    <w:rsid w:val="00B64E78"/>
    <w:rsid w:val="00B65524"/>
    <w:rsid w:val="00B65EC9"/>
    <w:rsid w:val="00B65EDC"/>
    <w:rsid w:val="00B66040"/>
    <w:rsid w:val="00B67576"/>
    <w:rsid w:val="00B70786"/>
    <w:rsid w:val="00B70BF5"/>
    <w:rsid w:val="00B71132"/>
    <w:rsid w:val="00B7132A"/>
    <w:rsid w:val="00B71B23"/>
    <w:rsid w:val="00B7241C"/>
    <w:rsid w:val="00B72845"/>
    <w:rsid w:val="00B72AFD"/>
    <w:rsid w:val="00B73133"/>
    <w:rsid w:val="00B732BC"/>
    <w:rsid w:val="00B73403"/>
    <w:rsid w:val="00B734A2"/>
    <w:rsid w:val="00B7416B"/>
    <w:rsid w:val="00B743C0"/>
    <w:rsid w:val="00B75271"/>
    <w:rsid w:val="00B76AD6"/>
    <w:rsid w:val="00B76FF1"/>
    <w:rsid w:val="00B77455"/>
    <w:rsid w:val="00B77658"/>
    <w:rsid w:val="00B77EAF"/>
    <w:rsid w:val="00B8017D"/>
    <w:rsid w:val="00B8071E"/>
    <w:rsid w:val="00B82634"/>
    <w:rsid w:val="00B8327E"/>
    <w:rsid w:val="00B83CCA"/>
    <w:rsid w:val="00B84230"/>
    <w:rsid w:val="00B84C19"/>
    <w:rsid w:val="00B84CA2"/>
    <w:rsid w:val="00B856DC"/>
    <w:rsid w:val="00B86A76"/>
    <w:rsid w:val="00B86D49"/>
    <w:rsid w:val="00B86EC9"/>
    <w:rsid w:val="00B87854"/>
    <w:rsid w:val="00B879E2"/>
    <w:rsid w:val="00B906C9"/>
    <w:rsid w:val="00B90A00"/>
    <w:rsid w:val="00B90A09"/>
    <w:rsid w:val="00B90E23"/>
    <w:rsid w:val="00B90EC5"/>
    <w:rsid w:val="00B91D6A"/>
    <w:rsid w:val="00B91FCF"/>
    <w:rsid w:val="00B92211"/>
    <w:rsid w:val="00B927BD"/>
    <w:rsid w:val="00B92876"/>
    <w:rsid w:val="00B92DE2"/>
    <w:rsid w:val="00B931E5"/>
    <w:rsid w:val="00B93836"/>
    <w:rsid w:val="00B94A3E"/>
    <w:rsid w:val="00B94C96"/>
    <w:rsid w:val="00B95561"/>
    <w:rsid w:val="00B956ED"/>
    <w:rsid w:val="00B95BD9"/>
    <w:rsid w:val="00B95E2E"/>
    <w:rsid w:val="00B9643A"/>
    <w:rsid w:val="00B967C5"/>
    <w:rsid w:val="00B96AA1"/>
    <w:rsid w:val="00B97F8A"/>
    <w:rsid w:val="00BA05CD"/>
    <w:rsid w:val="00BA069A"/>
    <w:rsid w:val="00BA2279"/>
    <w:rsid w:val="00BA29FE"/>
    <w:rsid w:val="00BA46AD"/>
    <w:rsid w:val="00BA57C8"/>
    <w:rsid w:val="00BA67FE"/>
    <w:rsid w:val="00BA68AE"/>
    <w:rsid w:val="00BA6B6D"/>
    <w:rsid w:val="00BA7118"/>
    <w:rsid w:val="00BA71BA"/>
    <w:rsid w:val="00BB12E4"/>
    <w:rsid w:val="00BB144F"/>
    <w:rsid w:val="00BB1A1C"/>
    <w:rsid w:val="00BB1FF4"/>
    <w:rsid w:val="00BB232D"/>
    <w:rsid w:val="00BB2A58"/>
    <w:rsid w:val="00BB2D42"/>
    <w:rsid w:val="00BB2D71"/>
    <w:rsid w:val="00BB37C7"/>
    <w:rsid w:val="00BB3F29"/>
    <w:rsid w:val="00BB446F"/>
    <w:rsid w:val="00BB5449"/>
    <w:rsid w:val="00BB55E1"/>
    <w:rsid w:val="00BB669A"/>
    <w:rsid w:val="00BB7BFC"/>
    <w:rsid w:val="00BB7C81"/>
    <w:rsid w:val="00BB7F26"/>
    <w:rsid w:val="00BC00B1"/>
    <w:rsid w:val="00BC0673"/>
    <w:rsid w:val="00BC09CD"/>
    <w:rsid w:val="00BC0B9F"/>
    <w:rsid w:val="00BC0E6B"/>
    <w:rsid w:val="00BC23DD"/>
    <w:rsid w:val="00BC2B99"/>
    <w:rsid w:val="00BC2F90"/>
    <w:rsid w:val="00BC31A7"/>
    <w:rsid w:val="00BC34F8"/>
    <w:rsid w:val="00BC3B79"/>
    <w:rsid w:val="00BC3F92"/>
    <w:rsid w:val="00BC3FC3"/>
    <w:rsid w:val="00BC4BA9"/>
    <w:rsid w:val="00BC4C3D"/>
    <w:rsid w:val="00BC4D37"/>
    <w:rsid w:val="00BC51E7"/>
    <w:rsid w:val="00BC5261"/>
    <w:rsid w:val="00BC5263"/>
    <w:rsid w:val="00BC5D0C"/>
    <w:rsid w:val="00BC5F84"/>
    <w:rsid w:val="00BC746B"/>
    <w:rsid w:val="00BC7AFE"/>
    <w:rsid w:val="00BC7C19"/>
    <w:rsid w:val="00BC7E93"/>
    <w:rsid w:val="00BD01A6"/>
    <w:rsid w:val="00BD0E67"/>
    <w:rsid w:val="00BD1762"/>
    <w:rsid w:val="00BD1BCE"/>
    <w:rsid w:val="00BD1BDB"/>
    <w:rsid w:val="00BD2102"/>
    <w:rsid w:val="00BD2EFF"/>
    <w:rsid w:val="00BD3475"/>
    <w:rsid w:val="00BD3850"/>
    <w:rsid w:val="00BD4C18"/>
    <w:rsid w:val="00BD4F1A"/>
    <w:rsid w:val="00BD5E43"/>
    <w:rsid w:val="00BD5EE3"/>
    <w:rsid w:val="00BD6878"/>
    <w:rsid w:val="00BD68F5"/>
    <w:rsid w:val="00BD6C43"/>
    <w:rsid w:val="00BD6E50"/>
    <w:rsid w:val="00BD7B42"/>
    <w:rsid w:val="00BD7D41"/>
    <w:rsid w:val="00BD7E39"/>
    <w:rsid w:val="00BE033D"/>
    <w:rsid w:val="00BE2CD2"/>
    <w:rsid w:val="00BE2D18"/>
    <w:rsid w:val="00BE3663"/>
    <w:rsid w:val="00BE3825"/>
    <w:rsid w:val="00BE3C08"/>
    <w:rsid w:val="00BE3F02"/>
    <w:rsid w:val="00BE3FD9"/>
    <w:rsid w:val="00BE42B0"/>
    <w:rsid w:val="00BE4335"/>
    <w:rsid w:val="00BE4E8A"/>
    <w:rsid w:val="00BE5CD2"/>
    <w:rsid w:val="00BE5FC4"/>
    <w:rsid w:val="00BE60DE"/>
    <w:rsid w:val="00BE6362"/>
    <w:rsid w:val="00BE7C5B"/>
    <w:rsid w:val="00BF2DA9"/>
    <w:rsid w:val="00BF34AB"/>
    <w:rsid w:val="00BF3921"/>
    <w:rsid w:val="00BF3BAD"/>
    <w:rsid w:val="00BF3F83"/>
    <w:rsid w:val="00BF4A0B"/>
    <w:rsid w:val="00BF4F32"/>
    <w:rsid w:val="00BF5616"/>
    <w:rsid w:val="00BF5FF0"/>
    <w:rsid w:val="00BF60A3"/>
    <w:rsid w:val="00BF63E1"/>
    <w:rsid w:val="00BF67F8"/>
    <w:rsid w:val="00BF6E23"/>
    <w:rsid w:val="00BF77C9"/>
    <w:rsid w:val="00BF7E12"/>
    <w:rsid w:val="00BF7E30"/>
    <w:rsid w:val="00C00453"/>
    <w:rsid w:val="00C00BD1"/>
    <w:rsid w:val="00C00DE2"/>
    <w:rsid w:val="00C01343"/>
    <w:rsid w:val="00C015D5"/>
    <w:rsid w:val="00C01B02"/>
    <w:rsid w:val="00C02A34"/>
    <w:rsid w:val="00C030AB"/>
    <w:rsid w:val="00C03824"/>
    <w:rsid w:val="00C04174"/>
    <w:rsid w:val="00C043E8"/>
    <w:rsid w:val="00C04A82"/>
    <w:rsid w:val="00C04DC9"/>
    <w:rsid w:val="00C0510A"/>
    <w:rsid w:val="00C067AB"/>
    <w:rsid w:val="00C06A12"/>
    <w:rsid w:val="00C07C80"/>
    <w:rsid w:val="00C10575"/>
    <w:rsid w:val="00C10D10"/>
    <w:rsid w:val="00C10F68"/>
    <w:rsid w:val="00C1157C"/>
    <w:rsid w:val="00C11687"/>
    <w:rsid w:val="00C1179B"/>
    <w:rsid w:val="00C12829"/>
    <w:rsid w:val="00C1315C"/>
    <w:rsid w:val="00C139EB"/>
    <w:rsid w:val="00C1405E"/>
    <w:rsid w:val="00C142A3"/>
    <w:rsid w:val="00C14DE5"/>
    <w:rsid w:val="00C165E1"/>
    <w:rsid w:val="00C165FC"/>
    <w:rsid w:val="00C16CB9"/>
    <w:rsid w:val="00C177CC"/>
    <w:rsid w:val="00C20281"/>
    <w:rsid w:val="00C213A5"/>
    <w:rsid w:val="00C21B44"/>
    <w:rsid w:val="00C2222D"/>
    <w:rsid w:val="00C22845"/>
    <w:rsid w:val="00C239B2"/>
    <w:rsid w:val="00C23D65"/>
    <w:rsid w:val="00C23FD1"/>
    <w:rsid w:val="00C250BD"/>
    <w:rsid w:val="00C25E11"/>
    <w:rsid w:val="00C262DE"/>
    <w:rsid w:val="00C26854"/>
    <w:rsid w:val="00C26DAF"/>
    <w:rsid w:val="00C270AA"/>
    <w:rsid w:val="00C27797"/>
    <w:rsid w:val="00C279A9"/>
    <w:rsid w:val="00C27D71"/>
    <w:rsid w:val="00C302DD"/>
    <w:rsid w:val="00C30366"/>
    <w:rsid w:val="00C30987"/>
    <w:rsid w:val="00C30A8D"/>
    <w:rsid w:val="00C30DAF"/>
    <w:rsid w:val="00C31014"/>
    <w:rsid w:val="00C3155E"/>
    <w:rsid w:val="00C31791"/>
    <w:rsid w:val="00C32129"/>
    <w:rsid w:val="00C32DC1"/>
    <w:rsid w:val="00C33605"/>
    <w:rsid w:val="00C337BB"/>
    <w:rsid w:val="00C3414D"/>
    <w:rsid w:val="00C3471F"/>
    <w:rsid w:val="00C35E71"/>
    <w:rsid w:val="00C36A9D"/>
    <w:rsid w:val="00C36D52"/>
    <w:rsid w:val="00C36EBC"/>
    <w:rsid w:val="00C37950"/>
    <w:rsid w:val="00C379B2"/>
    <w:rsid w:val="00C379FF"/>
    <w:rsid w:val="00C37B70"/>
    <w:rsid w:val="00C4055F"/>
    <w:rsid w:val="00C41183"/>
    <w:rsid w:val="00C4146C"/>
    <w:rsid w:val="00C41CA7"/>
    <w:rsid w:val="00C42D0C"/>
    <w:rsid w:val="00C42EAE"/>
    <w:rsid w:val="00C430B8"/>
    <w:rsid w:val="00C430C2"/>
    <w:rsid w:val="00C43409"/>
    <w:rsid w:val="00C43590"/>
    <w:rsid w:val="00C43872"/>
    <w:rsid w:val="00C43C7C"/>
    <w:rsid w:val="00C440C0"/>
    <w:rsid w:val="00C44152"/>
    <w:rsid w:val="00C4455F"/>
    <w:rsid w:val="00C4499F"/>
    <w:rsid w:val="00C466FD"/>
    <w:rsid w:val="00C46C29"/>
    <w:rsid w:val="00C47089"/>
    <w:rsid w:val="00C47303"/>
    <w:rsid w:val="00C473BF"/>
    <w:rsid w:val="00C47545"/>
    <w:rsid w:val="00C4795A"/>
    <w:rsid w:val="00C503A2"/>
    <w:rsid w:val="00C507F4"/>
    <w:rsid w:val="00C50A13"/>
    <w:rsid w:val="00C50BEF"/>
    <w:rsid w:val="00C50F5C"/>
    <w:rsid w:val="00C5143E"/>
    <w:rsid w:val="00C51592"/>
    <w:rsid w:val="00C51BD7"/>
    <w:rsid w:val="00C51EF5"/>
    <w:rsid w:val="00C52155"/>
    <w:rsid w:val="00C5290E"/>
    <w:rsid w:val="00C52C8A"/>
    <w:rsid w:val="00C5370A"/>
    <w:rsid w:val="00C53AF5"/>
    <w:rsid w:val="00C54350"/>
    <w:rsid w:val="00C544DC"/>
    <w:rsid w:val="00C55486"/>
    <w:rsid w:val="00C55506"/>
    <w:rsid w:val="00C5657A"/>
    <w:rsid w:val="00C56C62"/>
    <w:rsid w:val="00C5701F"/>
    <w:rsid w:val="00C57763"/>
    <w:rsid w:val="00C57CE6"/>
    <w:rsid w:val="00C6026A"/>
    <w:rsid w:val="00C60374"/>
    <w:rsid w:val="00C607C5"/>
    <w:rsid w:val="00C6080B"/>
    <w:rsid w:val="00C6111C"/>
    <w:rsid w:val="00C61737"/>
    <w:rsid w:val="00C618BE"/>
    <w:rsid w:val="00C61D96"/>
    <w:rsid w:val="00C6200C"/>
    <w:rsid w:val="00C6215F"/>
    <w:rsid w:val="00C634ED"/>
    <w:rsid w:val="00C6379F"/>
    <w:rsid w:val="00C6469D"/>
    <w:rsid w:val="00C64A56"/>
    <w:rsid w:val="00C65185"/>
    <w:rsid w:val="00C65187"/>
    <w:rsid w:val="00C656C1"/>
    <w:rsid w:val="00C65FA8"/>
    <w:rsid w:val="00C667A9"/>
    <w:rsid w:val="00C67441"/>
    <w:rsid w:val="00C6751B"/>
    <w:rsid w:val="00C67745"/>
    <w:rsid w:val="00C706F2"/>
    <w:rsid w:val="00C7114C"/>
    <w:rsid w:val="00C7178E"/>
    <w:rsid w:val="00C72926"/>
    <w:rsid w:val="00C73368"/>
    <w:rsid w:val="00C74464"/>
    <w:rsid w:val="00C74C44"/>
    <w:rsid w:val="00C74D0C"/>
    <w:rsid w:val="00C75EA4"/>
    <w:rsid w:val="00C768F2"/>
    <w:rsid w:val="00C76EF0"/>
    <w:rsid w:val="00C77031"/>
    <w:rsid w:val="00C779F0"/>
    <w:rsid w:val="00C8024B"/>
    <w:rsid w:val="00C80AF5"/>
    <w:rsid w:val="00C8202D"/>
    <w:rsid w:val="00C820FC"/>
    <w:rsid w:val="00C82979"/>
    <w:rsid w:val="00C830D1"/>
    <w:rsid w:val="00C8347B"/>
    <w:rsid w:val="00C837EE"/>
    <w:rsid w:val="00C85B22"/>
    <w:rsid w:val="00C868E2"/>
    <w:rsid w:val="00C8692C"/>
    <w:rsid w:val="00C86F42"/>
    <w:rsid w:val="00C8774F"/>
    <w:rsid w:val="00C87AC7"/>
    <w:rsid w:val="00C87C44"/>
    <w:rsid w:val="00C90166"/>
    <w:rsid w:val="00C90611"/>
    <w:rsid w:val="00C90732"/>
    <w:rsid w:val="00C90B81"/>
    <w:rsid w:val="00C90FAF"/>
    <w:rsid w:val="00C9123E"/>
    <w:rsid w:val="00C91906"/>
    <w:rsid w:val="00C91BF8"/>
    <w:rsid w:val="00C91CFB"/>
    <w:rsid w:val="00C91F8E"/>
    <w:rsid w:val="00C92419"/>
    <w:rsid w:val="00C92BD8"/>
    <w:rsid w:val="00C93062"/>
    <w:rsid w:val="00C931E4"/>
    <w:rsid w:val="00C932DA"/>
    <w:rsid w:val="00C93384"/>
    <w:rsid w:val="00C93B26"/>
    <w:rsid w:val="00C944EA"/>
    <w:rsid w:val="00C953FB"/>
    <w:rsid w:val="00C955DE"/>
    <w:rsid w:val="00C95F76"/>
    <w:rsid w:val="00C9617E"/>
    <w:rsid w:val="00C96CF1"/>
    <w:rsid w:val="00C96ECD"/>
    <w:rsid w:val="00C97C93"/>
    <w:rsid w:val="00CA0306"/>
    <w:rsid w:val="00CA06AB"/>
    <w:rsid w:val="00CA092A"/>
    <w:rsid w:val="00CA1A5B"/>
    <w:rsid w:val="00CA2F93"/>
    <w:rsid w:val="00CA3315"/>
    <w:rsid w:val="00CA373A"/>
    <w:rsid w:val="00CA39C2"/>
    <w:rsid w:val="00CA3A59"/>
    <w:rsid w:val="00CA3CC2"/>
    <w:rsid w:val="00CA40C7"/>
    <w:rsid w:val="00CA4795"/>
    <w:rsid w:val="00CA4F11"/>
    <w:rsid w:val="00CA59F3"/>
    <w:rsid w:val="00CA5A77"/>
    <w:rsid w:val="00CA5C0C"/>
    <w:rsid w:val="00CA6A99"/>
    <w:rsid w:val="00CA7E43"/>
    <w:rsid w:val="00CB0428"/>
    <w:rsid w:val="00CB0604"/>
    <w:rsid w:val="00CB0925"/>
    <w:rsid w:val="00CB17D9"/>
    <w:rsid w:val="00CB1819"/>
    <w:rsid w:val="00CB2909"/>
    <w:rsid w:val="00CB3945"/>
    <w:rsid w:val="00CB3EA2"/>
    <w:rsid w:val="00CB3FD0"/>
    <w:rsid w:val="00CB4E0D"/>
    <w:rsid w:val="00CB5136"/>
    <w:rsid w:val="00CB532E"/>
    <w:rsid w:val="00CB58B2"/>
    <w:rsid w:val="00CB5DDB"/>
    <w:rsid w:val="00CB5E05"/>
    <w:rsid w:val="00CB6B1B"/>
    <w:rsid w:val="00CB7AC4"/>
    <w:rsid w:val="00CB7AFE"/>
    <w:rsid w:val="00CC02C8"/>
    <w:rsid w:val="00CC10A5"/>
    <w:rsid w:val="00CC18EE"/>
    <w:rsid w:val="00CC2488"/>
    <w:rsid w:val="00CC2C9E"/>
    <w:rsid w:val="00CC3040"/>
    <w:rsid w:val="00CC3120"/>
    <w:rsid w:val="00CC36B6"/>
    <w:rsid w:val="00CC3A21"/>
    <w:rsid w:val="00CC431E"/>
    <w:rsid w:val="00CC481E"/>
    <w:rsid w:val="00CC48BE"/>
    <w:rsid w:val="00CC4F24"/>
    <w:rsid w:val="00CC553B"/>
    <w:rsid w:val="00CC5732"/>
    <w:rsid w:val="00CC72C3"/>
    <w:rsid w:val="00CC7630"/>
    <w:rsid w:val="00CC785E"/>
    <w:rsid w:val="00CD0130"/>
    <w:rsid w:val="00CD0271"/>
    <w:rsid w:val="00CD09D3"/>
    <w:rsid w:val="00CD105F"/>
    <w:rsid w:val="00CD2029"/>
    <w:rsid w:val="00CD2ACE"/>
    <w:rsid w:val="00CD2D7C"/>
    <w:rsid w:val="00CD409F"/>
    <w:rsid w:val="00CD49F6"/>
    <w:rsid w:val="00CD52B4"/>
    <w:rsid w:val="00CD5308"/>
    <w:rsid w:val="00CD5993"/>
    <w:rsid w:val="00CD5AF3"/>
    <w:rsid w:val="00CD6911"/>
    <w:rsid w:val="00CD6E1D"/>
    <w:rsid w:val="00CD7962"/>
    <w:rsid w:val="00CD7A68"/>
    <w:rsid w:val="00CD7F98"/>
    <w:rsid w:val="00CE02D4"/>
    <w:rsid w:val="00CE074E"/>
    <w:rsid w:val="00CE0B19"/>
    <w:rsid w:val="00CE12BA"/>
    <w:rsid w:val="00CE19CE"/>
    <w:rsid w:val="00CE1A70"/>
    <w:rsid w:val="00CE1CCD"/>
    <w:rsid w:val="00CE2432"/>
    <w:rsid w:val="00CE25EE"/>
    <w:rsid w:val="00CE395A"/>
    <w:rsid w:val="00CE3B91"/>
    <w:rsid w:val="00CE3F2C"/>
    <w:rsid w:val="00CE5204"/>
    <w:rsid w:val="00CE537D"/>
    <w:rsid w:val="00CE5AC7"/>
    <w:rsid w:val="00CE6940"/>
    <w:rsid w:val="00CE695D"/>
    <w:rsid w:val="00CE7A29"/>
    <w:rsid w:val="00CF0714"/>
    <w:rsid w:val="00CF0EBB"/>
    <w:rsid w:val="00CF1F04"/>
    <w:rsid w:val="00CF24FC"/>
    <w:rsid w:val="00CF263E"/>
    <w:rsid w:val="00CF2B4F"/>
    <w:rsid w:val="00CF2E99"/>
    <w:rsid w:val="00CF3446"/>
    <w:rsid w:val="00CF35E2"/>
    <w:rsid w:val="00CF3820"/>
    <w:rsid w:val="00CF3C49"/>
    <w:rsid w:val="00CF4405"/>
    <w:rsid w:val="00CF52CB"/>
    <w:rsid w:val="00CF58A4"/>
    <w:rsid w:val="00CF5FA7"/>
    <w:rsid w:val="00CF61C5"/>
    <w:rsid w:val="00CF663C"/>
    <w:rsid w:val="00D008B0"/>
    <w:rsid w:val="00D01414"/>
    <w:rsid w:val="00D018AA"/>
    <w:rsid w:val="00D01AD8"/>
    <w:rsid w:val="00D0237C"/>
    <w:rsid w:val="00D024CF"/>
    <w:rsid w:val="00D025C4"/>
    <w:rsid w:val="00D02A43"/>
    <w:rsid w:val="00D02D0D"/>
    <w:rsid w:val="00D0302A"/>
    <w:rsid w:val="00D03847"/>
    <w:rsid w:val="00D03E20"/>
    <w:rsid w:val="00D04936"/>
    <w:rsid w:val="00D063C6"/>
    <w:rsid w:val="00D06D52"/>
    <w:rsid w:val="00D10053"/>
    <w:rsid w:val="00D10737"/>
    <w:rsid w:val="00D12283"/>
    <w:rsid w:val="00D123E9"/>
    <w:rsid w:val="00D130F7"/>
    <w:rsid w:val="00D13271"/>
    <w:rsid w:val="00D13723"/>
    <w:rsid w:val="00D14158"/>
    <w:rsid w:val="00D14EC2"/>
    <w:rsid w:val="00D168E0"/>
    <w:rsid w:val="00D16F23"/>
    <w:rsid w:val="00D171CB"/>
    <w:rsid w:val="00D1744F"/>
    <w:rsid w:val="00D17B17"/>
    <w:rsid w:val="00D17D5A"/>
    <w:rsid w:val="00D203C1"/>
    <w:rsid w:val="00D209D0"/>
    <w:rsid w:val="00D219E8"/>
    <w:rsid w:val="00D21D6A"/>
    <w:rsid w:val="00D221FC"/>
    <w:rsid w:val="00D223FA"/>
    <w:rsid w:val="00D23E29"/>
    <w:rsid w:val="00D2420E"/>
    <w:rsid w:val="00D24718"/>
    <w:rsid w:val="00D24792"/>
    <w:rsid w:val="00D24945"/>
    <w:rsid w:val="00D2591B"/>
    <w:rsid w:val="00D26185"/>
    <w:rsid w:val="00D26D6E"/>
    <w:rsid w:val="00D27E87"/>
    <w:rsid w:val="00D3090C"/>
    <w:rsid w:val="00D30FD3"/>
    <w:rsid w:val="00D319F2"/>
    <w:rsid w:val="00D31CE1"/>
    <w:rsid w:val="00D324D6"/>
    <w:rsid w:val="00D32C4C"/>
    <w:rsid w:val="00D33685"/>
    <w:rsid w:val="00D34100"/>
    <w:rsid w:val="00D3417F"/>
    <w:rsid w:val="00D34A76"/>
    <w:rsid w:val="00D34C1A"/>
    <w:rsid w:val="00D35546"/>
    <w:rsid w:val="00D35CA0"/>
    <w:rsid w:val="00D35E94"/>
    <w:rsid w:val="00D36C0D"/>
    <w:rsid w:val="00D36CF4"/>
    <w:rsid w:val="00D375DB"/>
    <w:rsid w:val="00D3781C"/>
    <w:rsid w:val="00D40424"/>
    <w:rsid w:val="00D40BA2"/>
    <w:rsid w:val="00D41CEA"/>
    <w:rsid w:val="00D42316"/>
    <w:rsid w:val="00D423E0"/>
    <w:rsid w:val="00D42424"/>
    <w:rsid w:val="00D42849"/>
    <w:rsid w:val="00D42875"/>
    <w:rsid w:val="00D42A5A"/>
    <w:rsid w:val="00D42B97"/>
    <w:rsid w:val="00D42C24"/>
    <w:rsid w:val="00D43CD7"/>
    <w:rsid w:val="00D44002"/>
    <w:rsid w:val="00D44967"/>
    <w:rsid w:val="00D45BF7"/>
    <w:rsid w:val="00D45EBF"/>
    <w:rsid w:val="00D46308"/>
    <w:rsid w:val="00D46651"/>
    <w:rsid w:val="00D46773"/>
    <w:rsid w:val="00D500E8"/>
    <w:rsid w:val="00D50883"/>
    <w:rsid w:val="00D52275"/>
    <w:rsid w:val="00D535C4"/>
    <w:rsid w:val="00D55A13"/>
    <w:rsid w:val="00D55BF7"/>
    <w:rsid w:val="00D56843"/>
    <w:rsid w:val="00D5718C"/>
    <w:rsid w:val="00D57978"/>
    <w:rsid w:val="00D602BB"/>
    <w:rsid w:val="00D605F5"/>
    <w:rsid w:val="00D606F6"/>
    <w:rsid w:val="00D6072E"/>
    <w:rsid w:val="00D60DEA"/>
    <w:rsid w:val="00D619D9"/>
    <w:rsid w:val="00D62495"/>
    <w:rsid w:val="00D62DFA"/>
    <w:rsid w:val="00D63CCE"/>
    <w:rsid w:val="00D63F79"/>
    <w:rsid w:val="00D64457"/>
    <w:rsid w:val="00D65DA2"/>
    <w:rsid w:val="00D661E7"/>
    <w:rsid w:val="00D66F5C"/>
    <w:rsid w:val="00D673B6"/>
    <w:rsid w:val="00D677CD"/>
    <w:rsid w:val="00D67DA2"/>
    <w:rsid w:val="00D7079F"/>
    <w:rsid w:val="00D71569"/>
    <w:rsid w:val="00D716A3"/>
    <w:rsid w:val="00D71913"/>
    <w:rsid w:val="00D71B32"/>
    <w:rsid w:val="00D721B2"/>
    <w:rsid w:val="00D72514"/>
    <w:rsid w:val="00D72B28"/>
    <w:rsid w:val="00D72FE9"/>
    <w:rsid w:val="00D732AF"/>
    <w:rsid w:val="00D73570"/>
    <w:rsid w:val="00D745B9"/>
    <w:rsid w:val="00D7476C"/>
    <w:rsid w:val="00D7572F"/>
    <w:rsid w:val="00D7612E"/>
    <w:rsid w:val="00D7640E"/>
    <w:rsid w:val="00D76A75"/>
    <w:rsid w:val="00D76FE6"/>
    <w:rsid w:val="00D77E5D"/>
    <w:rsid w:val="00D80525"/>
    <w:rsid w:val="00D80A4D"/>
    <w:rsid w:val="00D80C76"/>
    <w:rsid w:val="00D80EA2"/>
    <w:rsid w:val="00D812D7"/>
    <w:rsid w:val="00D81B5F"/>
    <w:rsid w:val="00D829BC"/>
    <w:rsid w:val="00D82BC5"/>
    <w:rsid w:val="00D82C6B"/>
    <w:rsid w:val="00D83CEB"/>
    <w:rsid w:val="00D83E67"/>
    <w:rsid w:val="00D84E24"/>
    <w:rsid w:val="00D854B0"/>
    <w:rsid w:val="00D854DA"/>
    <w:rsid w:val="00D865CC"/>
    <w:rsid w:val="00D86E0E"/>
    <w:rsid w:val="00D86FD5"/>
    <w:rsid w:val="00D870FC"/>
    <w:rsid w:val="00D8793B"/>
    <w:rsid w:val="00D87C22"/>
    <w:rsid w:val="00D87F3D"/>
    <w:rsid w:val="00D91311"/>
    <w:rsid w:val="00D919B0"/>
    <w:rsid w:val="00D91B68"/>
    <w:rsid w:val="00D91D61"/>
    <w:rsid w:val="00D92FA6"/>
    <w:rsid w:val="00D9338E"/>
    <w:rsid w:val="00D94374"/>
    <w:rsid w:val="00D9523F"/>
    <w:rsid w:val="00D96246"/>
    <w:rsid w:val="00D96411"/>
    <w:rsid w:val="00D97080"/>
    <w:rsid w:val="00D97626"/>
    <w:rsid w:val="00DA02BA"/>
    <w:rsid w:val="00DA094A"/>
    <w:rsid w:val="00DA0D0B"/>
    <w:rsid w:val="00DA0D33"/>
    <w:rsid w:val="00DA18E7"/>
    <w:rsid w:val="00DA2066"/>
    <w:rsid w:val="00DA2E82"/>
    <w:rsid w:val="00DA3297"/>
    <w:rsid w:val="00DA33F7"/>
    <w:rsid w:val="00DA5319"/>
    <w:rsid w:val="00DA5559"/>
    <w:rsid w:val="00DA5CF8"/>
    <w:rsid w:val="00DA6655"/>
    <w:rsid w:val="00DA6D64"/>
    <w:rsid w:val="00DA6EEF"/>
    <w:rsid w:val="00DB0219"/>
    <w:rsid w:val="00DB04FE"/>
    <w:rsid w:val="00DB0BE0"/>
    <w:rsid w:val="00DB0CF0"/>
    <w:rsid w:val="00DB0F68"/>
    <w:rsid w:val="00DB108D"/>
    <w:rsid w:val="00DB2C63"/>
    <w:rsid w:val="00DB38E0"/>
    <w:rsid w:val="00DB41E3"/>
    <w:rsid w:val="00DB4FB5"/>
    <w:rsid w:val="00DB56B5"/>
    <w:rsid w:val="00DB71F4"/>
    <w:rsid w:val="00DB756B"/>
    <w:rsid w:val="00DB783E"/>
    <w:rsid w:val="00DC0326"/>
    <w:rsid w:val="00DC0E75"/>
    <w:rsid w:val="00DC1017"/>
    <w:rsid w:val="00DC29CF"/>
    <w:rsid w:val="00DC327B"/>
    <w:rsid w:val="00DC35FD"/>
    <w:rsid w:val="00DC3798"/>
    <w:rsid w:val="00DC3A1B"/>
    <w:rsid w:val="00DC4617"/>
    <w:rsid w:val="00DC461B"/>
    <w:rsid w:val="00DC5164"/>
    <w:rsid w:val="00DC5EE0"/>
    <w:rsid w:val="00DC66DB"/>
    <w:rsid w:val="00DC6CAE"/>
    <w:rsid w:val="00DC73A8"/>
    <w:rsid w:val="00DC7520"/>
    <w:rsid w:val="00DC7A4E"/>
    <w:rsid w:val="00DC7A6B"/>
    <w:rsid w:val="00DC7A8E"/>
    <w:rsid w:val="00DC7E88"/>
    <w:rsid w:val="00DC7F4B"/>
    <w:rsid w:val="00DC7FA4"/>
    <w:rsid w:val="00DD1019"/>
    <w:rsid w:val="00DD15BE"/>
    <w:rsid w:val="00DD1ABB"/>
    <w:rsid w:val="00DD1E66"/>
    <w:rsid w:val="00DD1E9D"/>
    <w:rsid w:val="00DD28D7"/>
    <w:rsid w:val="00DD2B78"/>
    <w:rsid w:val="00DD2E94"/>
    <w:rsid w:val="00DD4AA6"/>
    <w:rsid w:val="00DD50F2"/>
    <w:rsid w:val="00DD54AE"/>
    <w:rsid w:val="00DD7175"/>
    <w:rsid w:val="00DD7EB5"/>
    <w:rsid w:val="00DE219E"/>
    <w:rsid w:val="00DE2605"/>
    <w:rsid w:val="00DE36EC"/>
    <w:rsid w:val="00DE37DA"/>
    <w:rsid w:val="00DE39A0"/>
    <w:rsid w:val="00DE3D5C"/>
    <w:rsid w:val="00DE4060"/>
    <w:rsid w:val="00DE4E23"/>
    <w:rsid w:val="00DE4ED6"/>
    <w:rsid w:val="00DE6146"/>
    <w:rsid w:val="00DE65EB"/>
    <w:rsid w:val="00DE6BB9"/>
    <w:rsid w:val="00DE719E"/>
    <w:rsid w:val="00DE71C3"/>
    <w:rsid w:val="00DE79E8"/>
    <w:rsid w:val="00DE7F2E"/>
    <w:rsid w:val="00DF042C"/>
    <w:rsid w:val="00DF0F8A"/>
    <w:rsid w:val="00DF1421"/>
    <w:rsid w:val="00DF17B4"/>
    <w:rsid w:val="00DF1807"/>
    <w:rsid w:val="00DF6C6A"/>
    <w:rsid w:val="00DF7C4B"/>
    <w:rsid w:val="00E003B5"/>
    <w:rsid w:val="00E003EF"/>
    <w:rsid w:val="00E00884"/>
    <w:rsid w:val="00E0153A"/>
    <w:rsid w:val="00E016ED"/>
    <w:rsid w:val="00E01953"/>
    <w:rsid w:val="00E01BEA"/>
    <w:rsid w:val="00E025BA"/>
    <w:rsid w:val="00E0465B"/>
    <w:rsid w:val="00E0526D"/>
    <w:rsid w:val="00E0530B"/>
    <w:rsid w:val="00E05555"/>
    <w:rsid w:val="00E05741"/>
    <w:rsid w:val="00E062E3"/>
    <w:rsid w:val="00E069C7"/>
    <w:rsid w:val="00E06C37"/>
    <w:rsid w:val="00E06E67"/>
    <w:rsid w:val="00E06F3C"/>
    <w:rsid w:val="00E07A0C"/>
    <w:rsid w:val="00E07D74"/>
    <w:rsid w:val="00E07EF9"/>
    <w:rsid w:val="00E1050F"/>
    <w:rsid w:val="00E112E6"/>
    <w:rsid w:val="00E126FC"/>
    <w:rsid w:val="00E12960"/>
    <w:rsid w:val="00E139ED"/>
    <w:rsid w:val="00E13CF0"/>
    <w:rsid w:val="00E13FA3"/>
    <w:rsid w:val="00E14466"/>
    <w:rsid w:val="00E148E5"/>
    <w:rsid w:val="00E14957"/>
    <w:rsid w:val="00E14E7A"/>
    <w:rsid w:val="00E160CB"/>
    <w:rsid w:val="00E16211"/>
    <w:rsid w:val="00E168B5"/>
    <w:rsid w:val="00E1690E"/>
    <w:rsid w:val="00E169E2"/>
    <w:rsid w:val="00E16D59"/>
    <w:rsid w:val="00E20ADC"/>
    <w:rsid w:val="00E20D50"/>
    <w:rsid w:val="00E2139D"/>
    <w:rsid w:val="00E22C8A"/>
    <w:rsid w:val="00E23650"/>
    <w:rsid w:val="00E23835"/>
    <w:rsid w:val="00E239C4"/>
    <w:rsid w:val="00E239EF"/>
    <w:rsid w:val="00E23F86"/>
    <w:rsid w:val="00E250B0"/>
    <w:rsid w:val="00E25669"/>
    <w:rsid w:val="00E2673D"/>
    <w:rsid w:val="00E2688D"/>
    <w:rsid w:val="00E27993"/>
    <w:rsid w:val="00E279FE"/>
    <w:rsid w:val="00E27A0B"/>
    <w:rsid w:val="00E27C63"/>
    <w:rsid w:val="00E3028A"/>
    <w:rsid w:val="00E312A7"/>
    <w:rsid w:val="00E315E9"/>
    <w:rsid w:val="00E316E4"/>
    <w:rsid w:val="00E31910"/>
    <w:rsid w:val="00E32028"/>
    <w:rsid w:val="00E33490"/>
    <w:rsid w:val="00E3452E"/>
    <w:rsid w:val="00E34640"/>
    <w:rsid w:val="00E34F5F"/>
    <w:rsid w:val="00E3512E"/>
    <w:rsid w:val="00E35C65"/>
    <w:rsid w:val="00E35DE3"/>
    <w:rsid w:val="00E361C9"/>
    <w:rsid w:val="00E367CD"/>
    <w:rsid w:val="00E36C40"/>
    <w:rsid w:val="00E37BC9"/>
    <w:rsid w:val="00E37D5B"/>
    <w:rsid w:val="00E40698"/>
    <w:rsid w:val="00E40F07"/>
    <w:rsid w:val="00E4151F"/>
    <w:rsid w:val="00E418B4"/>
    <w:rsid w:val="00E4240F"/>
    <w:rsid w:val="00E429B7"/>
    <w:rsid w:val="00E42DB7"/>
    <w:rsid w:val="00E43230"/>
    <w:rsid w:val="00E44D47"/>
    <w:rsid w:val="00E44F09"/>
    <w:rsid w:val="00E450E3"/>
    <w:rsid w:val="00E479F2"/>
    <w:rsid w:val="00E47BF5"/>
    <w:rsid w:val="00E507BB"/>
    <w:rsid w:val="00E50F62"/>
    <w:rsid w:val="00E52141"/>
    <w:rsid w:val="00E526F7"/>
    <w:rsid w:val="00E5272E"/>
    <w:rsid w:val="00E52C87"/>
    <w:rsid w:val="00E53E31"/>
    <w:rsid w:val="00E54D23"/>
    <w:rsid w:val="00E558BB"/>
    <w:rsid w:val="00E5622B"/>
    <w:rsid w:val="00E56462"/>
    <w:rsid w:val="00E565CD"/>
    <w:rsid w:val="00E57408"/>
    <w:rsid w:val="00E57FDB"/>
    <w:rsid w:val="00E6074A"/>
    <w:rsid w:val="00E60A15"/>
    <w:rsid w:val="00E61948"/>
    <w:rsid w:val="00E621B9"/>
    <w:rsid w:val="00E62254"/>
    <w:rsid w:val="00E627B2"/>
    <w:rsid w:val="00E62AF7"/>
    <w:rsid w:val="00E62B77"/>
    <w:rsid w:val="00E62CD4"/>
    <w:rsid w:val="00E62F23"/>
    <w:rsid w:val="00E63A49"/>
    <w:rsid w:val="00E647B0"/>
    <w:rsid w:val="00E65964"/>
    <w:rsid w:val="00E65C2C"/>
    <w:rsid w:val="00E71608"/>
    <w:rsid w:val="00E71971"/>
    <w:rsid w:val="00E7285E"/>
    <w:rsid w:val="00E7429B"/>
    <w:rsid w:val="00E74AF1"/>
    <w:rsid w:val="00E7515C"/>
    <w:rsid w:val="00E756F9"/>
    <w:rsid w:val="00E763FE"/>
    <w:rsid w:val="00E76942"/>
    <w:rsid w:val="00E77B12"/>
    <w:rsid w:val="00E801CD"/>
    <w:rsid w:val="00E815AE"/>
    <w:rsid w:val="00E818DD"/>
    <w:rsid w:val="00E83721"/>
    <w:rsid w:val="00E83C27"/>
    <w:rsid w:val="00E84B38"/>
    <w:rsid w:val="00E84FE3"/>
    <w:rsid w:val="00E8524C"/>
    <w:rsid w:val="00E85529"/>
    <w:rsid w:val="00E8552C"/>
    <w:rsid w:val="00E862FF"/>
    <w:rsid w:val="00E86F88"/>
    <w:rsid w:val="00E87128"/>
    <w:rsid w:val="00E87590"/>
    <w:rsid w:val="00E900DE"/>
    <w:rsid w:val="00E90293"/>
    <w:rsid w:val="00E90762"/>
    <w:rsid w:val="00E90859"/>
    <w:rsid w:val="00E90C2F"/>
    <w:rsid w:val="00E90D52"/>
    <w:rsid w:val="00E911AC"/>
    <w:rsid w:val="00E911BF"/>
    <w:rsid w:val="00E917E6"/>
    <w:rsid w:val="00E91E42"/>
    <w:rsid w:val="00E923B6"/>
    <w:rsid w:val="00E9254A"/>
    <w:rsid w:val="00E92FD2"/>
    <w:rsid w:val="00E930A0"/>
    <w:rsid w:val="00E930DF"/>
    <w:rsid w:val="00E9325F"/>
    <w:rsid w:val="00E93557"/>
    <w:rsid w:val="00E9389F"/>
    <w:rsid w:val="00E93908"/>
    <w:rsid w:val="00E9562A"/>
    <w:rsid w:val="00E95866"/>
    <w:rsid w:val="00E95B86"/>
    <w:rsid w:val="00E972C1"/>
    <w:rsid w:val="00E97C35"/>
    <w:rsid w:val="00EA0AB1"/>
    <w:rsid w:val="00EA138E"/>
    <w:rsid w:val="00EA15ED"/>
    <w:rsid w:val="00EA19B7"/>
    <w:rsid w:val="00EA2ABE"/>
    <w:rsid w:val="00EA3B96"/>
    <w:rsid w:val="00EA458B"/>
    <w:rsid w:val="00EA45CB"/>
    <w:rsid w:val="00EA5640"/>
    <w:rsid w:val="00EA5674"/>
    <w:rsid w:val="00EA5C05"/>
    <w:rsid w:val="00EA5E21"/>
    <w:rsid w:val="00EA5EAB"/>
    <w:rsid w:val="00EA5EF0"/>
    <w:rsid w:val="00EA6372"/>
    <w:rsid w:val="00EB00CA"/>
    <w:rsid w:val="00EB04EF"/>
    <w:rsid w:val="00EB1881"/>
    <w:rsid w:val="00EB1AD3"/>
    <w:rsid w:val="00EB2524"/>
    <w:rsid w:val="00EB2E9C"/>
    <w:rsid w:val="00EB3833"/>
    <w:rsid w:val="00EB4072"/>
    <w:rsid w:val="00EB46CC"/>
    <w:rsid w:val="00EB4C08"/>
    <w:rsid w:val="00EB4CEC"/>
    <w:rsid w:val="00EB5050"/>
    <w:rsid w:val="00EB50EA"/>
    <w:rsid w:val="00EB52B2"/>
    <w:rsid w:val="00EB562C"/>
    <w:rsid w:val="00EB61FC"/>
    <w:rsid w:val="00EB6507"/>
    <w:rsid w:val="00EB7333"/>
    <w:rsid w:val="00EB738D"/>
    <w:rsid w:val="00EB7A52"/>
    <w:rsid w:val="00EB7CB1"/>
    <w:rsid w:val="00EB7E0C"/>
    <w:rsid w:val="00EB7E7C"/>
    <w:rsid w:val="00EC05EC"/>
    <w:rsid w:val="00EC09A7"/>
    <w:rsid w:val="00EC2B4B"/>
    <w:rsid w:val="00EC2C6A"/>
    <w:rsid w:val="00EC37CA"/>
    <w:rsid w:val="00EC3D1C"/>
    <w:rsid w:val="00EC41AE"/>
    <w:rsid w:val="00EC52EA"/>
    <w:rsid w:val="00EC5A48"/>
    <w:rsid w:val="00EC5B4D"/>
    <w:rsid w:val="00EC673C"/>
    <w:rsid w:val="00EC7399"/>
    <w:rsid w:val="00EC781D"/>
    <w:rsid w:val="00EC7B3F"/>
    <w:rsid w:val="00EC7F46"/>
    <w:rsid w:val="00ED01EF"/>
    <w:rsid w:val="00ED036F"/>
    <w:rsid w:val="00ED0408"/>
    <w:rsid w:val="00ED0C4B"/>
    <w:rsid w:val="00ED0DC2"/>
    <w:rsid w:val="00ED1216"/>
    <w:rsid w:val="00ED150E"/>
    <w:rsid w:val="00ED1FF2"/>
    <w:rsid w:val="00ED28AB"/>
    <w:rsid w:val="00ED2AC8"/>
    <w:rsid w:val="00ED3A40"/>
    <w:rsid w:val="00ED3AD5"/>
    <w:rsid w:val="00ED3C67"/>
    <w:rsid w:val="00ED4AF9"/>
    <w:rsid w:val="00ED4E9A"/>
    <w:rsid w:val="00ED58AA"/>
    <w:rsid w:val="00ED5EC4"/>
    <w:rsid w:val="00ED603D"/>
    <w:rsid w:val="00ED6BAF"/>
    <w:rsid w:val="00ED6F95"/>
    <w:rsid w:val="00ED7071"/>
    <w:rsid w:val="00EE03EE"/>
    <w:rsid w:val="00EE21E5"/>
    <w:rsid w:val="00EE25BB"/>
    <w:rsid w:val="00EE2832"/>
    <w:rsid w:val="00EE375A"/>
    <w:rsid w:val="00EE3B28"/>
    <w:rsid w:val="00EE4FF1"/>
    <w:rsid w:val="00EE5221"/>
    <w:rsid w:val="00EE54B2"/>
    <w:rsid w:val="00EE5AFF"/>
    <w:rsid w:val="00EE669C"/>
    <w:rsid w:val="00EF02EC"/>
    <w:rsid w:val="00EF0D12"/>
    <w:rsid w:val="00EF11C0"/>
    <w:rsid w:val="00EF304D"/>
    <w:rsid w:val="00EF4049"/>
    <w:rsid w:val="00EF4703"/>
    <w:rsid w:val="00EF4716"/>
    <w:rsid w:val="00EF478B"/>
    <w:rsid w:val="00EF49D0"/>
    <w:rsid w:val="00EF56C4"/>
    <w:rsid w:val="00EF60E7"/>
    <w:rsid w:val="00EF692E"/>
    <w:rsid w:val="00EF69BA"/>
    <w:rsid w:val="00EF7CA1"/>
    <w:rsid w:val="00F0105F"/>
    <w:rsid w:val="00F017C9"/>
    <w:rsid w:val="00F03F82"/>
    <w:rsid w:val="00F04DFC"/>
    <w:rsid w:val="00F05918"/>
    <w:rsid w:val="00F0598C"/>
    <w:rsid w:val="00F06890"/>
    <w:rsid w:val="00F06BC8"/>
    <w:rsid w:val="00F06C6F"/>
    <w:rsid w:val="00F10191"/>
    <w:rsid w:val="00F11685"/>
    <w:rsid w:val="00F11F9A"/>
    <w:rsid w:val="00F13A5B"/>
    <w:rsid w:val="00F13B71"/>
    <w:rsid w:val="00F13EFA"/>
    <w:rsid w:val="00F14ACA"/>
    <w:rsid w:val="00F15CE7"/>
    <w:rsid w:val="00F163B1"/>
    <w:rsid w:val="00F17117"/>
    <w:rsid w:val="00F1731B"/>
    <w:rsid w:val="00F1735C"/>
    <w:rsid w:val="00F178DB"/>
    <w:rsid w:val="00F17B44"/>
    <w:rsid w:val="00F17C67"/>
    <w:rsid w:val="00F2093E"/>
    <w:rsid w:val="00F20E17"/>
    <w:rsid w:val="00F2396F"/>
    <w:rsid w:val="00F243D1"/>
    <w:rsid w:val="00F24FD8"/>
    <w:rsid w:val="00F258FD"/>
    <w:rsid w:val="00F25F2F"/>
    <w:rsid w:val="00F264BA"/>
    <w:rsid w:val="00F264E2"/>
    <w:rsid w:val="00F26CD7"/>
    <w:rsid w:val="00F276DE"/>
    <w:rsid w:val="00F276E4"/>
    <w:rsid w:val="00F27A3F"/>
    <w:rsid w:val="00F27C87"/>
    <w:rsid w:val="00F27D7B"/>
    <w:rsid w:val="00F27EA3"/>
    <w:rsid w:val="00F30212"/>
    <w:rsid w:val="00F3170F"/>
    <w:rsid w:val="00F328EA"/>
    <w:rsid w:val="00F32D95"/>
    <w:rsid w:val="00F32FA8"/>
    <w:rsid w:val="00F333E4"/>
    <w:rsid w:val="00F3345B"/>
    <w:rsid w:val="00F335C3"/>
    <w:rsid w:val="00F35763"/>
    <w:rsid w:val="00F35A31"/>
    <w:rsid w:val="00F36EE0"/>
    <w:rsid w:val="00F37D91"/>
    <w:rsid w:val="00F403E2"/>
    <w:rsid w:val="00F40B50"/>
    <w:rsid w:val="00F40BA5"/>
    <w:rsid w:val="00F40C69"/>
    <w:rsid w:val="00F41587"/>
    <w:rsid w:val="00F425AF"/>
    <w:rsid w:val="00F42CFA"/>
    <w:rsid w:val="00F42E2F"/>
    <w:rsid w:val="00F432DD"/>
    <w:rsid w:val="00F43402"/>
    <w:rsid w:val="00F43DA2"/>
    <w:rsid w:val="00F452B7"/>
    <w:rsid w:val="00F4531B"/>
    <w:rsid w:val="00F459ED"/>
    <w:rsid w:val="00F45C0B"/>
    <w:rsid w:val="00F46786"/>
    <w:rsid w:val="00F46CD6"/>
    <w:rsid w:val="00F46F5D"/>
    <w:rsid w:val="00F4727A"/>
    <w:rsid w:val="00F47752"/>
    <w:rsid w:val="00F479F0"/>
    <w:rsid w:val="00F47DAA"/>
    <w:rsid w:val="00F5033B"/>
    <w:rsid w:val="00F5177D"/>
    <w:rsid w:val="00F51E67"/>
    <w:rsid w:val="00F522A7"/>
    <w:rsid w:val="00F522B9"/>
    <w:rsid w:val="00F529AA"/>
    <w:rsid w:val="00F53281"/>
    <w:rsid w:val="00F53596"/>
    <w:rsid w:val="00F53F6F"/>
    <w:rsid w:val="00F540EC"/>
    <w:rsid w:val="00F5443D"/>
    <w:rsid w:val="00F544B3"/>
    <w:rsid w:val="00F546B0"/>
    <w:rsid w:val="00F555AD"/>
    <w:rsid w:val="00F5571D"/>
    <w:rsid w:val="00F565ED"/>
    <w:rsid w:val="00F56640"/>
    <w:rsid w:val="00F60258"/>
    <w:rsid w:val="00F614C8"/>
    <w:rsid w:val="00F61664"/>
    <w:rsid w:val="00F61893"/>
    <w:rsid w:val="00F623E1"/>
    <w:rsid w:val="00F62410"/>
    <w:rsid w:val="00F62451"/>
    <w:rsid w:val="00F628A6"/>
    <w:rsid w:val="00F63592"/>
    <w:rsid w:val="00F638B5"/>
    <w:rsid w:val="00F638D7"/>
    <w:rsid w:val="00F63A8E"/>
    <w:rsid w:val="00F63C79"/>
    <w:rsid w:val="00F64386"/>
    <w:rsid w:val="00F64E6F"/>
    <w:rsid w:val="00F64E7C"/>
    <w:rsid w:val="00F659C5"/>
    <w:rsid w:val="00F65B73"/>
    <w:rsid w:val="00F66388"/>
    <w:rsid w:val="00F6646B"/>
    <w:rsid w:val="00F665FB"/>
    <w:rsid w:val="00F66956"/>
    <w:rsid w:val="00F66A63"/>
    <w:rsid w:val="00F676A7"/>
    <w:rsid w:val="00F67737"/>
    <w:rsid w:val="00F67BAD"/>
    <w:rsid w:val="00F70650"/>
    <w:rsid w:val="00F709AE"/>
    <w:rsid w:val="00F70E14"/>
    <w:rsid w:val="00F71266"/>
    <w:rsid w:val="00F7203F"/>
    <w:rsid w:val="00F733A1"/>
    <w:rsid w:val="00F73D08"/>
    <w:rsid w:val="00F74926"/>
    <w:rsid w:val="00F74A94"/>
    <w:rsid w:val="00F754D9"/>
    <w:rsid w:val="00F75988"/>
    <w:rsid w:val="00F764C1"/>
    <w:rsid w:val="00F766D9"/>
    <w:rsid w:val="00F76EF0"/>
    <w:rsid w:val="00F77A13"/>
    <w:rsid w:val="00F80858"/>
    <w:rsid w:val="00F80B6E"/>
    <w:rsid w:val="00F80F44"/>
    <w:rsid w:val="00F8134D"/>
    <w:rsid w:val="00F81375"/>
    <w:rsid w:val="00F81A29"/>
    <w:rsid w:val="00F8200D"/>
    <w:rsid w:val="00F82666"/>
    <w:rsid w:val="00F82BF0"/>
    <w:rsid w:val="00F83D19"/>
    <w:rsid w:val="00F83EB1"/>
    <w:rsid w:val="00F8424F"/>
    <w:rsid w:val="00F848E6"/>
    <w:rsid w:val="00F85F47"/>
    <w:rsid w:val="00F8639A"/>
    <w:rsid w:val="00F8652E"/>
    <w:rsid w:val="00F86CAE"/>
    <w:rsid w:val="00F86DBB"/>
    <w:rsid w:val="00F90D64"/>
    <w:rsid w:val="00F910EF"/>
    <w:rsid w:val="00F91A68"/>
    <w:rsid w:val="00F921A5"/>
    <w:rsid w:val="00F92201"/>
    <w:rsid w:val="00F92EBF"/>
    <w:rsid w:val="00F93931"/>
    <w:rsid w:val="00F93D5A"/>
    <w:rsid w:val="00F93D91"/>
    <w:rsid w:val="00F93DEA"/>
    <w:rsid w:val="00F93F1B"/>
    <w:rsid w:val="00F942C7"/>
    <w:rsid w:val="00F943B6"/>
    <w:rsid w:val="00F945DD"/>
    <w:rsid w:val="00F948D3"/>
    <w:rsid w:val="00F94E22"/>
    <w:rsid w:val="00F95342"/>
    <w:rsid w:val="00F959C5"/>
    <w:rsid w:val="00F959F8"/>
    <w:rsid w:val="00F95C32"/>
    <w:rsid w:val="00F96735"/>
    <w:rsid w:val="00F96743"/>
    <w:rsid w:val="00F968F1"/>
    <w:rsid w:val="00F978EB"/>
    <w:rsid w:val="00F97A76"/>
    <w:rsid w:val="00FA12D0"/>
    <w:rsid w:val="00FA1EE4"/>
    <w:rsid w:val="00FA242E"/>
    <w:rsid w:val="00FA26C7"/>
    <w:rsid w:val="00FA270B"/>
    <w:rsid w:val="00FA34F7"/>
    <w:rsid w:val="00FA4086"/>
    <w:rsid w:val="00FA4821"/>
    <w:rsid w:val="00FA4A83"/>
    <w:rsid w:val="00FA5931"/>
    <w:rsid w:val="00FA5D6C"/>
    <w:rsid w:val="00FA6A8B"/>
    <w:rsid w:val="00FA74B2"/>
    <w:rsid w:val="00FB0027"/>
    <w:rsid w:val="00FB1C54"/>
    <w:rsid w:val="00FB2AB1"/>
    <w:rsid w:val="00FB3AEE"/>
    <w:rsid w:val="00FB4405"/>
    <w:rsid w:val="00FB44E6"/>
    <w:rsid w:val="00FB4F24"/>
    <w:rsid w:val="00FB590E"/>
    <w:rsid w:val="00FB5E97"/>
    <w:rsid w:val="00FB5ED2"/>
    <w:rsid w:val="00FB7D41"/>
    <w:rsid w:val="00FB7F08"/>
    <w:rsid w:val="00FC0237"/>
    <w:rsid w:val="00FC074F"/>
    <w:rsid w:val="00FC0BD5"/>
    <w:rsid w:val="00FC0CFE"/>
    <w:rsid w:val="00FC285A"/>
    <w:rsid w:val="00FC2DDD"/>
    <w:rsid w:val="00FC2F4B"/>
    <w:rsid w:val="00FC31C5"/>
    <w:rsid w:val="00FC357C"/>
    <w:rsid w:val="00FC37F2"/>
    <w:rsid w:val="00FC39D0"/>
    <w:rsid w:val="00FC4311"/>
    <w:rsid w:val="00FC441D"/>
    <w:rsid w:val="00FC6075"/>
    <w:rsid w:val="00FC678B"/>
    <w:rsid w:val="00FC7318"/>
    <w:rsid w:val="00FC769A"/>
    <w:rsid w:val="00FC77BA"/>
    <w:rsid w:val="00FC7ABC"/>
    <w:rsid w:val="00FC7FB8"/>
    <w:rsid w:val="00FD145E"/>
    <w:rsid w:val="00FD1508"/>
    <w:rsid w:val="00FD15B6"/>
    <w:rsid w:val="00FD15CB"/>
    <w:rsid w:val="00FD1954"/>
    <w:rsid w:val="00FD22FD"/>
    <w:rsid w:val="00FD24C3"/>
    <w:rsid w:val="00FD2572"/>
    <w:rsid w:val="00FD2CDD"/>
    <w:rsid w:val="00FD2E6D"/>
    <w:rsid w:val="00FD30D7"/>
    <w:rsid w:val="00FD3824"/>
    <w:rsid w:val="00FD52B3"/>
    <w:rsid w:val="00FD555E"/>
    <w:rsid w:val="00FD5BE1"/>
    <w:rsid w:val="00FD6AA9"/>
    <w:rsid w:val="00FD714A"/>
    <w:rsid w:val="00FD7599"/>
    <w:rsid w:val="00FD7650"/>
    <w:rsid w:val="00FD7AEF"/>
    <w:rsid w:val="00FE03D2"/>
    <w:rsid w:val="00FE04D2"/>
    <w:rsid w:val="00FE10E7"/>
    <w:rsid w:val="00FE1374"/>
    <w:rsid w:val="00FE1621"/>
    <w:rsid w:val="00FE181E"/>
    <w:rsid w:val="00FE2025"/>
    <w:rsid w:val="00FE2A85"/>
    <w:rsid w:val="00FE2AF9"/>
    <w:rsid w:val="00FE2FCF"/>
    <w:rsid w:val="00FE3B3F"/>
    <w:rsid w:val="00FE428E"/>
    <w:rsid w:val="00FE4383"/>
    <w:rsid w:val="00FE4936"/>
    <w:rsid w:val="00FE4B7B"/>
    <w:rsid w:val="00FE4C2F"/>
    <w:rsid w:val="00FE4F75"/>
    <w:rsid w:val="00FE5F31"/>
    <w:rsid w:val="00FE792E"/>
    <w:rsid w:val="00FE7971"/>
    <w:rsid w:val="00FE7D97"/>
    <w:rsid w:val="00FF01CB"/>
    <w:rsid w:val="00FF03E5"/>
    <w:rsid w:val="00FF0687"/>
    <w:rsid w:val="00FF0688"/>
    <w:rsid w:val="00FF0925"/>
    <w:rsid w:val="00FF0EEC"/>
    <w:rsid w:val="00FF12EA"/>
    <w:rsid w:val="00FF1623"/>
    <w:rsid w:val="00FF271C"/>
    <w:rsid w:val="00FF2744"/>
    <w:rsid w:val="00FF2ADC"/>
    <w:rsid w:val="00FF4681"/>
    <w:rsid w:val="00FF5335"/>
    <w:rsid w:val="00FF5A29"/>
    <w:rsid w:val="00FF5BA7"/>
    <w:rsid w:val="00FF60CB"/>
    <w:rsid w:val="00FF6127"/>
    <w:rsid w:val="00FF62E3"/>
    <w:rsid w:val="00FF7229"/>
    <w:rsid w:val="00FF73CB"/>
    <w:rsid w:val="00FF7AC1"/>
    <w:rsid w:val="00FF7D38"/>
    <w:rsid w:val="04E08690"/>
    <w:rsid w:val="05DE611D"/>
    <w:rsid w:val="0621F8A6"/>
    <w:rsid w:val="0985CB41"/>
    <w:rsid w:val="0AEC1922"/>
    <w:rsid w:val="0BD76EED"/>
    <w:rsid w:val="0D6C1C11"/>
    <w:rsid w:val="0EC98148"/>
    <w:rsid w:val="15E88AEF"/>
    <w:rsid w:val="162DB4AF"/>
    <w:rsid w:val="1AF96B1D"/>
    <w:rsid w:val="1B3E94DD"/>
    <w:rsid w:val="1B8358FB"/>
    <w:rsid w:val="1B9E13B1"/>
    <w:rsid w:val="1E953A73"/>
    <w:rsid w:val="2A1B9A1E"/>
    <w:rsid w:val="2D58B2B0"/>
    <w:rsid w:val="31035BD8"/>
    <w:rsid w:val="31E4E6F0"/>
    <w:rsid w:val="35884A14"/>
    <w:rsid w:val="3AE6F0BB"/>
    <w:rsid w:val="3C71DD11"/>
    <w:rsid w:val="3D68BC57"/>
    <w:rsid w:val="45F4AB7A"/>
    <w:rsid w:val="4A0815C2"/>
    <w:rsid w:val="5A950E55"/>
    <w:rsid w:val="5C05A9B7"/>
    <w:rsid w:val="5C8CB6FD"/>
    <w:rsid w:val="5EB9F245"/>
    <w:rsid w:val="61B38946"/>
    <w:rsid w:val="625A392C"/>
    <w:rsid w:val="62B60573"/>
    <w:rsid w:val="62E7EFC2"/>
    <w:rsid w:val="676D1D6E"/>
    <w:rsid w:val="68E99E54"/>
    <w:rsid w:val="6AF66707"/>
    <w:rsid w:val="6B2ACB67"/>
    <w:rsid w:val="70A05FD6"/>
    <w:rsid w:val="768F199E"/>
    <w:rsid w:val="77A75515"/>
    <w:rsid w:val="7C07A995"/>
    <w:rsid w:val="7E8D0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E7A4"/>
  <w15:chartTrackingRefBased/>
  <w15:docId w15:val="{B2080316-C69F-49DA-AB25-66D687EE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65"/>
    <w:pPr>
      <w:spacing w:after="120"/>
    </w:pPr>
    <w:rPr>
      <w:lang w:val="en-US"/>
    </w:rPr>
  </w:style>
  <w:style w:type="paragraph" w:styleId="Heading1">
    <w:name w:val="heading 1"/>
    <w:basedOn w:val="BaseHeading"/>
    <w:next w:val="BodyText"/>
    <w:link w:val="Heading1Char"/>
    <w:uiPriority w:val="9"/>
    <w:qFormat/>
    <w:rsid w:val="00E93557"/>
    <w:pPr>
      <w:pageBreakBefore/>
      <w:spacing w:before="240" w:after="600"/>
      <w:outlineLvl w:val="0"/>
    </w:pPr>
    <w:rPr>
      <w:rFonts w:eastAsiaTheme="majorEastAsia" w:cstheme="majorBidi"/>
      <w:sz w:val="36"/>
      <w:szCs w:val="32"/>
    </w:rPr>
  </w:style>
  <w:style w:type="paragraph" w:styleId="Heading2">
    <w:name w:val="heading 2"/>
    <w:basedOn w:val="BaseHeading"/>
    <w:next w:val="BodyText"/>
    <w:link w:val="Heading2Char"/>
    <w:uiPriority w:val="9"/>
    <w:qFormat/>
    <w:rsid w:val="005E292E"/>
    <w:pPr>
      <w:spacing w:before="240" w:after="240"/>
      <w:outlineLvl w:val="1"/>
    </w:pPr>
    <w:rPr>
      <w:rFonts w:eastAsiaTheme="majorEastAsia" w:cstheme="majorBidi"/>
      <w:sz w:val="24"/>
      <w:szCs w:val="26"/>
    </w:rPr>
  </w:style>
  <w:style w:type="paragraph" w:styleId="Heading3">
    <w:name w:val="heading 3"/>
    <w:basedOn w:val="BaseHeading"/>
    <w:next w:val="BodyText"/>
    <w:link w:val="Heading3Char"/>
    <w:uiPriority w:val="9"/>
    <w:qFormat/>
    <w:rsid w:val="005E292E"/>
    <w:pPr>
      <w:spacing w:before="40"/>
      <w:outlineLvl w:val="2"/>
    </w:pPr>
    <w:rPr>
      <w:rFonts w:eastAsiaTheme="majorEastAsia" w:cstheme="majorBidi"/>
      <w:sz w:val="24"/>
      <w:szCs w:val="24"/>
    </w:rPr>
  </w:style>
  <w:style w:type="paragraph" w:styleId="Heading4">
    <w:name w:val="heading 4"/>
    <w:basedOn w:val="BaseHeading"/>
    <w:next w:val="BodyText"/>
    <w:link w:val="Heading4Char"/>
    <w:uiPriority w:val="9"/>
    <w:qFormat/>
    <w:rsid w:val="005E292E"/>
    <w:pPr>
      <w:outlineLvl w:val="3"/>
    </w:pPr>
    <w:rPr>
      <w:rFonts w:asciiTheme="minorHAnsi" w:eastAsiaTheme="majorEastAsia" w:hAnsiTheme="minorHAnsi" w:cstheme="majorBidi"/>
      <w:b/>
      <w:iCs/>
      <w:sz w:val="24"/>
    </w:rPr>
  </w:style>
  <w:style w:type="paragraph" w:styleId="Heading5">
    <w:name w:val="heading 5"/>
    <w:basedOn w:val="BaseHeading"/>
    <w:next w:val="BodyText"/>
    <w:link w:val="Heading5Char"/>
    <w:uiPriority w:val="9"/>
    <w:qFormat/>
    <w:rsid w:val="005E292E"/>
    <w:pPr>
      <w:outlineLvl w:val="4"/>
    </w:pPr>
    <w:rPr>
      <w:rFonts w:asciiTheme="minorHAnsi" w:eastAsiaTheme="majorEastAsia" w:hAnsiTheme="minorHAnsi"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Text"/>
    <w:link w:val="BodyTextChar"/>
    <w:qFormat/>
    <w:rsid w:val="005E292E"/>
    <w:pPr>
      <w:spacing w:after="120"/>
    </w:pPr>
  </w:style>
  <w:style w:type="character" w:customStyle="1" w:styleId="BodyTextChar">
    <w:name w:val="Body Text Char"/>
    <w:basedOn w:val="DefaultParagraphFont"/>
    <w:link w:val="BodyText"/>
    <w:rsid w:val="00504E65"/>
    <w:rPr>
      <w:sz w:val="24"/>
    </w:rPr>
  </w:style>
  <w:style w:type="character" w:customStyle="1" w:styleId="Heading1Char">
    <w:name w:val="Heading 1 Char"/>
    <w:basedOn w:val="DefaultParagraphFont"/>
    <w:link w:val="Heading1"/>
    <w:uiPriority w:val="9"/>
    <w:rsid w:val="005E292E"/>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5E292E"/>
    <w:rPr>
      <w:rFonts w:asciiTheme="majorHAnsi" w:eastAsiaTheme="majorEastAsia" w:hAnsiTheme="majorHAnsi" w:cstheme="majorBidi"/>
      <w:color w:val="000000" w:themeColor="text1"/>
      <w:sz w:val="24"/>
      <w:szCs w:val="26"/>
    </w:rPr>
  </w:style>
  <w:style w:type="character" w:customStyle="1" w:styleId="Heading3Char">
    <w:name w:val="Heading 3 Char"/>
    <w:basedOn w:val="DefaultParagraphFont"/>
    <w:link w:val="Heading3"/>
    <w:uiPriority w:val="9"/>
    <w:rsid w:val="005E292E"/>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5E292E"/>
    <w:rPr>
      <w:rFonts w:eastAsiaTheme="majorEastAsia" w:cstheme="majorBidi"/>
      <w:b/>
      <w:iCs/>
      <w:color w:val="000000" w:themeColor="text1"/>
      <w:sz w:val="24"/>
    </w:rPr>
  </w:style>
  <w:style w:type="paragraph" w:styleId="Title">
    <w:name w:val="Title"/>
    <w:basedOn w:val="BaseHeading"/>
    <w:next w:val="Subtitle"/>
    <w:link w:val="TitleChar"/>
    <w:uiPriority w:val="37"/>
    <w:qFormat/>
    <w:rsid w:val="00D24718"/>
    <w:pPr>
      <w:spacing w:line="192" w:lineRule="auto"/>
      <w:contextualSpacing/>
    </w:pPr>
    <w:rPr>
      <w:rFonts w:eastAsiaTheme="majorEastAsia" w:cstheme="majorBidi"/>
      <w:sz w:val="40"/>
      <w:szCs w:val="56"/>
    </w:rPr>
  </w:style>
  <w:style w:type="character" w:customStyle="1" w:styleId="TitleChar">
    <w:name w:val="Title Char"/>
    <w:basedOn w:val="DefaultParagraphFont"/>
    <w:link w:val="Title"/>
    <w:uiPriority w:val="37"/>
    <w:rsid w:val="00D24718"/>
    <w:rPr>
      <w:rFonts w:asciiTheme="majorHAnsi" w:eastAsiaTheme="majorEastAsia" w:hAnsiTheme="majorHAnsi" w:cstheme="majorBidi"/>
      <w:color w:val="000000" w:themeColor="text1"/>
      <w:sz w:val="40"/>
      <w:szCs w:val="56"/>
    </w:rPr>
  </w:style>
  <w:style w:type="paragraph" w:styleId="Subtitle">
    <w:name w:val="Subtitle"/>
    <w:basedOn w:val="BaseHeading"/>
    <w:next w:val="BodyText"/>
    <w:link w:val="SubtitleChar"/>
    <w:uiPriority w:val="38"/>
    <w:qFormat/>
    <w:rsid w:val="00E9389F"/>
    <w:pPr>
      <w:numPr>
        <w:ilvl w:val="1"/>
      </w:numPr>
      <w:spacing w:after="360"/>
    </w:pPr>
    <w:rPr>
      <w:rFonts w:asciiTheme="minorHAnsi" w:eastAsiaTheme="minorEastAsia" w:hAnsiTheme="minorHAnsi"/>
      <w:sz w:val="28"/>
    </w:rPr>
  </w:style>
  <w:style w:type="character" w:customStyle="1" w:styleId="SubtitleChar">
    <w:name w:val="Subtitle Char"/>
    <w:basedOn w:val="DefaultParagraphFont"/>
    <w:link w:val="Subtitle"/>
    <w:uiPriority w:val="38"/>
    <w:rsid w:val="00E9389F"/>
    <w:rPr>
      <w:rFonts w:eastAsiaTheme="minorEastAsia"/>
      <w:color w:val="000000" w:themeColor="text1"/>
      <w:sz w:val="28"/>
    </w:rPr>
  </w:style>
  <w:style w:type="paragraph" w:customStyle="1" w:styleId="BaseStyle">
    <w:name w:val="___Base Style"/>
    <w:semiHidden/>
    <w:rsid w:val="005E292E"/>
    <w:pPr>
      <w:spacing w:after="0" w:line="276" w:lineRule="auto"/>
    </w:pPr>
  </w:style>
  <w:style w:type="paragraph" w:customStyle="1" w:styleId="BaseTable">
    <w:name w:val="___Base Table"/>
    <w:semiHidden/>
    <w:rsid w:val="005E292E"/>
  </w:style>
  <w:style w:type="paragraph" w:customStyle="1" w:styleId="BaseText">
    <w:name w:val="__Base Text"/>
    <w:basedOn w:val="BaseStyle"/>
    <w:semiHidden/>
    <w:rsid w:val="005E292E"/>
    <w:pPr>
      <w:spacing w:line="264" w:lineRule="auto"/>
    </w:pPr>
    <w:rPr>
      <w:sz w:val="24"/>
    </w:rPr>
  </w:style>
  <w:style w:type="paragraph" w:customStyle="1" w:styleId="BaseHeading">
    <w:name w:val="__Base Heading"/>
    <w:basedOn w:val="BaseStyle"/>
    <w:next w:val="BodyText"/>
    <w:semiHidden/>
    <w:rsid w:val="005E292E"/>
    <w:pPr>
      <w:keepNext/>
      <w:keepLines/>
      <w:spacing w:line="240" w:lineRule="auto"/>
    </w:pPr>
    <w:rPr>
      <w:rFonts w:asciiTheme="majorHAnsi" w:hAnsiTheme="majorHAnsi"/>
      <w:color w:val="000000" w:themeColor="text1"/>
    </w:rPr>
  </w:style>
  <w:style w:type="table" w:customStyle="1" w:styleId="Plain">
    <w:name w:val="Plain"/>
    <w:basedOn w:val="TableNormal"/>
    <w:rsid w:val="005E292E"/>
    <w:pPr>
      <w:spacing w:after="0" w:line="240" w:lineRule="auto"/>
    </w:pPr>
    <w:tblPr/>
    <w:tcPr>
      <w:shd w:val="clear" w:color="auto" w:fill="auto"/>
      <w:tcMar>
        <w:left w:w="0" w:type="dxa"/>
        <w:right w:w="0" w:type="dxa"/>
      </w:tcMar>
    </w:tcPr>
  </w:style>
  <w:style w:type="paragraph" w:customStyle="1" w:styleId="1ptspacer">
    <w:name w:val="__1pt spacer"/>
    <w:basedOn w:val="BaseStyle"/>
    <w:next w:val="BodyText"/>
    <w:semiHidden/>
    <w:rsid w:val="005E292E"/>
    <w:pPr>
      <w:spacing w:line="20" w:lineRule="exact"/>
    </w:pPr>
    <w:rPr>
      <w:sz w:val="2"/>
    </w:rPr>
  </w:style>
  <w:style w:type="paragraph" w:customStyle="1" w:styleId="Placeholder">
    <w:name w:val="__Placeholder"/>
    <w:basedOn w:val="BaseText"/>
    <w:next w:val="BodyText"/>
    <w:semiHidden/>
    <w:rsid w:val="005E292E"/>
    <w:pPr>
      <w:spacing w:line="240" w:lineRule="auto"/>
      <w:jc w:val="center"/>
    </w:pPr>
  </w:style>
  <w:style w:type="paragraph" w:customStyle="1" w:styleId="TableSpaceAfter">
    <w:name w:val="__TableSpaceAfter"/>
    <w:basedOn w:val="BaseStyle"/>
    <w:next w:val="BodyText"/>
    <w:rsid w:val="005E292E"/>
    <w:pPr>
      <w:spacing w:line="20" w:lineRule="exact"/>
    </w:pPr>
    <w:rPr>
      <w:sz w:val="2"/>
    </w:rPr>
  </w:style>
  <w:style w:type="paragraph" w:styleId="ListBullet">
    <w:name w:val="List Bullet"/>
    <w:basedOn w:val="BodyText"/>
    <w:uiPriority w:val="99"/>
    <w:qFormat/>
    <w:rsid w:val="005E292E"/>
    <w:pPr>
      <w:ind w:left="397" w:hanging="397"/>
    </w:pPr>
  </w:style>
  <w:style w:type="paragraph" w:customStyle="1" w:styleId="TableText">
    <w:name w:val="Table Text"/>
    <w:basedOn w:val="BaseTable"/>
    <w:uiPriority w:val="2"/>
    <w:qFormat/>
    <w:rsid w:val="005E292E"/>
  </w:style>
  <w:style w:type="character" w:styleId="BookTitle">
    <w:name w:val="Book Title"/>
    <w:basedOn w:val="DefaultParagraphFont"/>
    <w:uiPriority w:val="33"/>
    <w:semiHidden/>
    <w:qFormat/>
    <w:rsid w:val="005E292E"/>
    <w:rPr>
      <w:b/>
      <w:bCs/>
      <w:i/>
      <w:iCs/>
      <w:spacing w:val="5"/>
    </w:rPr>
  </w:style>
  <w:style w:type="character" w:styleId="Emphasis">
    <w:name w:val="Emphasis"/>
    <w:basedOn w:val="DefaultParagraphFont"/>
    <w:uiPriority w:val="20"/>
    <w:semiHidden/>
    <w:qFormat/>
    <w:rsid w:val="005E292E"/>
    <w:rPr>
      <w:i/>
      <w:iCs/>
    </w:rPr>
  </w:style>
  <w:style w:type="character" w:styleId="IntenseEmphasis">
    <w:name w:val="Intense Emphasis"/>
    <w:basedOn w:val="DefaultParagraphFont"/>
    <w:uiPriority w:val="21"/>
    <w:semiHidden/>
    <w:qFormat/>
    <w:rsid w:val="005E292E"/>
    <w:rPr>
      <w:i/>
      <w:iCs/>
      <w:color w:val="EE0C3D" w:themeColor="accent1"/>
    </w:rPr>
  </w:style>
  <w:style w:type="paragraph" w:styleId="IntenseQuote">
    <w:name w:val="Intense Quote"/>
    <w:basedOn w:val="Normal"/>
    <w:next w:val="Normal"/>
    <w:link w:val="IntenseQuoteChar"/>
    <w:uiPriority w:val="30"/>
    <w:semiHidden/>
    <w:qFormat/>
    <w:rsid w:val="005E292E"/>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5E292E"/>
    <w:rPr>
      <w:i/>
      <w:iCs/>
      <w:color w:val="EE0C3D" w:themeColor="accent1"/>
      <w:lang w:val="en-US"/>
    </w:rPr>
  </w:style>
  <w:style w:type="character" w:styleId="IntenseReference">
    <w:name w:val="Intense Reference"/>
    <w:basedOn w:val="DefaultParagraphFont"/>
    <w:uiPriority w:val="32"/>
    <w:semiHidden/>
    <w:qFormat/>
    <w:rsid w:val="005E292E"/>
    <w:rPr>
      <w:b/>
      <w:bCs/>
      <w:smallCaps/>
      <w:color w:val="EE0C3D" w:themeColor="accent1"/>
      <w:spacing w:val="5"/>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5E292E"/>
    <w:pPr>
      <w:ind w:left="720"/>
      <w:contextualSpacing/>
    </w:pPr>
  </w:style>
  <w:style w:type="paragraph" w:styleId="NoSpacing">
    <w:name w:val="No Spacing"/>
    <w:link w:val="NoSpacingChar"/>
    <w:uiPriority w:val="1"/>
    <w:qFormat/>
    <w:rsid w:val="005E292E"/>
    <w:pPr>
      <w:spacing w:after="0" w:line="240" w:lineRule="auto"/>
    </w:pPr>
  </w:style>
  <w:style w:type="paragraph" w:styleId="Quote">
    <w:name w:val="Quote"/>
    <w:basedOn w:val="BaseText"/>
    <w:link w:val="QuoteChar"/>
    <w:uiPriority w:val="29"/>
    <w:qFormat/>
    <w:rsid w:val="005E292E"/>
    <w:pPr>
      <w:spacing w:before="240" w:after="240"/>
      <w:ind w:left="567"/>
    </w:pPr>
    <w:rPr>
      <w:iCs/>
      <w:color w:val="A6A6A6" w:themeColor="background1" w:themeShade="A6"/>
    </w:rPr>
  </w:style>
  <w:style w:type="character" w:customStyle="1" w:styleId="QuoteChar">
    <w:name w:val="Quote Char"/>
    <w:basedOn w:val="DefaultParagraphFont"/>
    <w:link w:val="Quote"/>
    <w:uiPriority w:val="29"/>
    <w:rsid w:val="005E292E"/>
    <w:rPr>
      <w:iCs/>
      <w:color w:val="A6A6A6" w:themeColor="background1" w:themeShade="A6"/>
      <w:sz w:val="24"/>
    </w:rPr>
  </w:style>
  <w:style w:type="character" w:styleId="Strong">
    <w:name w:val="Strong"/>
    <w:basedOn w:val="DefaultParagraphFont"/>
    <w:uiPriority w:val="22"/>
    <w:qFormat/>
    <w:rsid w:val="005E292E"/>
    <w:rPr>
      <w:b/>
      <w:bCs/>
    </w:rPr>
  </w:style>
  <w:style w:type="character" w:styleId="SubtleEmphasis">
    <w:name w:val="Subtle Emphasis"/>
    <w:basedOn w:val="DefaultParagraphFont"/>
    <w:uiPriority w:val="19"/>
    <w:semiHidden/>
    <w:qFormat/>
    <w:rsid w:val="005E292E"/>
    <w:rPr>
      <w:i/>
      <w:iCs/>
      <w:color w:val="404040" w:themeColor="text1" w:themeTint="BF"/>
    </w:rPr>
  </w:style>
  <w:style w:type="character" w:styleId="SubtleReference">
    <w:name w:val="Subtle Reference"/>
    <w:basedOn w:val="DefaultParagraphFont"/>
    <w:uiPriority w:val="31"/>
    <w:semiHidden/>
    <w:qFormat/>
    <w:rsid w:val="005E292E"/>
    <w:rPr>
      <w:smallCaps/>
      <w:color w:val="5A5A5A" w:themeColor="text1" w:themeTint="A5"/>
    </w:rPr>
  </w:style>
  <w:style w:type="numbering" w:customStyle="1" w:styleId="ListBullets">
    <w:name w:val="__List Bullets"/>
    <w:rsid w:val="005E292E"/>
    <w:pPr>
      <w:numPr>
        <w:numId w:val="1"/>
      </w:numPr>
    </w:pPr>
  </w:style>
  <w:style w:type="numbering" w:customStyle="1" w:styleId="ListNumbers">
    <w:name w:val="__List Numbers"/>
    <w:rsid w:val="005E292E"/>
    <w:pPr>
      <w:numPr>
        <w:numId w:val="2"/>
      </w:numPr>
    </w:pPr>
  </w:style>
  <w:style w:type="paragraph" w:styleId="ListNumber">
    <w:name w:val="List Number"/>
    <w:basedOn w:val="BodyText"/>
    <w:uiPriority w:val="1"/>
    <w:rsid w:val="005E292E"/>
    <w:pPr>
      <w:numPr>
        <w:numId w:val="3"/>
      </w:numPr>
    </w:pPr>
  </w:style>
  <w:style w:type="paragraph" w:customStyle="1" w:styleId="BodyTextNoSpace">
    <w:name w:val="Body Text_No Space"/>
    <w:basedOn w:val="BodyText"/>
    <w:qFormat/>
    <w:rsid w:val="005E292E"/>
    <w:pPr>
      <w:spacing w:after="0"/>
    </w:pPr>
  </w:style>
  <w:style w:type="table" w:customStyle="1" w:styleId="GlobalFundSolidHeader">
    <w:name w:val="Global Fund_Solid Header"/>
    <w:basedOn w:val="TableNormal"/>
    <w:uiPriority w:val="99"/>
    <w:rsid w:val="005E292E"/>
    <w:pPr>
      <w:keepNext/>
      <w:spacing w:before="60" w:after="60" w:line="240" w:lineRule="auto"/>
      <w:ind w:left="57" w:right="57"/>
    </w:pPr>
    <w:rPr>
      <w:color w:val="000000" w:themeColor="text1"/>
      <w:szCs w:val="20"/>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rPr>
      <w:cantSplit/>
    </w:tr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rPr>
        <w:color w:val="000000" w:themeColor="text1"/>
      </w:rPr>
      <w:tblPr/>
      <w:tcPr>
        <w:tcBorders>
          <w:top w:val="single" w:sz="4" w:space="0" w:color="939393" w:themeColor="text2"/>
          <w:bottom w:val="single" w:sz="4" w:space="0" w:color="939393" w:themeColor="text2"/>
        </w:tcBorders>
      </w:tcPr>
    </w:tblStylePr>
    <w:tblStylePr w:type="firstCol">
      <w:pPr>
        <w:jc w:val="left"/>
      </w:pPr>
    </w:tblStylePr>
    <w:tblStylePr w:type="band1Horz">
      <w:tblPr/>
      <w:tcPr>
        <w:shd w:val="clear" w:color="auto" w:fill="FFFFFF" w:themeFill="background1"/>
      </w:tcPr>
    </w:tblStylePr>
    <w:tblStylePr w:type="band2Horz">
      <w:rPr>
        <w:color w:val="404040" w:themeColor="text1" w:themeTint="BF"/>
      </w:rPr>
      <w:tblPr/>
      <w:tcPr>
        <w:tcBorders>
          <w:top w:val="nil"/>
          <w:left w:val="nil"/>
          <w:bottom w:val="nil"/>
          <w:right w:val="nil"/>
          <w:insideH w:val="nil"/>
          <w:insideV w:val="nil"/>
          <w:tl2br w:val="nil"/>
          <w:tr2bl w:val="nil"/>
        </w:tcBorders>
      </w:tcPr>
    </w:tblStylePr>
  </w:style>
  <w:style w:type="character" w:customStyle="1" w:styleId="Accent1">
    <w:name w:val="Accent 1"/>
    <w:basedOn w:val="DefaultParagraphFont"/>
    <w:uiPriority w:val="36"/>
    <w:semiHidden/>
    <w:qFormat/>
    <w:rsid w:val="005E292E"/>
    <w:rPr>
      <w:color w:val="EE0C3D" w:themeColor="accent1"/>
    </w:rPr>
  </w:style>
  <w:style w:type="character" w:customStyle="1" w:styleId="Accent2">
    <w:name w:val="Accent 2"/>
    <w:basedOn w:val="DefaultParagraphFont"/>
    <w:uiPriority w:val="36"/>
    <w:semiHidden/>
    <w:qFormat/>
    <w:rsid w:val="005E292E"/>
    <w:rPr>
      <w:color w:val="2E4DF9" w:themeColor="accent2"/>
    </w:rPr>
  </w:style>
  <w:style w:type="character" w:customStyle="1" w:styleId="Accent3">
    <w:name w:val="Accent 3"/>
    <w:basedOn w:val="DefaultParagraphFont"/>
    <w:uiPriority w:val="36"/>
    <w:semiHidden/>
    <w:qFormat/>
    <w:rsid w:val="005E292E"/>
    <w:rPr>
      <w:color w:val="F6DE00" w:themeColor="accent3"/>
    </w:rPr>
  </w:style>
  <w:style w:type="character" w:customStyle="1" w:styleId="Accent4">
    <w:name w:val="Accent 4"/>
    <w:basedOn w:val="DefaultParagraphFont"/>
    <w:uiPriority w:val="36"/>
    <w:semiHidden/>
    <w:qFormat/>
    <w:rsid w:val="005E292E"/>
    <w:rPr>
      <w:color w:val="44CC36" w:themeColor="accent4"/>
    </w:rPr>
  </w:style>
  <w:style w:type="character" w:customStyle="1" w:styleId="Accent5">
    <w:name w:val="Accent 5"/>
    <w:basedOn w:val="DefaultParagraphFont"/>
    <w:uiPriority w:val="36"/>
    <w:semiHidden/>
    <w:qFormat/>
    <w:rsid w:val="005E292E"/>
    <w:rPr>
      <w:color w:val="FC9B00" w:themeColor="accent5"/>
    </w:rPr>
  </w:style>
  <w:style w:type="character" w:customStyle="1" w:styleId="Accent6">
    <w:name w:val="Accent 6"/>
    <w:basedOn w:val="DefaultParagraphFont"/>
    <w:uiPriority w:val="36"/>
    <w:semiHidden/>
    <w:qFormat/>
    <w:rsid w:val="005E292E"/>
    <w:rPr>
      <w:color w:val="8C29D3" w:themeColor="accent6"/>
    </w:rPr>
  </w:style>
  <w:style w:type="character" w:customStyle="1" w:styleId="Heading5Char">
    <w:name w:val="Heading 5 Char"/>
    <w:basedOn w:val="DefaultParagraphFont"/>
    <w:link w:val="Heading5"/>
    <w:uiPriority w:val="9"/>
    <w:rsid w:val="005E292E"/>
    <w:rPr>
      <w:rFonts w:eastAsiaTheme="majorEastAsia" w:cstheme="majorBidi"/>
      <w:i/>
      <w:color w:val="000000" w:themeColor="text1"/>
      <w:sz w:val="24"/>
    </w:rPr>
  </w:style>
  <w:style w:type="paragraph" w:customStyle="1" w:styleId="ListHeading1">
    <w:name w:val="List Heading 1"/>
    <w:basedOn w:val="Heading1"/>
    <w:next w:val="BodyText"/>
    <w:uiPriority w:val="9"/>
    <w:qFormat/>
    <w:rsid w:val="00FF12EA"/>
  </w:style>
  <w:style w:type="paragraph" w:customStyle="1" w:styleId="ListHeading2">
    <w:name w:val="List Heading 2"/>
    <w:basedOn w:val="Heading2"/>
    <w:next w:val="BodyText"/>
    <w:uiPriority w:val="9"/>
    <w:qFormat/>
    <w:rsid w:val="00C10F68"/>
  </w:style>
  <w:style w:type="paragraph" w:customStyle="1" w:styleId="ListHeading3">
    <w:name w:val="List Heading 3"/>
    <w:basedOn w:val="Heading3"/>
    <w:next w:val="BodyText"/>
    <w:uiPriority w:val="9"/>
    <w:qFormat/>
    <w:rsid w:val="005E292E"/>
    <w:pPr>
      <w:spacing w:before="0"/>
      <w:ind w:left="851" w:hanging="851"/>
    </w:pPr>
  </w:style>
  <w:style w:type="paragraph" w:customStyle="1" w:styleId="ListHeading4">
    <w:name w:val="List Heading 4"/>
    <w:basedOn w:val="Heading4"/>
    <w:next w:val="BodyText"/>
    <w:uiPriority w:val="9"/>
    <w:qFormat/>
    <w:rsid w:val="005E292E"/>
    <w:pPr>
      <w:ind w:left="964" w:hanging="964"/>
    </w:pPr>
  </w:style>
  <w:style w:type="paragraph" w:customStyle="1" w:styleId="ListHeading5">
    <w:name w:val="List Heading 5"/>
    <w:basedOn w:val="Heading5"/>
    <w:next w:val="BodyText"/>
    <w:uiPriority w:val="9"/>
    <w:qFormat/>
    <w:rsid w:val="005E292E"/>
    <w:pPr>
      <w:ind w:left="1191" w:hanging="1191"/>
    </w:pPr>
  </w:style>
  <w:style w:type="numbering" w:customStyle="1" w:styleId="ListHeading">
    <w:name w:val="List Heading"/>
    <w:uiPriority w:val="99"/>
    <w:rsid w:val="005E292E"/>
    <w:pPr>
      <w:numPr>
        <w:numId w:val="5"/>
      </w:numPr>
    </w:pPr>
  </w:style>
  <w:style w:type="paragraph" w:styleId="Header">
    <w:name w:val="header"/>
    <w:basedOn w:val="Normal"/>
    <w:link w:val="HeaderChar"/>
    <w:uiPriority w:val="99"/>
    <w:unhideWhenUsed/>
    <w:rsid w:val="005E292E"/>
    <w:pPr>
      <w:tabs>
        <w:tab w:val="center" w:pos="4513"/>
        <w:tab w:val="right" w:pos="9026"/>
      </w:tabs>
      <w:spacing w:after="0" w:line="240" w:lineRule="auto"/>
    </w:pPr>
    <w:rPr>
      <w:sz w:val="14"/>
    </w:rPr>
  </w:style>
  <w:style w:type="character" w:customStyle="1" w:styleId="HeaderChar">
    <w:name w:val="Header Char"/>
    <w:basedOn w:val="DefaultParagraphFont"/>
    <w:link w:val="Header"/>
    <w:uiPriority w:val="99"/>
    <w:rsid w:val="005E292E"/>
    <w:rPr>
      <w:sz w:val="14"/>
      <w:lang w:val="en-US"/>
    </w:rPr>
  </w:style>
  <w:style w:type="paragraph" w:styleId="Footer">
    <w:name w:val="footer"/>
    <w:basedOn w:val="Normal"/>
    <w:link w:val="FooterChar"/>
    <w:uiPriority w:val="99"/>
    <w:unhideWhenUsed/>
    <w:rsid w:val="005E292E"/>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5E292E"/>
    <w:rPr>
      <w:sz w:val="14"/>
      <w:lang w:val="en-US"/>
    </w:rPr>
  </w:style>
  <w:style w:type="table" w:styleId="TableGrid">
    <w:name w:val="Table Grid"/>
    <w:aliases w:val="Thesis"/>
    <w:basedOn w:val="TableNormal"/>
    <w:uiPriority w:val="39"/>
    <w:rsid w:val="005E292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292E"/>
    <w:pPr>
      <w:pageBreakBefore w:val="0"/>
      <w:spacing w:before="0" w:after="2160"/>
      <w:contextualSpacing/>
      <w:outlineLvl w:val="9"/>
    </w:pPr>
    <w:rPr>
      <w:lang w:val="en-US"/>
    </w:rPr>
  </w:style>
  <w:style w:type="paragraph" w:styleId="TOC1">
    <w:name w:val="toc 1"/>
    <w:basedOn w:val="Normal"/>
    <w:next w:val="Normal"/>
    <w:autoRedefine/>
    <w:uiPriority w:val="39"/>
    <w:unhideWhenUsed/>
    <w:rsid w:val="005E292E"/>
    <w:pPr>
      <w:pBdr>
        <w:top w:val="single" w:sz="4" w:space="1" w:color="auto"/>
      </w:pBdr>
      <w:tabs>
        <w:tab w:val="left" w:pos="454"/>
        <w:tab w:val="right" w:pos="10194"/>
      </w:tabs>
      <w:spacing w:after="0" w:line="240" w:lineRule="auto"/>
    </w:pPr>
    <w:rPr>
      <w:rFonts w:asciiTheme="majorHAnsi" w:hAnsiTheme="majorHAnsi"/>
      <w:color w:val="000000" w:themeColor="text1"/>
      <w:sz w:val="28"/>
    </w:rPr>
  </w:style>
  <w:style w:type="paragraph" w:styleId="TOC2">
    <w:name w:val="toc 2"/>
    <w:basedOn w:val="Normal"/>
    <w:next w:val="Normal"/>
    <w:autoRedefine/>
    <w:uiPriority w:val="39"/>
    <w:unhideWhenUsed/>
    <w:rsid w:val="005E292E"/>
    <w:pPr>
      <w:tabs>
        <w:tab w:val="left" w:pos="680"/>
        <w:tab w:val="right" w:pos="10195"/>
      </w:tabs>
      <w:spacing w:after="240" w:line="240" w:lineRule="auto"/>
      <w:ind w:left="680" w:hanging="680"/>
      <w:contextualSpacing/>
    </w:pPr>
    <w:rPr>
      <w:color w:val="000000" w:themeColor="text1"/>
      <w:sz w:val="24"/>
    </w:rPr>
  </w:style>
  <w:style w:type="paragraph" w:styleId="TOC3">
    <w:name w:val="toc 3"/>
    <w:basedOn w:val="Normal"/>
    <w:next w:val="Normal"/>
    <w:autoRedefine/>
    <w:uiPriority w:val="39"/>
    <w:unhideWhenUsed/>
    <w:rsid w:val="005E292E"/>
    <w:pPr>
      <w:tabs>
        <w:tab w:val="left" w:pos="907"/>
        <w:tab w:val="right" w:pos="10194"/>
      </w:tabs>
      <w:spacing w:after="100"/>
    </w:pPr>
    <w:rPr>
      <w:color w:val="000000" w:themeColor="text1"/>
      <w:sz w:val="24"/>
    </w:rPr>
  </w:style>
  <w:style w:type="character" w:styleId="Hyperlink">
    <w:name w:val="Hyperlink"/>
    <w:basedOn w:val="DefaultParagraphFont"/>
    <w:uiPriority w:val="99"/>
    <w:unhideWhenUsed/>
    <w:rsid w:val="005E292E"/>
    <w:rPr>
      <w:color w:val="2E4DF9" w:themeColor="hyperlink"/>
      <w:u w:val="single"/>
    </w:rPr>
  </w:style>
  <w:style w:type="paragraph" w:customStyle="1" w:styleId="Heading1NoContents">
    <w:name w:val="Heading 1 No Contents"/>
    <w:basedOn w:val="Heading1"/>
    <w:next w:val="BodyText"/>
    <w:uiPriority w:val="10"/>
    <w:qFormat/>
    <w:rsid w:val="005E292E"/>
    <w:pPr>
      <w:spacing w:before="0"/>
      <w:outlineLvl w:val="9"/>
    </w:pPr>
  </w:style>
  <w:style w:type="table" w:customStyle="1" w:styleId="GlobalFundNoSpace">
    <w:name w:val="Global Fund_No Space"/>
    <w:basedOn w:val="TableNormal"/>
    <w:uiPriority w:val="99"/>
    <w:rsid w:val="005E292E"/>
    <w:pPr>
      <w:keepNext/>
      <w:spacing w:after="0" w:line="240" w:lineRule="auto"/>
    </w:pPr>
    <w:rPr>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GlobalFundLined">
    <w:name w:val="Global Fund_Lined"/>
    <w:basedOn w:val="GlobalFundNoSpace"/>
    <w:uiPriority w:val="99"/>
    <w:rsid w:val="005E292E"/>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ImageCaption">
    <w:name w:val="Image Caption"/>
    <w:basedOn w:val="BaseText"/>
    <w:uiPriority w:val="29"/>
    <w:qFormat/>
    <w:rsid w:val="00416A18"/>
    <w:pPr>
      <w:spacing w:before="120"/>
      <w:contextualSpacing/>
    </w:pPr>
    <w:rPr>
      <w:color w:val="000000" w:themeColor="text1"/>
      <w:sz w:val="12"/>
      <w:szCs w:val="12"/>
    </w:rPr>
  </w:style>
  <w:style w:type="character" w:customStyle="1" w:styleId="ImageCaptionHeading">
    <w:name w:val="Image Caption Heading"/>
    <w:basedOn w:val="DefaultParagraphFont"/>
    <w:uiPriority w:val="29"/>
    <w:qFormat/>
    <w:rsid w:val="005E292E"/>
    <w:rPr>
      <w:rFonts w:asciiTheme="majorHAnsi" w:hAnsiTheme="majorHAnsi"/>
      <w:color w:val="000000" w:themeColor="text1"/>
    </w:rPr>
  </w:style>
  <w:style w:type="paragraph" w:customStyle="1" w:styleId="Note">
    <w:name w:val="Note"/>
    <w:basedOn w:val="BodyText"/>
    <w:uiPriority w:val="29"/>
    <w:qFormat/>
    <w:rsid w:val="005E292E"/>
    <w:pPr>
      <w:spacing w:after="0"/>
    </w:pPr>
    <w:rPr>
      <w:sz w:val="16"/>
      <w:szCs w:val="16"/>
    </w:rPr>
  </w:style>
  <w:style w:type="paragraph" w:styleId="FootnoteText">
    <w:name w:val="footnote text"/>
    <w:aliases w:val="ADB,FOOTNOTES,Footnote Text Char Char,Footnote Text English,Footnote ak,Footnote ak Char,Footnotes Char,Footnotes Char Char,fn,fn Char,fn Char Char,fn cafc,footnote text,footnote text Char,footnote text Char Char Char Ch,ft,single space"/>
    <w:basedOn w:val="Normal"/>
    <w:link w:val="FootnoteTextChar"/>
    <w:uiPriority w:val="99"/>
    <w:unhideWhenUsed/>
    <w:qFormat/>
    <w:rsid w:val="005E292E"/>
    <w:pPr>
      <w:spacing w:after="0" w:line="240" w:lineRule="auto"/>
    </w:pPr>
    <w:rPr>
      <w:color w:val="000000" w:themeColor="text1"/>
      <w:sz w:val="16"/>
      <w:szCs w:val="20"/>
    </w:rPr>
  </w:style>
  <w:style w:type="character" w:customStyle="1" w:styleId="FootnoteTextChar">
    <w:name w:val="Footnote Text Char"/>
    <w:aliases w:val="ADB Char,FOOTNOTES Char,Footnote Text Char Char Char,Footnote Text English Char,Footnote ak Char1,Footnote ak Char Char,Footnotes Char Char1,Footnotes Char Char Char,fn Char1,fn Char Char1,fn Char Char Char,fn cafc Char,ft Char"/>
    <w:basedOn w:val="DefaultParagraphFont"/>
    <w:link w:val="FootnoteText"/>
    <w:uiPriority w:val="99"/>
    <w:rsid w:val="005E292E"/>
    <w:rPr>
      <w:color w:val="000000" w:themeColor="text1"/>
      <w:sz w:val="16"/>
      <w:szCs w:val="20"/>
      <w:lang w:val="en-US"/>
    </w:rPr>
  </w:style>
  <w:style w:type="character" w:styleId="FootnoteReference">
    <w:name w:val="footnote reference"/>
    <w:aliases w:val=" BVI fnr,(NECG) Footnote Reference,16 Point,BVI fnr,Char Char Char Char Car Char,Exposant 3 Point,Footnote Reference Number,Footnote number,Footnote symbol,Fußnotenzeichen DISS,Superscript 6 Point,Times 10 Point,footnote ref,fr,ftref"/>
    <w:basedOn w:val="DefaultParagraphFont"/>
    <w:link w:val="Char2"/>
    <w:uiPriority w:val="99"/>
    <w:unhideWhenUsed/>
    <w:qFormat/>
    <w:rsid w:val="005E292E"/>
    <w:rPr>
      <w:vertAlign w:val="superscript"/>
    </w:rPr>
  </w:style>
  <w:style w:type="numbering" w:customStyle="1" w:styleId="AlphaList">
    <w:name w:val="Alpha List"/>
    <w:uiPriority w:val="99"/>
    <w:rsid w:val="005E292E"/>
    <w:pPr>
      <w:numPr>
        <w:numId w:val="7"/>
      </w:numPr>
    </w:pPr>
  </w:style>
  <w:style w:type="paragraph" w:customStyle="1" w:styleId="ListAlpha">
    <w:name w:val="List Alpha"/>
    <w:basedOn w:val="BodyText"/>
    <w:uiPriority w:val="1"/>
    <w:qFormat/>
    <w:rsid w:val="005E292E"/>
    <w:pPr>
      <w:numPr>
        <w:numId w:val="8"/>
      </w:numPr>
      <w:contextualSpacing/>
    </w:pPr>
  </w:style>
  <w:style w:type="paragraph" w:customStyle="1" w:styleId="PageNo">
    <w:name w:val="Page No"/>
    <w:basedOn w:val="BodyText"/>
    <w:uiPriority w:val="49"/>
    <w:qFormat/>
    <w:rsid w:val="005E292E"/>
    <w:pPr>
      <w:spacing w:after="0" w:line="240" w:lineRule="auto"/>
      <w:jc w:val="right"/>
    </w:pPr>
    <w:rPr>
      <w:rFonts w:asciiTheme="majorHAnsi" w:hAnsiTheme="majorHAnsi"/>
      <w:color w:val="000000" w:themeColor="text1"/>
      <w:sz w:val="18"/>
      <w:szCs w:val="16"/>
    </w:rPr>
  </w:style>
  <w:style w:type="character" w:styleId="PlaceholderText">
    <w:name w:val="Placeholder Text"/>
    <w:basedOn w:val="DefaultParagraphFont"/>
    <w:uiPriority w:val="99"/>
    <w:semiHidden/>
    <w:rsid w:val="005E292E"/>
    <w:rPr>
      <w:color w:val="808080"/>
    </w:rPr>
  </w:style>
  <w:style w:type="paragraph" w:customStyle="1" w:styleId="Table-ChartHeading">
    <w:name w:val="Table - Chart Heading"/>
    <w:basedOn w:val="BaseHeading"/>
    <w:next w:val="Normal"/>
    <w:uiPriority w:val="11"/>
    <w:qFormat/>
    <w:rsid w:val="005E292E"/>
    <w:pPr>
      <w:contextualSpacing/>
    </w:pPr>
    <w:rPr>
      <w:sz w:val="24"/>
    </w:rPr>
  </w:style>
  <w:style w:type="paragraph" w:customStyle="1" w:styleId="Table-ChartSubheading">
    <w:name w:val="Table - Chart Subheading"/>
    <w:basedOn w:val="BaseText"/>
    <w:uiPriority w:val="11"/>
    <w:qFormat/>
    <w:rsid w:val="005E292E"/>
    <w:pPr>
      <w:contextualSpacing/>
    </w:pPr>
  </w:style>
  <w:style w:type="table" w:styleId="PlainTable1">
    <w:name w:val="Plain Table 1"/>
    <w:basedOn w:val="TableNormal"/>
    <w:uiPriority w:val="41"/>
    <w:rsid w:val="00416A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16A18"/>
    <w:rPr>
      <w:sz w:val="16"/>
      <w:szCs w:val="16"/>
      <w:lang w:val="en-US"/>
    </w:rPr>
  </w:style>
  <w:style w:type="paragraph" w:styleId="CommentText">
    <w:name w:val="annotation text"/>
    <w:basedOn w:val="Normal"/>
    <w:link w:val="CommentTextChar"/>
    <w:uiPriority w:val="99"/>
    <w:unhideWhenUsed/>
    <w:rsid w:val="00416A18"/>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rsid w:val="00416A18"/>
    <w:rPr>
      <w:rFonts w:ascii="Arial" w:hAnsi="Arial"/>
      <w:sz w:val="20"/>
      <w:szCs w:val="20"/>
      <w:lang w:val="en-US"/>
    </w:rPr>
  </w:style>
  <w:style w:type="character" w:styleId="FollowedHyperlink">
    <w:name w:val="FollowedHyperlink"/>
    <w:basedOn w:val="DefaultParagraphFont"/>
    <w:uiPriority w:val="99"/>
    <w:semiHidden/>
    <w:unhideWhenUsed/>
    <w:rsid w:val="00416A18"/>
    <w:rPr>
      <w:color w:val="2E4DF9" w:themeColor="followedHyperlink"/>
      <w:u w:val="single"/>
    </w:rPr>
  </w:style>
  <w:style w:type="paragraph" w:customStyle="1" w:styleId="SECTIONBackCover">
    <w:name w:val="__SECTION BackCover"/>
    <w:basedOn w:val="Normal"/>
    <w:next w:val="BodyText"/>
    <w:semiHidden/>
    <w:rsid w:val="006536CC"/>
    <w:pPr>
      <w:spacing w:after="0" w:line="160" w:lineRule="exact"/>
    </w:pPr>
    <w:rPr>
      <w:color w:val="0000FF"/>
      <w:sz w:val="18"/>
      <w:lang w:val="en-GB"/>
    </w:rPr>
  </w:style>
  <w:style w:type="paragraph" w:customStyle="1" w:styleId="CoverInformation">
    <w:name w:val="Cover Information"/>
    <w:basedOn w:val="BodyText"/>
    <w:uiPriority w:val="39"/>
    <w:qFormat/>
    <w:rsid w:val="00E9389F"/>
    <w:pPr>
      <w:spacing w:after="0"/>
    </w:pPr>
    <w:rPr>
      <w:sz w:val="16"/>
      <w:szCs w:val="16"/>
    </w:rPr>
  </w:style>
  <w:style w:type="paragraph" w:styleId="CommentSubject">
    <w:name w:val="annotation subject"/>
    <w:basedOn w:val="CommentText"/>
    <w:next w:val="CommentText"/>
    <w:link w:val="CommentSubjectChar"/>
    <w:uiPriority w:val="99"/>
    <w:semiHidden/>
    <w:unhideWhenUsed/>
    <w:rsid w:val="00D31CE1"/>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D31CE1"/>
    <w:rPr>
      <w:rFonts w:ascii="Arial" w:hAnsi="Arial"/>
      <w:b/>
      <w:bCs/>
      <w:sz w:val="20"/>
      <w:szCs w:val="20"/>
      <w:lang w:val="en-US"/>
    </w:rPr>
  </w:style>
  <w:style w:type="table" w:customStyle="1" w:styleId="TableGrid3">
    <w:name w:val="Table Grid3"/>
    <w:basedOn w:val="TableNormal"/>
    <w:next w:val="TableGrid"/>
    <w:uiPriority w:val="39"/>
    <w:rsid w:val="00512C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F5C"/>
    <w:pPr>
      <w:spacing w:after="0" w:line="240" w:lineRule="auto"/>
    </w:pPr>
    <w:rPr>
      <w:lang w:val="en-US"/>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F6F17"/>
    <w:rPr>
      <w:lang w:val="en-US"/>
    </w:rPr>
  </w:style>
  <w:style w:type="character" w:styleId="UnresolvedMention">
    <w:name w:val="Unresolved Mention"/>
    <w:basedOn w:val="DefaultParagraphFont"/>
    <w:uiPriority w:val="99"/>
    <w:unhideWhenUsed/>
    <w:rsid w:val="00F565ED"/>
    <w:rPr>
      <w:color w:val="605E5C"/>
      <w:shd w:val="clear" w:color="auto" w:fill="E1DFDD"/>
    </w:rPr>
  </w:style>
  <w:style w:type="character" w:styleId="Mention">
    <w:name w:val="Mention"/>
    <w:basedOn w:val="DefaultParagraphFont"/>
    <w:uiPriority w:val="99"/>
    <w:unhideWhenUsed/>
    <w:rsid w:val="00F565ED"/>
    <w:rPr>
      <w:color w:val="2B579A"/>
      <w:shd w:val="clear" w:color="auto" w:fill="E1DFDD"/>
    </w:rPr>
  </w:style>
  <w:style w:type="paragraph" w:styleId="NormalWeb">
    <w:name w:val="Normal (Web)"/>
    <w:basedOn w:val="Normal"/>
    <w:uiPriority w:val="99"/>
    <w:semiHidden/>
    <w:unhideWhenUsed/>
    <w:rsid w:val="007D4001"/>
    <w:pPr>
      <w:spacing w:before="100" w:beforeAutospacing="1" w:after="100" w:afterAutospacing="1" w:line="240" w:lineRule="auto"/>
    </w:pPr>
    <w:rPr>
      <w:rFonts w:ascii="Times New Roman" w:eastAsia="Times New Roman" w:hAnsi="Times New Roman" w:cs="Times New Roman"/>
      <w:sz w:val="24"/>
      <w:szCs w:val="24"/>
    </w:rPr>
  </w:style>
  <w:style w:type="table" w:styleId="PlainTable3">
    <w:name w:val="Plain Table 3"/>
    <w:basedOn w:val="TableNormal"/>
    <w:uiPriority w:val="43"/>
    <w:rsid w:val="00070A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rsid w:val="00A86253"/>
  </w:style>
  <w:style w:type="paragraph" w:customStyle="1" w:styleId="Char2">
    <w:name w:val="Char2"/>
    <w:basedOn w:val="Normal"/>
    <w:link w:val="FootnoteReference"/>
    <w:uiPriority w:val="99"/>
    <w:qFormat/>
    <w:rsid w:val="00627217"/>
    <w:pPr>
      <w:spacing w:before="120" w:after="160" w:line="240" w:lineRule="exact"/>
      <w:ind w:left="547"/>
      <w:jc w:val="both"/>
    </w:pPr>
    <w:rPr>
      <w:vertAlign w:val="superscript"/>
      <w:lang w:val="en-GB"/>
    </w:rPr>
  </w:style>
  <w:style w:type="paragraph" w:customStyle="1" w:styleId="Default">
    <w:name w:val="Default"/>
    <w:uiPriority w:val="99"/>
    <w:rsid w:val="0077195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7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58"/>
    <w:rPr>
      <w:rFonts w:ascii="Tahoma" w:hAnsi="Tahoma" w:cs="Tahoma"/>
      <w:sz w:val="16"/>
      <w:szCs w:val="16"/>
      <w:lang w:val="en-US"/>
    </w:rPr>
  </w:style>
  <w:style w:type="paragraph" w:styleId="Caption">
    <w:name w:val="caption"/>
    <w:basedOn w:val="Normal"/>
    <w:next w:val="Normal"/>
    <w:uiPriority w:val="35"/>
    <w:unhideWhenUsed/>
    <w:qFormat/>
    <w:rsid w:val="005525AC"/>
    <w:pPr>
      <w:keepNext/>
      <w:spacing w:after="40" w:line="240" w:lineRule="auto"/>
    </w:pPr>
    <w:rPr>
      <w:rFonts w:ascii="Arial" w:hAnsi="Arial"/>
      <w:i/>
      <w:iCs/>
      <w:sz w:val="18"/>
      <w:szCs w:val="18"/>
    </w:rPr>
  </w:style>
  <w:style w:type="character" w:customStyle="1" w:styleId="NoSpacingChar">
    <w:name w:val="No Spacing Char"/>
    <w:link w:val="NoSpacing"/>
    <w:uiPriority w:val="1"/>
    <w:rsid w:val="005525AC"/>
  </w:style>
  <w:style w:type="paragraph" w:customStyle="1" w:styleId="Subcaption">
    <w:name w:val="Subcaption"/>
    <w:basedOn w:val="NoSpacing"/>
    <w:link w:val="SubcaptionChar"/>
    <w:qFormat/>
    <w:rsid w:val="005525AC"/>
    <w:pPr>
      <w:spacing w:after="120"/>
    </w:pPr>
    <w:rPr>
      <w:sz w:val="18"/>
      <w:szCs w:val="18"/>
      <w:lang w:val="en-US"/>
    </w:rPr>
  </w:style>
  <w:style w:type="character" w:customStyle="1" w:styleId="SubcaptionChar">
    <w:name w:val="Subcaption Char"/>
    <w:basedOn w:val="NoSpacingChar"/>
    <w:link w:val="Subcaption"/>
    <w:rsid w:val="005525AC"/>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9929">
      <w:bodyDiv w:val="1"/>
      <w:marLeft w:val="0"/>
      <w:marRight w:val="0"/>
      <w:marTop w:val="0"/>
      <w:marBottom w:val="0"/>
      <w:divBdr>
        <w:top w:val="none" w:sz="0" w:space="0" w:color="auto"/>
        <w:left w:val="none" w:sz="0" w:space="0" w:color="auto"/>
        <w:bottom w:val="none" w:sz="0" w:space="0" w:color="auto"/>
        <w:right w:val="none" w:sz="0" w:space="0" w:color="auto"/>
      </w:divBdr>
    </w:div>
    <w:div w:id="297492722">
      <w:bodyDiv w:val="1"/>
      <w:marLeft w:val="0"/>
      <w:marRight w:val="0"/>
      <w:marTop w:val="0"/>
      <w:marBottom w:val="0"/>
      <w:divBdr>
        <w:top w:val="none" w:sz="0" w:space="0" w:color="auto"/>
        <w:left w:val="none" w:sz="0" w:space="0" w:color="auto"/>
        <w:bottom w:val="none" w:sz="0" w:space="0" w:color="auto"/>
        <w:right w:val="none" w:sz="0" w:space="0" w:color="auto"/>
      </w:divBdr>
    </w:div>
    <w:div w:id="562567564">
      <w:bodyDiv w:val="1"/>
      <w:marLeft w:val="0"/>
      <w:marRight w:val="0"/>
      <w:marTop w:val="0"/>
      <w:marBottom w:val="0"/>
      <w:divBdr>
        <w:top w:val="none" w:sz="0" w:space="0" w:color="auto"/>
        <w:left w:val="none" w:sz="0" w:space="0" w:color="auto"/>
        <w:bottom w:val="none" w:sz="0" w:space="0" w:color="auto"/>
        <w:right w:val="none" w:sz="0" w:space="0" w:color="auto"/>
      </w:divBdr>
    </w:div>
    <w:div w:id="1274092719">
      <w:bodyDiv w:val="1"/>
      <w:marLeft w:val="0"/>
      <w:marRight w:val="0"/>
      <w:marTop w:val="0"/>
      <w:marBottom w:val="0"/>
      <w:divBdr>
        <w:top w:val="none" w:sz="0" w:space="0" w:color="auto"/>
        <w:left w:val="none" w:sz="0" w:space="0" w:color="auto"/>
        <w:bottom w:val="none" w:sz="0" w:space="0" w:color="auto"/>
        <w:right w:val="none" w:sz="0" w:space="0" w:color="auto"/>
      </w:divBdr>
    </w:div>
    <w:div w:id="1453283267">
      <w:bodyDiv w:val="1"/>
      <w:marLeft w:val="0"/>
      <w:marRight w:val="0"/>
      <w:marTop w:val="0"/>
      <w:marBottom w:val="0"/>
      <w:divBdr>
        <w:top w:val="none" w:sz="0" w:space="0" w:color="auto"/>
        <w:left w:val="none" w:sz="0" w:space="0" w:color="auto"/>
        <w:bottom w:val="none" w:sz="0" w:space="0" w:color="auto"/>
        <w:right w:val="none" w:sz="0" w:space="0" w:color="auto"/>
      </w:divBdr>
    </w:div>
    <w:div w:id="1557743641">
      <w:bodyDiv w:val="1"/>
      <w:marLeft w:val="0"/>
      <w:marRight w:val="0"/>
      <w:marTop w:val="0"/>
      <w:marBottom w:val="0"/>
      <w:divBdr>
        <w:top w:val="none" w:sz="0" w:space="0" w:color="auto"/>
        <w:left w:val="none" w:sz="0" w:space="0" w:color="auto"/>
        <w:bottom w:val="none" w:sz="0" w:space="0" w:color="auto"/>
        <w:right w:val="none" w:sz="0" w:space="0" w:color="auto"/>
      </w:divBdr>
    </w:div>
    <w:div w:id="1651861983">
      <w:bodyDiv w:val="1"/>
      <w:marLeft w:val="0"/>
      <w:marRight w:val="0"/>
      <w:marTop w:val="0"/>
      <w:marBottom w:val="0"/>
      <w:divBdr>
        <w:top w:val="none" w:sz="0" w:space="0" w:color="auto"/>
        <w:left w:val="none" w:sz="0" w:space="0" w:color="auto"/>
        <w:bottom w:val="none" w:sz="0" w:space="0" w:color="auto"/>
        <w:right w:val="none" w:sz="0" w:space="0" w:color="auto"/>
      </w:divBdr>
    </w:div>
    <w:div w:id="1664045774">
      <w:bodyDiv w:val="1"/>
      <w:marLeft w:val="0"/>
      <w:marRight w:val="0"/>
      <w:marTop w:val="0"/>
      <w:marBottom w:val="0"/>
      <w:divBdr>
        <w:top w:val="none" w:sz="0" w:space="0" w:color="auto"/>
        <w:left w:val="none" w:sz="0" w:space="0" w:color="auto"/>
        <w:bottom w:val="none" w:sz="0" w:space="0" w:color="auto"/>
        <w:right w:val="none" w:sz="0" w:space="0" w:color="auto"/>
      </w:divBdr>
    </w:div>
    <w:div w:id="1884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chart" Target="charts/chart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7.png"/><Relationship Id="rId37" Type="http://schemas.openxmlformats.org/officeDocument/2006/relationships/chart" Target="charts/chart4.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5.png"/><Relationship Id="rId36" Type="http://schemas.openxmlformats.org/officeDocument/2006/relationships/chart" Target="charts/chart3.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8598/fundingrequest_focusedportfolio_instructions_en.pdf" TargetMode="Externa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footer" Target="footer7.xml"/><Relationship Id="rId35" Type="http://schemas.openxmlformats.org/officeDocument/2006/relationships/image" Target="media/image8.pn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chart" Target="charts/chart1.xml"/><Relationship Id="rId38" Type="http://schemas.openxmlformats.org/officeDocument/2006/relationships/hyperlink" Target="https://www.theglobalfund.org/media/8598/fundingrequest_focusedportfolio_instructions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hra-uploads.s3.eu-central-1.amazonaws.com/5c08f4fc-6521-4130-a559-7837cef982bc.pdf" TargetMode="External"/><Relationship Id="rId2" Type="http://schemas.openxmlformats.org/officeDocument/2006/relationships/hyperlink" Target="https://ehra-uploads.s3.eu-central-1.amazonaws.com/c46fb468-30a1-4e9d-9d7b-006184134c4a.pdf" TargetMode="External"/><Relationship Id="rId1" Type="http://schemas.openxmlformats.org/officeDocument/2006/relationships/hyperlink" Target="http://cbd.minjust.gov.kg/act/view/ru-ru/74" TargetMode="External"/><Relationship Id="rId5" Type="http://schemas.openxmlformats.org/officeDocument/2006/relationships/hyperlink" Target="https://www.theglobalfund.org/media/8598/fundingrequest_focusedportfolio_instructions_en.pdf" TargetMode="External"/><Relationship Id="rId4" Type="http://schemas.openxmlformats.org/officeDocument/2006/relationships/hyperlink" Target="https://itpc-eeca.org/2021/06/10/obzor-zakonodatelstva-reguliruyushhego-obrashhenie-lekarstv-v-evrazijskom-ekonomicheskom-soyuz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cuments\(a)%20Work\2023-2025_Global%20Fund\2022_12_GF-KGZ\2022_KG_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73616341435582E-2"/>
          <c:y val="1.9446658775426871E-2"/>
          <c:w val="0.93797881243105485"/>
          <c:h val="0.74002424386739785"/>
        </c:manualLayout>
      </c:layout>
      <c:barChart>
        <c:barDir val="col"/>
        <c:grouping val="percentStacked"/>
        <c:varyColors val="0"/>
        <c:ser>
          <c:idx val="0"/>
          <c:order val="0"/>
          <c:tx>
            <c:strRef>
              <c:f>Лист1!$B$1</c:f>
              <c:strCache>
                <c:ptCount val="1"/>
                <c:pt idx="0">
                  <c:v>ЛУИН</c:v>
                </c:pt>
              </c:strCache>
            </c:strRef>
          </c:tx>
          <c:spPr>
            <a:solidFill>
              <a:schemeClr val="accent1"/>
            </a:solidFill>
            <a:ln>
              <a:noFill/>
            </a:ln>
            <a:effectLst/>
          </c:spPr>
          <c:invertIfNegative val="0"/>
          <c:dLbls>
            <c:dLbl>
              <c:idx val="2"/>
              <c:tx>
                <c:rich>
                  <a:bodyPr/>
                  <a:lstStyle/>
                  <a:p>
                    <a:r>
                      <a:rPr lang="en-US" dirty="0"/>
                      <a:t>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EAC-C141-B8BA-E8066E7F34B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144</c:v>
                </c:pt>
                <c:pt idx="1">
                  <c:v>111</c:v>
                </c:pt>
                <c:pt idx="2">
                  <c:v>54</c:v>
                </c:pt>
                <c:pt idx="3">
                  <c:v>38</c:v>
                </c:pt>
                <c:pt idx="4">
                  <c:v>26</c:v>
                </c:pt>
              </c:numCache>
            </c:numRef>
          </c:val>
          <c:extLst>
            <c:ext xmlns:c16="http://schemas.microsoft.com/office/drawing/2014/chart" uri="{C3380CC4-5D6E-409C-BE32-E72D297353CC}">
              <c16:uniqueId val="{00000001-EEAC-C141-B8BA-E8066E7F34BD}"/>
            </c:ext>
          </c:extLst>
        </c:ser>
        <c:ser>
          <c:idx val="1"/>
          <c:order val="1"/>
          <c:tx>
            <c:strRef>
              <c:f>Лист1!$C$1</c:f>
              <c:strCache>
                <c:ptCount val="1"/>
                <c:pt idx="0">
                  <c:v>МСМ</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45</c:v>
                </c:pt>
                <c:pt idx="1">
                  <c:v>37</c:v>
                </c:pt>
                <c:pt idx="2">
                  <c:v>44</c:v>
                </c:pt>
                <c:pt idx="3">
                  <c:v>92</c:v>
                </c:pt>
                <c:pt idx="4">
                  <c:v>95</c:v>
                </c:pt>
              </c:numCache>
            </c:numRef>
          </c:val>
          <c:extLst>
            <c:ext xmlns:c16="http://schemas.microsoft.com/office/drawing/2014/chart" uri="{C3380CC4-5D6E-409C-BE32-E72D297353CC}">
              <c16:uniqueId val="{00000002-EEAC-C141-B8BA-E8066E7F34BD}"/>
            </c:ext>
          </c:extLst>
        </c:ser>
        <c:ser>
          <c:idx val="2"/>
          <c:order val="2"/>
          <c:tx>
            <c:strRef>
              <c:f>Лист1!$D$1</c:f>
              <c:strCache>
                <c:ptCount val="1"/>
                <c:pt idx="0">
                  <c:v>СР</c:v>
                </c:pt>
              </c:strCache>
            </c:strRef>
          </c:tx>
          <c:spPr>
            <a:solidFill>
              <a:schemeClr val="accent3"/>
            </a:solidFill>
            <a:ln>
              <a:noFill/>
            </a:ln>
            <a:effectLst/>
          </c:spPr>
          <c:invertIfNegative val="0"/>
          <c:dLbls>
            <c:dLbl>
              <c:idx val="0"/>
              <c:layout>
                <c:manualLayout>
                  <c:x val="-1.2077294685990338E-3"/>
                  <c:y val="-7.02471510493513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AC-C141-B8BA-E8066E7F34BD}"/>
                </c:ext>
              </c:extLst>
            </c:dLbl>
            <c:dLbl>
              <c:idx val="1"/>
              <c:layout>
                <c:manualLayout>
                  <c:x val="-1.2077294685990338E-3"/>
                  <c:y val="-5.85392925411261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AC-C141-B8BA-E8066E7F34BD}"/>
                </c:ext>
              </c:extLst>
            </c:dLbl>
            <c:dLbl>
              <c:idx val="2"/>
              <c:layout>
                <c:manualLayout>
                  <c:x val="3.6231884057971015E-3"/>
                  <c:y val="-5.26853632870135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AC-C141-B8BA-E8066E7F34B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12</c:v>
                </c:pt>
                <c:pt idx="1">
                  <c:v>10</c:v>
                </c:pt>
                <c:pt idx="2">
                  <c:v>10</c:v>
                </c:pt>
                <c:pt idx="3">
                  <c:v>23</c:v>
                </c:pt>
                <c:pt idx="4">
                  <c:v>20</c:v>
                </c:pt>
              </c:numCache>
            </c:numRef>
          </c:val>
          <c:extLst>
            <c:ext xmlns:c16="http://schemas.microsoft.com/office/drawing/2014/chart" uri="{C3380CC4-5D6E-409C-BE32-E72D297353CC}">
              <c16:uniqueId val="{00000006-EEAC-C141-B8BA-E8066E7F34BD}"/>
            </c:ext>
          </c:extLst>
        </c:ser>
        <c:ser>
          <c:idx val="3"/>
          <c:order val="3"/>
          <c:tx>
            <c:strRef>
              <c:f>Лист1!$E$1</c:f>
              <c:strCache>
                <c:ptCount val="1"/>
                <c:pt idx="0">
                  <c:v>Общее население</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668</c:v>
                </c:pt>
                <c:pt idx="1">
                  <c:v>687</c:v>
                </c:pt>
                <c:pt idx="2">
                  <c:v>557</c:v>
                </c:pt>
                <c:pt idx="3">
                  <c:v>690</c:v>
                </c:pt>
                <c:pt idx="4">
                  <c:v>957</c:v>
                </c:pt>
              </c:numCache>
            </c:numRef>
          </c:val>
          <c:extLst>
            <c:ext xmlns:c16="http://schemas.microsoft.com/office/drawing/2014/chart" uri="{C3380CC4-5D6E-409C-BE32-E72D297353CC}">
              <c16:uniqueId val="{00000007-EEAC-C141-B8BA-E8066E7F34BD}"/>
            </c:ext>
          </c:extLst>
        </c:ser>
        <c:dLbls>
          <c:showLegendKey val="0"/>
          <c:showVal val="0"/>
          <c:showCatName val="0"/>
          <c:showSerName val="0"/>
          <c:showPercent val="0"/>
          <c:showBubbleSize val="0"/>
        </c:dLbls>
        <c:gapWidth val="165"/>
        <c:overlap val="100"/>
        <c:axId val="40628224"/>
        <c:axId val="40629760"/>
      </c:barChart>
      <c:catAx>
        <c:axId val="406282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crossAx val="40629760"/>
        <c:crosses val="autoZero"/>
        <c:auto val="1"/>
        <c:lblAlgn val="ctr"/>
        <c:lblOffset val="100"/>
        <c:noMultiLvlLbl val="0"/>
      </c:catAx>
      <c:valAx>
        <c:axId val="40629760"/>
        <c:scaling>
          <c:orientation val="minMax"/>
        </c:scaling>
        <c:delete val="0"/>
        <c:axPos val="l"/>
        <c:numFmt formatCode="0%" sourceLinked="1"/>
        <c:majorTickMark val="none"/>
        <c:minorTickMark val="none"/>
        <c:tickLblPos val="nextTo"/>
        <c:spPr>
          <a:noFill/>
          <a:ln w="6350">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crossAx val="4062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en-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800">
          <a:solidFill>
            <a:schemeClr val="tx1">
              <a:lumMod val="95000"/>
              <a:lumOff val="5000"/>
            </a:schemeClr>
          </a:solidFill>
        </a:defRPr>
      </a:pPr>
      <a:endParaRPr lang="en-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333794350763338E-2"/>
          <c:y val="0.22788932214899715"/>
          <c:w val="0.95355471035693384"/>
          <c:h val="0.67468572372641511"/>
        </c:manualLayout>
      </c:layout>
      <c:barChart>
        <c:barDir val="col"/>
        <c:grouping val="clustered"/>
        <c:varyColors val="0"/>
        <c:ser>
          <c:idx val="0"/>
          <c:order val="0"/>
          <c:tx>
            <c:strRef>
              <c:f>Лист1!$F$5</c:f>
              <c:strCache>
                <c:ptCount val="1"/>
                <c:pt idx="0">
                  <c:v>К-во ЛУИН </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95000"/>
                        <a:lumOff val="5000"/>
                      </a:schemeClr>
                    </a:solidFill>
                    <a:latin typeface="+mn-lt"/>
                    <a:ea typeface="+mn-ea"/>
                    <a:cs typeface="+mn-cs"/>
                  </a:defRPr>
                </a:pPr>
                <a:endParaRPr lang="en-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Лист1!$E$6:$E$10</c:f>
              <c:numCache>
                <c:formatCode>General</c:formatCode>
                <c:ptCount val="5"/>
                <c:pt idx="0">
                  <c:v>2017</c:v>
                </c:pt>
                <c:pt idx="1">
                  <c:v>2018</c:v>
                </c:pt>
                <c:pt idx="2">
                  <c:v>2019</c:v>
                </c:pt>
                <c:pt idx="3">
                  <c:v>2020</c:v>
                </c:pt>
                <c:pt idx="4">
                  <c:v>2021</c:v>
                </c:pt>
              </c:numCache>
            </c:numRef>
          </c:cat>
          <c:val>
            <c:numRef>
              <c:f>Лист1!$F$6:$F$10</c:f>
              <c:numCache>
                <c:formatCode>General</c:formatCode>
                <c:ptCount val="5"/>
                <c:pt idx="0">
                  <c:v>5383</c:v>
                </c:pt>
                <c:pt idx="1">
                  <c:v>5380</c:v>
                </c:pt>
                <c:pt idx="2">
                  <c:v>5265</c:v>
                </c:pt>
                <c:pt idx="3">
                  <c:v>5113</c:v>
                </c:pt>
                <c:pt idx="4">
                  <c:v>5024</c:v>
                </c:pt>
              </c:numCache>
            </c:numRef>
          </c:val>
          <c:extLst>
            <c:ext xmlns:c16="http://schemas.microsoft.com/office/drawing/2014/chart" uri="{C3380CC4-5D6E-409C-BE32-E72D297353CC}">
              <c16:uniqueId val="{00000001-1E5A-5644-BDC0-20316AA042A8}"/>
            </c:ext>
          </c:extLst>
        </c:ser>
        <c:dLbls>
          <c:showLegendKey val="0"/>
          <c:showVal val="0"/>
          <c:showCatName val="0"/>
          <c:showSerName val="0"/>
          <c:showPercent val="0"/>
          <c:showBubbleSize val="0"/>
        </c:dLbls>
        <c:gapWidth val="219"/>
        <c:overlap val="-27"/>
        <c:axId val="41023744"/>
        <c:axId val="64958464"/>
      </c:barChart>
      <c:catAx>
        <c:axId val="4102374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en-UA"/>
          </a:p>
        </c:txPr>
        <c:crossAx val="64958464"/>
        <c:crosses val="autoZero"/>
        <c:auto val="1"/>
        <c:lblAlgn val="ctr"/>
        <c:lblOffset val="100"/>
        <c:noMultiLvlLbl val="0"/>
      </c:catAx>
      <c:valAx>
        <c:axId val="649584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w="6350">
            <a:noFill/>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en-UA"/>
          </a:p>
        </c:txPr>
        <c:crossAx val="4102374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800" b="1">
          <a:solidFill>
            <a:schemeClr val="tx1">
              <a:lumMod val="95000"/>
              <a:lumOff val="5000"/>
            </a:schemeClr>
          </a:solidFill>
        </a:defRPr>
      </a:pPr>
      <a:endParaRPr lang="en-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Regions!$F$50</c:f>
              <c:strCache>
                <c:ptCount val="1"/>
                <c:pt idx="0">
                  <c:v>2019</c:v>
                </c:pt>
              </c:strCache>
            </c:strRef>
          </c:tx>
          <c:spPr>
            <a:solidFill>
              <a:schemeClr val="accent1"/>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Regions!$F$51:$F$59</c:f>
              <c:numCache>
                <c:formatCode>#,##0</c:formatCode>
                <c:ptCount val="9"/>
                <c:pt idx="0">
                  <c:v>1962</c:v>
                </c:pt>
                <c:pt idx="1">
                  <c:v>3642</c:v>
                </c:pt>
                <c:pt idx="2">
                  <c:v>1019</c:v>
                </c:pt>
                <c:pt idx="3" formatCode="General">
                  <c:v>450</c:v>
                </c:pt>
                <c:pt idx="4">
                  <c:v>1351</c:v>
                </c:pt>
                <c:pt idx="5">
                  <c:v>4518</c:v>
                </c:pt>
                <c:pt idx="6">
                  <c:v>3701</c:v>
                </c:pt>
                <c:pt idx="7">
                  <c:v>1305</c:v>
                </c:pt>
                <c:pt idx="8" formatCode="General">
                  <c:v>0</c:v>
                </c:pt>
              </c:numCache>
            </c:numRef>
          </c:val>
          <c:extLst>
            <c:ext xmlns:c16="http://schemas.microsoft.com/office/drawing/2014/chart" uri="{C3380CC4-5D6E-409C-BE32-E72D297353CC}">
              <c16:uniqueId val="{00000000-EE67-1E4F-9136-34F370329721}"/>
            </c:ext>
          </c:extLst>
        </c:ser>
        <c:ser>
          <c:idx val="1"/>
          <c:order val="1"/>
          <c:tx>
            <c:strRef>
              <c:f>Regions!$G$50</c:f>
              <c:strCache>
                <c:ptCount val="1"/>
                <c:pt idx="0">
                  <c:v>2020</c:v>
                </c:pt>
              </c:strCache>
            </c:strRef>
          </c:tx>
          <c:spPr>
            <a:solidFill>
              <a:schemeClr val="accent2"/>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Regions!$G$51:$G$59</c:f>
              <c:numCache>
                <c:formatCode>#,##0</c:formatCode>
                <c:ptCount val="9"/>
                <c:pt idx="0">
                  <c:v>1365</c:v>
                </c:pt>
                <c:pt idx="1">
                  <c:v>2828</c:v>
                </c:pt>
                <c:pt idx="2" formatCode="General">
                  <c:v>974</c:v>
                </c:pt>
                <c:pt idx="3" formatCode="General">
                  <c:v>600</c:v>
                </c:pt>
                <c:pt idx="4">
                  <c:v>1250</c:v>
                </c:pt>
                <c:pt idx="5">
                  <c:v>3445</c:v>
                </c:pt>
                <c:pt idx="6">
                  <c:v>3003</c:v>
                </c:pt>
                <c:pt idx="7">
                  <c:v>1073</c:v>
                </c:pt>
                <c:pt idx="8">
                  <c:v>1440</c:v>
                </c:pt>
              </c:numCache>
            </c:numRef>
          </c:val>
          <c:extLst>
            <c:ext xmlns:c16="http://schemas.microsoft.com/office/drawing/2014/chart" uri="{C3380CC4-5D6E-409C-BE32-E72D297353CC}">
              <c16:uniqueId val="{00000001-EE67-1E4F-9136-34F370329721}"/>
            </c:ext>
          </c:extLst>
        </c:ser>
        <c:ser>
          <c:idx val="2"/>
          <c:order val="2"/>
          <c:tx>
            <c:strRef>
              <c:f>Regions!$H$50</c:f>
              <c:strCache>
                <c:ptCount val="1"/>
                <c:pt idx="0">
                  <c:v>2021</c:v>
                </c:pt>
              </c:strCache>
            </c:strRef>
          </c:tx>
          <c:spPr>
            <a:solidFill>
              <a:schemeClr val="accent3"/>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Regions!$H$51:$H$59</c:f>
              <c:numCache>
                <c:formatCode>#,##0</c:formatCode>
                <c:ptCount val="9"/>
                <c:pt idx="0" formatCode="General">
                  <c:v>931</c:v>
                </c:pt>
                <c:pt idx="1">
                  <c:v>3034</c:v>
                </c:pt>
                <c:pt idx="2" formatCode="General">
                  <c:v>449</c:v>
                </c:pt>
                <c:pt idx="3" formatCode="General">
                  <c:v>596</c:v>
                </c:pt>
                <c:pt idx="4">
                  <c:v>1355</c:v>
                </c:pt>
                <c:pt idx="5">
                  <c:v>3316</c:v>
                </c:pt>
                <c:pt idx="6">
                  <c:v>1821</c:v>
                </c:pt>
                <c:pt idx="7" formatCode="General">
                  <c:v>523</c:v>
                </c:pt>
                <c:pt idx="8">
                  <c:v>1382</c:v>
                </c:pt>
              </c:numCache>
            </c:numRef>
          </c:val>
          <c:extLst>
            <c:ext xmlns:c16="http://schemas.microsoft.com/office/drawing/2014/chart" uri="{C3380CC4-5D6E-409C-BE32-E72D297353CC}">
              <c16:uniqueId val="{00000002-EE67-1E4F-9136-34F370329721}"/>
            </c:ext>
          </c:extLst>
        </c:ser>
        <c:dLbls>
          <c:showLegendKey val="0"/>
          <c:showVal val="0"/>
          <c:showCatName val="0"/>
          <c:showSerName val="0"/>
          <c:showPercent val="0"/>
          <c:showBubbleSize val="0"/>
        </c:dLbls>
        <c:gapWidth val="219"/>
        <c:overlap val="-27"/>
        <c:axId val="65005440"/>
        <c:axId val="65006976"/>
      </c:barChart>
      <c:catAx>
        <c:axId val="650054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A"/>
          </a:p>
        </c:txPr>
        <c:crossAx val="65006976"/>
        <c:crosses val="autoZero"/>
        <c:auto val="1"/>
        <c:lblAlgn val="ctr"/>
        <c:lblOffset val="100"/>
        <c:noMultiLvlLbl val="0"/>
      </c:catAx>
      <c:valAx>
        <c:axId val="65006976"/>
        <c:scaling>
          <c:orientation val="minMax"/>
        </c:scaling>
        <c:delete val="0"/>
        <c:axPos val="l"/>
        <c:numFmt formatCode="#,##0"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A"/>
          </a:p>
        </c:txPr>
        <c:crossAx val="65005440"/>
        <c:crosses val="autoZero"/>
        <c:crossBetween val="between"/>
        <c:majorUnit val="1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A"/>
        </a:p>
      </c:txPr>
    </c:legend>
    <c:plotVisOnly val="1"/>
    <c:dispBlanksAs val="gap"/>
    <c:showDLblsOverMax val="0"/>
  </c:chart>
  <c:spPr>
    <a:solidFill>
      <a:schemeClr val="bg1"/>
    </a:solidFill>
    <a:ln w="9525">
      <a:noFill/>
      <a:round/>
    </a:ln>
    <a:effectLst/>
  </c:spPr>
  <c:txPr>
    <a:bodyPr/>
    <a:lstStyle/>
    <a:p>
      <a:pPr>
        <a:defRPr/>
      </a:pPr>
      <a:endParaRPr lang="en-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Pt>
            <c:idx val="5"/>
            <c:invertIfNegative val="0"/>
            <c:bubble3D val="0"/>
            <c:spPr>
              <a:solidFill>
                <a:srgbClr val="FFC000"/>
              </a:solidFill>
              <a:ln>
                <a:noFill/>
              </a:ln>
              <a:effectLst/>
            </c:spPr>
            <c:extLst>
              <c:ext xmlns:c16="http://schemas.microsoft.com/office/drawing/2014/chart" uri="{C3380CC4-5D6E-409C-BE32-E72D297353CC}">
                <c16:uniqueId val="{00000001-BA84-4947-9199-09D53463BE72}"/>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Лист1!$A$2:$A$12</c:f>
              <c:strCache>
                <c:ptCount val="11"/>
                <c:pt idx="0">
                  <c:v>Osh city</c:v>
                </c:pt>
                <c:pt idx="1">
                  <c:v>Bishkek</c:v>
                </c:pt>
                <c:pt idx="2">
                  <c:v>Ysykkul</c:v>
                </c:pt>
                <c:pt idx="3">
                  <c:v>Chui</c:v>
                </c:pt>
                <c:pt idx="4">
                  <c:v>Prisons</c:v>
                </c:pt>
                <c:pt idx="5">
                  <c:v>Country</c:v>
                </c:pt>
                <c:pt idx="6">
                  <c:v>Naryn</c:v>
                </c:pt>
                <c:pt idx="7">
                  <c:v>Djalal-abad</c:v>
                </c:pt>
                <c:pt idx="8">
                  <c:v>Talas</c:v>
                </c:pt>
                <c:pt idx="9">
                  <c:v>Batken</c:v>
                </c:pt>
                <c:pt idx="10">
                  <c:v>Osh region</c:v>
                </c:pt>
              </c:strCache>
            </c:strRef>
          </c:cat>
          <c:val>
            <c:numRef>
              <c:f>Лист1!$B$2:$B$12</c:f>
              <c:numCache>
                <c:formatCode>0%</c:formatCode>
                <c:ptCount val="11"/>
                <c:pt idx="0">
                  <c:v>0.79</c:v>
                </c:pt>
                <c:pt idx="1">
                  <c:v>0.76</c:v>
                </c:pt>
                <c:pt idx="2">
                  <c:v>0.75</c:v>
                </c:pt>
                <c:pt idx="3">
                  <c:v>0.72</c:v>
                </c:pt>
                <c:pt idx="4">
                  <c:v>0.67</c:v>
                </c:pt>
                <c:pt idx="5">
                  <c:v>0.67</c:v>
                </c:pt>
                <c:pt idx="6">
                  <c:v>0.64</c:v>
                </c:pt>
                <c:pt idx="7">
                  <c:v>0.64</c:v>
                </c:pt>
                <c:pt idx="8">
                  <c:v>0.63</c:v>
                </c:pt>
                <c:pt idx="9">
                  <c:v>0.62</c:v>
                </c:pt>
                <c:pt idx="10">
                  <c:v>0.56000000000000005</c:v>
                </c:pt>
              </c:numCache>
            </c:numRef>
          </c:val>
          <c:extLst>
            <c:ext xmlns:c16="http://schemas.microsoft.com/office/drawing/2014/chart" uri="{C3380CC4-5D6E-409C-BE32-E72D297353CC}">
              <c16:uniqueId val="{00000002-BA84-4947-9199-09D53463BE72}"/>
            </c:ext>
          </c:extLst>
        </c:ser>
        <c:dLbls>
          <c:showLegendKey val="0"/>
          <c:showVal val="0"/>
          <c:showCatName val="0"/>
          <c:showSerName val="0"/>
          <c:showPercent val="0"/>
          <c:showBubbleSize val="0"/>
        </c:dLbls>
        <c:gapWidth val="219"/>
        <c:overlap val="-27"/>
        <c:axId val="33904128"/>
        <c:axId val="33905664"/>
      </c:barChart>
      <c:catAx>
        <c:axId val="3390412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A"/>
          </a:p>
        </c:txPr>
        <c:crossAx val="33905664"/>
        <c:crosses val="autoZero"/>
        <c:auto val="1"/>
        <c:lblAlgn val="ctr"/>
        <c:lblOffset val="100"/>
        <c:noMultiLvlLbl val="0"/>
      </c:catAx>
      <c:valAx>
        <c:axId val="33905664"/>
        <c:scaling>
          <c:orientation val="minMax"/>
          <c:max val="1"/>
        </c:scaling>
        <c:delete val="0"/>
        <c:axPos val="l"/>
        <c:numFmt formatCode="0%"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A"/>
          </a:p>
        </c:txPr>
        <c:crossAx val="3390412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sz="900">
          <a:solidFill>
            <a:sysClr val="windowText" lastClr="000000"/>
          </a:solidFill>
        </a:defRPr>
      </a:pPr>
      <a:endParaRPr lang="en-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_TGF">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TGF">
      <a:majorFont>
        <a:latin typeface="Arial Black"/>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ype":"pictureContentControl","id":"49598a8a-1609-4e0f-877c-71289e796f97","elementConfiguration":{"inheritDimensions":"inheritHeight","binding":"Form.DocLang.Logo_stacked_black","removeAndKeepContent":false,"disableUpdates":false,"type":"image"}},{"type":"pictureContentControl","id":"aa521240-03a2-4021-b98d-f2768856db37","elementConfiguration":{"inheritDimensions":"inheritHeight","binding":"Form.DocLang.Logo_horizontal","removeAndKeepContent":false,"disableUpdates":false,"type":"image"}}],"transformationConfigurations":[],"isBaseTemplate":false,"templateName":"Funding Request","templateDescription":"","enableDocumentContentUpdater":false,"version":"1.1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ote xmlns="2219519e-2df8-4e68-9bc8-47ece53c639c" xsi:nil="true"/>
    <_dlc_DocId xmlns="a03ac030-8fc0-429e-a59d-aec15056182b">3NAZ7T4E3CZ3-539361286-28624</_dlc_DocId>
    <_dlc_DocIdUrl xmlns="a03ac030-8fc0-429e-a59d-aec15056182b">
      <Url>https://tgf.sharepoint.com/sites/TSA2F1/A2FD/_layouts/15/DocIdRedir.aspx?ID=3NAZ7T4E3CZ3-539361286-28624</Url>
      <Description>3NAZ7T4E3CZ3-539361286-28624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7.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7EC0F-6ED3-405A-97C2-DCE165283AD9}">
  <ds:schemaRefs>
    <ds:schemaRef ds:uri="http://schemas.openxmlformats.org/officeDocument/2006/bibliography"/>
  </ds:schemaRefs>
</ds:datastoreItem>
</file>

<file path=customXml/itemProps2.xml><?xml version="1.0" encoding="utf-8"?>
<ds:datastoreItem xmlns:ds="http://schemas.openxmlformats.org/officeDocument/2006/customXml" ds:itemID="{24FB202A-509B-42B1-BD7B-E2812D0F0430}">
  <ds:schemaRefs>
    <ds:schemaRef ds:uri="http://schemas.microsoft.com/sharepoint/v3/contenttype/forms"/>
  </ds:schemaRefs>
</ds:datastoreItem>
</file>

<file path=customXml/itemProps3.xml><?xml version="1.0" encoding="utf-8"?>
<ds:datastoreItem xmlns:ds="http://schemas.openxmlformats.org/officeDocument/2006/customXml" ds:itemID="{86202D38-4B1E-4622-91B6-381DD2A7BBF9}">
  <ds:schemaRefs/>
</ds:datastoreItem>
</file>

<file path=customXml/itemProps4.xml><?xml version="1.0" encoding="utf-8"?>
<ds:datastoreItem xmlns:ds="http://schemas.openxmlformats.org/officeDocument/2006/customXml" ds:itemID="{0C30B8E3-0482-476B-B3BD-651EB88134D0}">
  <ds:schemaRefs>
    <ds:schemaRef ds:uri="http://schemas.microsoft.com/office/2006/metadata/properties"/>
    <ds:schemaRef ds:uri="http://schemas.microsoft.com/office/infopath/2007/PartnerControls"/>
    <ds:schemaRef ds:uri="http://schemas.microsoft.com/sharepoint/v4"/>
    <ds:schemaRef ds:uri="2219519e-2df8-4e68-9bc8-47ece53c639c"/>
    <ds:schemaRef ds:uri="a03ac030-8fc0-429e-a59d-aec15056182b"/>
  </ds:schemaRefs>
</ds:datastoreItem>
</file>

<file path=customXml/itemProps5.xml><?xml version="1.0" encoding="utf-8"?>
<ds:datastoreItem xmlns:ds="http://schemas.openxmlformats.org/officeDocument/2006/customXml" ds:itemID="{48E680C3-EB63-47CE-9571-AC28203F6771}">
  <ds:schemaRefs>
    <ds:schemaRef ds:uri="http://schemas.microsoft.com/sharepoint/events"/>
  </ds:schemaRefs>
</ds:datastoreItem>
</file>

<file path=customXml/itemProps6.xml><?xml version="1.0" encoding="utf-8"?>
<ds:datastoreItem xmlns:ds="http://schemas.openxmlformats.org/officeDocument/2006/customXml" ds:itemID="{EFE4EAF2-E8BA-4E52-9C64-A641913A2B09}">
  <ds:schemaRefs/>
</ds:datastoreItem>
</file>

<file path=customXml/itemProps7.xml><?xml version="1.0" encoding="utf-8"?>
<ds:datastoreItem xmlns:ds="http://schemas.openxmlformats.org/officeDocument/2006/customXml" ds:itemID="{A63CA76D-064F-47AC-9C93-607E467D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63</Pages>
  <Words>28619</Words>
  <Characters>163134</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Global Fund</dc:creator>
  <cp:keywords/>
  <dc:description/>
  <cp:lastModifiedBy>Anna Katasonova</cp:lastModifiedBy>
  <cp:revision>580</cp:revision>
  <cp:lastPrinted>2022-07-28T06:42:00Z</cp:lastPrinted>
  <dcterms:created xsi:type="dcterms:W3CDTF">2023-03-19T00:49:00Z</dcterms:created>
  <dcterms:modified xsi:type="dcterms:W3CDTF">2023-03-19T12:32:00Z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637782936526893862</vt:lpwstr>
  </property>
  <property fmtid="{D5CDD505-2E9C-101B-9397-08002B2CF9AE}" pid="4" name="TemplafyUserProfileId">
    <vt:lpwstr>637608262810973981</vt:lpwstr>
  </property>
  <property fmtid="{D5CDD505-2E9C-101B-9397-08002B2CF9AE}" pid="5" name="TemplafyLanguageCode">
    <vt:lpwstr>en-US</vt:lpwstr>
  </property>
  <property fmtid="{D5CDD505-2E9C-101B-9397-08002B2CF9AE}" pid="6" name="ContentTypeId">
    <vt:lpwstr>0x010100DB1926E75FE6D448A94BA4FC7E9CAC0400EB82F3FDC0493647B521A7A424B5B012</vt:lpwstr>
  </property>
  <property fmtid="{D5CDD505-2E9C-101B-9397-08002B2CF9AE}" pid="7" name="_dlc_DocId">
    <vt:lpwstr>3NAZ7T4E3CZ3-1593233266-2090</vt:lpwstr>
  </property>
  <property fmtid="{D5CDD505-2E9C-101B-9397-08002B2CF9AE}" pid="8" name="_dlc_DocIdItemGuid">
    <vt:lpwstr>3ac2e218-4ced-423e-8def-2501b82f0615</vt:lpwstr>
  </property>
  <property fmtid="{D5CDD505-2E9C-101B-9397-08002B2CF9AE}" pid="9" name="_dlc_DocIdUrl">
    <vt:lpwstr>https://tgf.sharepoint.com/sites/TSA2F1/A2FT/_layouts/15/DocIdRedir.aspx?ID=3NAZ7T4E3CZ3-1593233266-2090, 3NAZ7T4E3CZ3-1593233266-2090</vt:lpwstr>
  </property>
  <property fmtid="{D5CDD505-2E9C-101B-9397-08002B2CF9AE}" pid="10" name="MediaServiceImageTags">
    <vt:lpwstr/>
  </property>
</Properties>
</file>